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13D6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黑体" w:hAnsi="黑体" w:eastAsia="宋体" w:cs="黑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cs="宋体"/>
          <w:b/>
          <w:bCs/>
          <w:sz w:val="44"/>
          <w:szCs w:val="44"/>
          <w:lang w:val="en-US" w:eastAsia="zh-CN"/>
        </w:rPr>
        <w:t>绍兴轨交特来电易捷充电网运营有限公司竣工财务决算审计项目</w:t>
      </w:r>
      <w:r>
        <w:rPr>
          <w:rFonts w:hint="eastAsia" w:ascii="宋体" w:hAnsi="宋体" w:eastAsia="宋体" w:cs="宋体"/>
          <w:b/>
          <w:bCs/>
          <w:sz w:val="44"/>
          <w:szCs w:val="44"/>
        </w:rPr>
        <w:t>询价</w:t>
      </w:r>
      <w:r>
        <w:rPr>
          <w:rFonts w:hint="eastAsia" w:ascii="宋体" w:hAnsi="宋体" w:cs="宋体"/>
          <w:b/>
          <w:bCs/>
          <w:sz w:val="44"/>
          <w:szCs w:val="44"/>
          <w:lang w:val="en-US" w:eastAsia="zh-CN"/>
        </w:rPr>
        <w:t>通知书</w:t>
      </w:r>
    </w:p>
    <w:p w14:paraId="77A25F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黑体" w:hAnsi="黑体" w:eastAsia="黑体" w:cs="黑体"/>
          <w:b/>
          <w:bCs/>
          <w:sz w:val="32"/>
          <w:szCs w:val="32"/>
        </w:rPr>
      </w:pPr>
    </w:p>
    <w:p w14:paraId="20109D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vertAlign w:val="baseline"/>
          <w:lang w:val="en-US" w:eastAsia="zh-CN"/>
        </w:rPr>
        <w:t>-----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：</w:t>
      </w:r>
    </w:p>
    <w:p w14:paraId="1C1E28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为规范完成我方年度财务决算工作，真实、准确、完整反映单位财务收支、资产负债、经营成果及项目建设资金使用情况，保障财务决算工作合规合法、数据真实有效，需采购一家财务决算审计单位，现邀请贵单位对该项目进行报价，相关要求和事项如下：</w:t>
      </w:r>
    </w:p>
    <w:p w14:paraId="4D20E9BA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default" w:ascii="黑体" w:hAnsi="Times New Roman" w:eastAsia="黑体" w:cs="黑体"/>
          <w:bCs/>
          <w:sz w:val="32"/>
          <w:szCs w:val="32"/>
          <w:highlight w:val="none"/>
          <w:lang w:val="en-US" w:eastAsia="zh-CN" w:bidi="ar-SA"/>
        </w:rPr>
      </w:pPr>
      <w:r>
        <w:rPr>
          <w:rFonts w:hint="eastAsia" w:ascii="黑体" w:hAnsi="Times New Roman" w:eastAsia="黑体" w:cs="黑体"/>
          <w:bCs/>
          <w:sz w:val="32"/>
          <w:szCs w:val="32"/>
          <w:highlight w:val="none"/>
          <w:lang w:val="en-US" w:eastAsia="zh-CN" w:bidi="ar-SA"/>
        </w:rPr>
        <w:t>一、服务内容</w:t>
      </w:r>
    </w:p>
    <w:p w14:paraId="7E4B4A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本次财务决算审计严格按照《中华人民共和国会计法》《中华人民共和国审计法》《企业财务会计报告条例》及国家现行财务、审计相关法律法规、规章制度开展，具体服务内容包括：</w:t>
      </w:r>
    </w:p>
    <w:p w14:paraId="55503C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围绕充电站一期项目建设全过程，开展竣工财务决算合规性、真实性、准确性审核，重点核查项目建设程序、资金管理、工程结算、投资归集、资产形成及决算编制情况，核实项目实际投资额，规范资产入账价值，整改管理薄弱问题，确保决算真实合规、数据准确完整。</w:t>
      </w:r>
    </w:p>
    <w:p w14:paraId="775A13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黑体" w:hAnsi="Times New Roman" w:eastAsia="黑体" w:cs="黑体"/>
          <w:bCs/>
          <w:sz w:val="32"/>
          <w:szCs w:val="32"/>
          <w:highlight w:val="none"/>
          <w:lang w:val="en-US" w:eastAsia="zh-CN" w:bidi="ar-SA"/>
        </w:rPr>
      </w:pPr>
      <w:r>
        <w:rPr>
          <w:rFonts w:hint="eastAsia" w:ascii="黑体" w:hAnsi="Times New Roman" w:eastAsia="黑体" w:cs="黑体"/>
          <w:bCs/>
          <w:sz w:val="32"/>
          <w:szCs w:val="32"/>
          <w:highlight w:val="none"/>
          <w:lang w:val="en-US" w:eastAsia="zh-CN" w:bidi="ar-SA"/>
        </w:rPr>
        <w:t>二、投标方资质要求</w:t>
      </w:r>
    </w:p>
    <w:p w14:paraId="1DD559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  <w:highlight w:val="none"/>
          <w:lang w:eastAsia="zh-CN"/>
        </w:rPr>
      </w:pPr>
      <w:r>
        <w:rPr>
          <w:rFonts w:hint="eastAsia" w:ascii="仿宋_GB2312" w:eastAsia="仿宋_GB2312"/>
          <w:sz w:val="32"/>
          <w:szCs w:val="32"/>
          <w:highlight w:val="none"/>
          <w:lang w:eastAsia="zh-CN"/>
        </w:rPr>
        <w:t>1.具有独立承担民事责任能力</w:t>
      </w:r>
    </w:p>
    <w:p w14:paraId="505F0C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  <w:highlight w:val="none"/>
          <w:lang w:eastAsia="zh-CN"/>
        </w:rPr>
      </w:pPr>
      <w:r>
        <w:rPr>
          <w:rFonts w:hint="eastAsia" w:ascii="仿宋_GB2312" w:eastAsia="仿宋_GB2312"/>
          <w:sz w:val="32"/>
          <w:szCs w:val="32"/>
          <w:highlight w:val="none"/>
          <w:lang w:eastAsia="zh-CN"/>
        </w:rPr>
        <w:t>2.具有经年检有效的《企业法人营业执照》；</w:t>
      </w:r>
    </w:p>
    <w:p w14:paraId="5BE869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  <w:highlight w:val="none"/>
        </w:rPr>
      </w:pP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3</w:t>
      </w:r>
      <w:r>
        <w:rPr>
          <w:rFonts w:hint="eastAsia" w:ascii="仿宋_GB2312" w:eastAsia="仿宋_GB2312"/>
          <w:sz w:val="32"/>
          <w:szCs w:val="32"/>
          <w:highlight w:val="none"/>
          <w:lang w:eastAsia="zh-CN"/>
        </w:rPr>
        <w:t>.已参与本项目招标代理、财务监理、工程监理等工作的机构应当回避。</w:t>
      </w:r>
    </w:p>
    <w:p w14:paraId="373541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黑体" w:hAnsi="Times New Roman" w:eastAsia="黑体" w:cs="黑体"/>
          <w:bCs/>
          <w:sz w:val="32"/>
          <w:szCs w:val="32"/>
          <w:highlight w:val="none"/>
          <w:lang w:val="en-US" w:eastAsia="zh-CN" w:bidi="ar-SA"/>
        </w:rPr>
      </w:pPr>
      <w:r>
        <w:rPr>
          <w:rFonts w:hint="eastAsia" w:ascii="黑体" w:hAnsi="Times New Roman" w:eastAsia="黑体" w:cs="黑体"/>
          <w:bCs/>
          <w:sz w:val="32"/>
          <w:szCs w:val="32"/>
          <w:highlight w:val="none"/>
          <w:lang w:val="en-US" w:eastAsia="zh-CN" w:bidi="ar-SA"/>
        </w:rPr>
        <w:t>三、采购方案</w:t>
      </w:r>
    </w:p>
    <w:p w14:paraId="07246B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eastAsia="宋体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1、本项目暂估总投资额2281.0322万元。造价咨询基准收费按照《浙江省物价局关于规范建设工程造价咨询服务收费的通知》（浙价服〔2009〕84号）载明计费规则进行核算，计费基数以本项目按实结算后的建设总费用为准。各供应商仅填报报价下浮率，服务费最终结算价款计算公式为：最终结算价=核定基准收费×（1－下浮率）；供应商填报下浮率不得低于5%，下浮率低于5%的报价作无效报价处理。</w:t>
      </w:r>
    </w:p>
    <w:p w14:paraId="2E099B29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Style w:val="12"/>
          <w:rFonts w:hint="eastAsia" w:ascii="仿宋_GB2312" w:eastAsia="仿宋_GB2312" w:cs="Times New Roman"/>
          <w:b w:val="0"/>
          <w:bCs w:val="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2、决算审计单位应于</w:t>
      </w:r>
      <w:r>
        <w:rPr>
          <w:rStyle w:val="12"/>
          <w:rFonts w:hint="eastAsia" w:ascii="仿宋_GB2312" w:eastAsia="仿宋_GB2312" w:cs="Times New Roman"/>
          <w:b w:val="0"/>
          <w:bCs w:val="0"/>
          <w:kern w:val="2"/>
          <w:sz w:val="32"/>
          <w:szCs w:val="32"/>
          <w:highlight w:val="none"/>
          <w:lang w:val="en-US" w:eastAsia="zh-CN" w:bidi="ar-SA"/>
        </w:rPr>
        <w:t>合同签订后45天内向甲方提交整个项目正式的决算审计报告。</w:t>
      </w:r>
    </w:p>
    <w:p w14:paraId="1AC2074A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640" w:firstLineChars="200"/>
        <w:textAlignment w:val="auto"/>
        <w:rPr>
          <w:rFonts w:hint="eastAsia" w:eastAsia="宋体"/>
          <w:lang w:eastAsia="zh-CN"/>
        </w:rPr>
      </w:pPr>
      <w:r>
        <w:rPr>
          <w:rStyle w:val="12"/>
          <w:rFonts w:hint="eastAsia" w:ascii="仿宋_GB2312" w:eastAsia="仿宋_GB2312" w:cs="Times New Roman"/>
          <w:b w:val="0"/>
          <w:bCs w:val="0"/>
          <w:kern w:val="2"/>
          <w:sz w:val="32"/>
          <w:szCs w:val="32"/>
          <w:highlight w:val="none"/>
          <w:lang w:val="en-US" w:eastAsia="zh-CN" w:bidi="ar-SA"/>
        </w:rPr>
        <w:t>3、全部财务决算审计工作完成后，提交专用增值税发票后一次性支付所有服务费用。</w:t>
      </w:r>
    </w:p>
    <w:p w14:paraId="279028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黑体" w:hAnsi="Times New Roman" w:eastAsia="黑体" w:cs="黑体"/>
          <w:bCs/>
          <w:sz w:val="32"/>
          <w:szCs w:val="32"/>
          <w:highlight w:val="none"/>
          <w:lang w:val="en-US" w:eastAsia="zh-CN" w:bidi="ar-SA"/>
        </w:rPr>
      </w:pPr>
      <w:r>
        <w:rPr>
          <w:rFonts w:hint="eastAsia" w:ascii="黑体" w:hAnsi="Times New Roman" w:eastAsia="黑体" w:cs="黑体"/>
          <w:bCs/>
          <w:sz w:val="32"/>
          <w:szCs w:val="32"/>
          <w:highlight w:val="none"/>
          <w:lang w:val="en-US" w:eastAsia="zh-CN" w:bidi="ar-SA"/>
        </w:rPr>
        <w:t>四、需提交的资料（均需加盖公章）</w:t>
      </w:r>
    </w:p>
    <w:p w14:paraId="45A513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1、公司营业执照等资质证明文件复印件。</w:t>
      </w:r>
    </w:p>
    <w:p w14:paraId="09FCED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2、报价单（格式见附件）。</w:t>
      </w:r>
    </w:p>
    <w:p w14:paraId="58B854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黑体" w:hAnsi="Times New Roman" w:eastAsia="黑体" w:cs="黑体"/>
          <w:bCs/>
          <w:sz w:val="32"/>
          <w:szCs w:val="32"/>
          <w:highlight w:val="none"/>
          <w:lang w:val="en-US" w:eastAsia="zh-CN" w:bidi="ar-SA"/>
        </w:rPr>
      </w:pPr>
      <w:r>
        <w:rPr>
          <w:rFonts w:hint="eastAsia" w:ascii="黑体" w:hAnsi="Times New Roman" w:eastAsia="黑体" w:cs="黑体"/>
          <w:bCs/>
          <w:sz w:val="32"/>
          <w:szCs w:val="32"/>
          <w:highlight w:val="none"/>
          <w:lang w:val="en-US" w:eastAsia="zh-CN" w:bidi="ar-SA"/>
        </w:rPr>
        <w:t>五、投标截止时间及地点</w:t>
      </w:r>
    </w:p>
    <w:p w14:paraId="2D46C6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截止时间：2026年8月3日9时整</w:t>
      </w:r>
    </w:p>
    <w:p w14:paraId="548F0E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递交地点：绍兴轨交特来电易捷充电网运营有限公司一楼会议室</w:t>
      </w:r>
    </w:p>
    <w:p w14:paraId="78CF7F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 xml:space="preserve">项目联系人：吕超越        </w:t>
      </w:r>
    </w:p>
    <w:p w14:paraId="11BBD3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联系电话：18072252078</w:t>
      </w:r>
    </w:p>
    <w:p w14:paraId="282B08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黑体" w:hAnsi="Times New Roman" w:eastAsia="黑体" w:cs="黑体"/>
          <w:bCs/>
          <w:sz w:val="32"/>
          <w:szCs w:val="32"/>
          <w:highlight w:val="none"/>
          <w:lang w:val="en-US" w:eastAsia="zh-CN" w:bidi="ar-SA"/>
        </w:rPr>
      </w:pPr>
      <w:r>
        <w:rPr>
          <w:rFonts w:hint="eastAsia" w:ascii="黑体" w:hAnsi="Times New Roman" w:eastAsia="黑体" w:cs="黑体"/>
          <w:bCs/>
          <w:sz w:val="32"/>
          <w:szCs w:val="32"/>
          <w:highlight w:val="none"/>
          <w:lang w:val="en-US" w:eastAsia="zh-CN" w:bidi="ar-SA"/>
        </w:rPr>
        <w:t>六、评审标准</w:t>
      </w:r>
    </w:p>
    <w:p w14:paraId="5E68E4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对符合要求的供应商，按照最低价评选原则，选择报价最低者作为合作方。若出现最低报价相同的情况，则抽签决定。</w:t>
      </w:r>
    </w:p>
    <w:p w14:paraId="1ED295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黑体" w:hAnsi="Times New Roman" w:eastAsia="黑体" w:cs="黑体"/>
          <w:bCs/>
          <w:sz w:val="32"/>
          <w:szCs w:val="32"/>
          <w:highlight w:val="none"/>
          <w:lang w:val="en-US" w:eastAsia="zh-CN" w:bidi="ar-SA"/>
        </w:rPr>
      </w:pPr>
      <w:r>
        <w:rPr>
          <w:rFonts w:hint="eastAsia" w:ascii="黑体" w:hAnsi="Times New Roman" w:eastAsia="黑体" w:cs="黑体"/>
          <w:bCs/>
          <w:sz w:val="32"/>
          <w:szCs w:val="32"/>
          <w:highlight w:val="none"/>
          <w:lang w:val="en-US" w:eastAsia="zh-CN" w:bidi="ar-SA"/>
        </w:rPr>
        <w:t>七、其他事项</w:t>
      </w:r>
    </w:p>
    <w:p w14:paraId="5A52E9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递交的投标文件必须密封，封口处加盖公章。同时按规定的时间送达至指定的地点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逾期视为放弃。所有涉及的一切费用，不论投标结果如何，采购方不承担任何费用。采购方有权对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供应商</w:t>
      </w:r>
      <w:r>
        <w:rPr>
          <w:rFonts w:hint="eastAsia" w:ascii="仿宋_GB2312" w:hAnsi="仿宋_GB2312" w:eastAsia="仿宋_GB2312" w:cs="仿宋_GB2312"/>
          <w:sz w:val="32"/>
          <w:szCs w:val="32"/>
        </w:rPr>
        <w:t>的工作进行监督和检查，如发现问题有权要求整改。</w:t>
      </w:r>
    </w:p>
    <w:p w14:paraId="01C5600B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default"/>
          <w:lang w:val="en-US" w:eastAsia="zh-CN"/>
        </w:rPr>
      </w:pPr>
    </w:p>
    <w:p w14:paraId="6BFF4375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default"/>
          <w:lang w:val="en-US" w:eastAsia="zh-CN"/>
        </w:rPr>
      </w:pPr>
    </w:p>
    <w:p w14:paraId="5345337C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default"/>
          <w:lang w:val="en-US" w:eastAsia="zh-CN"/>
        </w:rPr>
      </w:pPr>
    </w:p>
    <w:p w14:paraId="79524D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绍兴轨交特来电易捷充电网运营有限公司</w:t>
      </w:r>
    </w:p>
    <w:p w14:paraId="227E7F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righ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2026年7月24日</w:t>
      </w:r>
    </w:p>
    <w:p w14:paraId="460F40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left"/>
        <w:textAlignment w:val="auto"/>
        <w:rPr>
          <w:rFonts w:hint="eastAsia"/>
          <w:sz w:val="28"/>
          <w:szCs w:val="28"/>
        </w:rPr>
      </w:pPr>
      <w:bookmarkStart w:id="0" w:name="_Toc414434998"/>
      <w:bookmarkStart w:id="1" w:name="_Toc401824715"/>
    </w:p>
    <w:p w14:paraId="2FD0AE5A">
      <w:pPr>
        <w:pStyle w:val="2"/>
        <w:rPr>
          <w:rFonts w:hint="eastAsia"/>
          <w:sz w:val="28"/>
          <w:szCs w:val="28"/>
        </w:rPr>
      </w:pPr>
      <w:bookmarkStart w:id="2" w:name="_GoBack"/>
      <w:bookmarkEnd w:id="2"/>
    </w:p>
    <w:p w14:paraId="5D3D9C53">
      <w:pPr>
        <w:pStyle w:val="2"/>
        <w:rPr>
          <w:rFonts w:hint="eastAsia"/>
          <w:sz w:val="28"/>
          <w:szCs w:val="28"/>
        </w:rPr>
      </w:pPr>
    </w:p>
    <w:p w14:paraId="49FD4F73">
      <w:pPr>
        <w:pStyle w:val="2"/>
        <w:rPr>
          <w:rFonts w:hint="eastAsia"/>
          <w:sz w:val="28"/>
          <w:szCs w:val="28"/>
        </w:rPr>
      </w:pPr>
    </w:p>
    <w:p w14:paraId="28F99039">
      <w:pPr>
        <w:pStyle w:val="2"/>
        <w:rPr>
          <w:rFonts w:hint="eastAsia"/>
          <w:sz w:val="28"/>
          <w:szCs w:val="28"/>
        </w:rPr>
      </w:pPr>
    </w:p>
    <w:p w14:paraId="062611C2">
      <w:pPr>
        <w:pStyle w:val="2"/>
        <w:rPr>
          <w:rFonts w:hint="eastAsia"/>
          <w:sz w:val="28"/>
          <w:szCs w:val="28"/>
        </w:rPr>
      </w:pPr>
    </w:p>
    <w:p w14:paraId="2890453F">
      <w:pPr>
        <w:pStyle w:val="2"/>
        <w:rPr>
          <w:rFonts w:hint="eastAsia"/>
          <w:sz w:val="28"/>
          <w:szCs w:val="28"/>
        </w:rPr>
      </w:pPr>
    </w:p>
    <w:p w14:paraId="3529EDB5">
      <w:pPr>
        <w:pStyle w:val="2"/>
        <w:rPr>
          <w:rFonts w:hint="eastAsia"/>
          <w:sz w:val="28"/>
          <w:szCs w:val="28"/>
        </w:rPr>
      </w:pPr>
    </w:p>
    <w:p w14:paraId="32F560BA">
      <w:pPr>
        <w:pStyle w:val="2"/>
        <w:rPr>
          <w:rFonts w:hint="eastAsia"/>
          <w:sz w:val="28"/>
          <w:szCs w:val="28"/>
        </w:rPr>
      </w:pPr>
    </w:p>
    <w:p w14:paraId="5E1A7CC2">
      <w:pPr>
        <w:pStyle w:val="2"/>
        <w:rPr>
          <w:rFonts w:hint="eastAsia"/>
          <w:sz w:val="28"/>
          <w:szCs w:val="28"/>
        </w:rPr>
      </w:pPr>
    </w:p>
    <w:p w14:paraId="5098AC49">
      <w:pPr>
        <w:pStyle w:val="2"/>
        <w:rPr>
          <w:rFonts w:hint="eastAsia"/>
          <w:sz w:val="28"/>
          <w:szCs w:val="28"/>
        </w:rPr>
      </w:pPr>
    </w:p>
    <w:p w14:paraId="43797B70">
      <w:pPr>
        <w:pStyle w:val="2"/>
        <w:rPr>
          <w:rFonts w:hint="eastAsia"/>
          <w:sz w:val="28"/>
          <w:szCs w:val="28"/>
        </w:rPr>
      </w:pPr>
    </w:p>
    <w:p w14:paraId="63497E43">
      <w:pPr>
        <w:pStyle w:val="2"/>
        <w:ind w:left="0" w:leftChars="0" w:firstLine="0" w:firstLineChars="0"/>
        <w:rPr>
          <w:rFonts w:hint="eastAsia"/>
          <w:sz w:val="28"/>
          <w:szCs w:val="28"/>
        </w:rPr>
      </w:pPr>
    </w:p>
    <w:p w14:paraId="2F97CA84">
      <w:pPr>
        <w:ind w:firstLine="883" w:firstLineChars="200"/>
        <w:jc w:val="center"/>
        <w:rPr>
          <w:rFonts w:hint="eastAsia" w:ascii="黑体" w:hAnsi="黑体" w:eastAsia="黑体" w:cs="黑体"/>
          <w:b/>
          <w:bCs/>
          <w:sz w:val="44"/>
          <w:szCs w:val="44"/>
        </w:rPr>
      </w:pPr>
    </w:p>
    <w:p w14:paraId="0720DB12">
      <w:pPr>
        <w:ind w:firstLine="883" w:firstLineChars="200"/>
        <w:jc w:val="center"/>
        <w:rPr>
          <w:rFonts w:hint="eastAsia" w:ascii="黑体" w:hAnsi="黑体" w:eastAsia="黑体" w:cs="黑体"/>
          <w:b/>
          <w:bCs/>
          <w:sz w:val="44"/>
          <w:szCs w:val="44"/>
        </w:rPr>
      </w:pPr>
      <w:r>
        <w:rPr>
          <w:rFonts w:hint="eastAsia" w:ascii="黑体" w:hAnsi="黑体" w:eastAsia="黑体" w:cs="黑体"/>
          <w:b/>
          <w:bCs/>
          <w:sz w:val="44"/>
          <w:szCs w:val="44"/>
        </w:rPr>
        <w:t>报</w:t>
      </w:r>
      <w:r>
        <w:rPr>
          <w:rFonts w:hint="eastAsia" w:ascii="黑体" w:hAnsi="黑体" w:eastAsia="黑体" w:cs="黑体"/>
          <w:b/>
          <w:bCs/>
          <w:sz w:val="44"/>
          <w:szCs w:val="44"/>
          <w:lang w:val="en-US" w:eastAsia="zh-CN"/>
        </w:rPr>
        <w:t xml:space="preserve"> </w:t>
      </w:r>
      <w:r>
        <w:rPr>
          <w:rFonts w:hint="eastAsia" w:ascii="黑体" w:hAnsi="黑体" w:eastAsia="黑体" w:cs="黑体"/>
          <w:b/>
          <w:bCs/>
          <w:sz w:val="44"/>
          <w:szCs w:val="44"/>
        </w:rPr>
        <w:t>价</w:t>
      </w:r>
      <w:r>
        <w:rPr>
          <w:rFonts w:hint="eastAsia" w:ascii="黑体" w:hAnsi="黑体" w:eastAsia="黑体" w:cs="黑体"/>
          <w:b/>
          <w:bCs/>
          <w:sz w:val="44"/>
          <w:szCs w:val="44"/>
          <w:lang w:val="en-US" w:eastAsia="zh-CN"/>
        </w:rPr>
        <w:t xml:space="preserve"> </w:t>
      </w:r>
      <w:r>
        <w:rPr>
          <w:rFonts w:hint="eastAsia" w:ascii="黑体" w:hAnsi="黑体" w:eastAsia="黑体" w:cs="黑体"/>
          <w:b/>
          <w:bCs/>
          <w:sz w:val="44"/>
          <w:szCs w:val="44"/>
        </w:rPr>
        <w:t>单</w:t>
      </w:r>
    </w:p>
    <w:p w14:paraId="724214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-1785" w:leftChars="-850" w:right="-315" w:rightChars="-150" w:firstLine="0" w:firstLineChars="0"/>
        <w:jc w:val="center"/>
        <w:textAlignment w:val="auto"/>
        <w:rPr>
          <w:rFonts w:hint="eastAsia" w:ascii="CESI仿宋-GB2312" w:hAnsi="CESI仿宋-GB2312" w:eastAsia="CESI仿宋-GB2312" w:cs="CESI仿宋-GB2312"/>
          <w:sz w:val="28"/>
          <w:szCs w:val="28"/>
        </w:rPr>
      </w:pPr>
      <w:r>
        <w:rPr>
          <w:rFonts w:hint="eastAsia" w:ascii="CESI仿宋-GB2312" w:hAnsi="CESI仿宋-GB2312" w:eastAsia="CESI仿宋-GB2312" w:cs="CESI仿宋-GB2312"/>
          <w:sz w:val="28"/>
          <w:szCs w:val="28"/>
        </w:rPr>
        <w:t>项目名称：绍兴轨交特来电易捷充电网运营有限公司</w:t>
      </w:r>
      <w:r>
        <w:rPr>
          <w:rFonts w:hint="eastAsia" w:ascii="CESI仿宋-GB2312" w:hAnsi="CESI仿宋-GB2312" w:eastAsia="CESI仿宋-GB2312" w:cs="CESI仿宋-GB2312"/>
          <w:sz w:val="28"/>
          <w:szCs w:val="28"/>
          <w:lang w:eastAsia="zh-CN"/>
        </w:rPr>
        <w:t>竣工</w:t>
      </w:r>
      <w:r>
        <w:rPr>
          <w:rFonts w:hint="eastAsia" w:ascii="CESI仿宋-GB2312" w:hAnsi="CESI仿宋-GB2312" w:eastAsia="CESI仿宋-GB2312" w:cs="CESI仿宋-GB2312"/>
          <w:sz w:val="28"/>
          <w:szCs w:val="28"/>
        </w:rPr>
        <w:t>财务决算审计项目</w:t>
      </w:r>
    </w:p>
    <w:tbl>
      <w:tblPr>
        <w:tblStyle w:val="10"/>
        <w:tblpPr w:leftFromText="180" w:rightFromText="180" w:vertAnchor="text" w:horzAnchor="page" w:tblpX="467" w:tblpY="669"/>
        <w:tblOverlap w:val="never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0"/>
        <w:gridCol w:w="3555"/>
        <w:gridCol w:w="930"/>
        <w:gridCol w:w="945"/>
        <w:gridCol w:w="930"/>
        <w:gridCol w:w="1875"/>
        <w:gridCol w:w="1740"/>
      </w:tblGrid>
      <w:tr w14:paraId="0CA4C3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7FF28DA">
            <w:pPr>
              <w:jc w:val="left"/>
              <w:rPr>
                <w:rFonts w:hint="eastAsia" w:ascii="CESI仿宋-GB2312" w:hAnsi="CESI仿宋-GB2312" w:eastAsia="CESI仿宋-GB2312" w:cs="CESI仿宋-GB2312"/>
                <w:sz w:val="28"/>
                <w:szCs w:val="28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lang w:val="en-US" w:eastAsia="zh-CN"/>
              </w:rPr>
              <w:t>序号</w:t>
            </w:r>
          </w:p>
        </w:tc>
        <w:tc>
          <w:tcPr>
            <w:tcW w:w="3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3C9A1A8">
            <w:pPr>
              <w:jc w:val="center"/>
              <w:rPr>
                <w:rFonts w:hint="eastAsia" w:ascii="CESI仿宋-GB2312" w:hAnsi="CESI仿宋-GB2312" w:eastAsia="CESI仿宋-GB2312" w:cs="CESI仿宋-GB2312"/>
                <w:sz w:val="28"/>
                <w:szCs w:val="28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lang w:val="en-US" w:eastAsia="zh-CN"/>
              </w:rPr>
              <w:t>服务名称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578EEB3">
            <w:pPr>
              <w:jc w:val="left"/>
              <w:rPr>
                <w:rFonts w:hint="eastAsia" w:ascii="CESI仿宋-GB2312" w:hAnsi="CESI仿宋-GB2312" w:eastAsia="CESI仿宋-GB2312" w:cs="CESI仿宋-GB2312"/>
                <w:sz w:val="28"/>
                <w:szCs w:val="28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lang w:val="en-US" w:eastAsia="zh-CN"/>
              </w:rPr>
              <w:t>规格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FF25AAC">
            <w:pPr>
              <w:jc w:val="left"/>
              <w:rPr>
                <w:rFonts w:hint="eastAsia" w:ascii="CESI仿宋-GB2312" w:hAnsi="CESI仿宋-GB2312" w:eastAsia="CESI仿宋-GB2312" w:cs="CESI仿宋-GB2312"/>
                <w:sz w:val="28"/>
                <w:szCs w:val="28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lang w:val="en-US" w:eastAsia="zh-CN"/>
              </w:rPr>
              <w:t>单位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7C51770">
            <w:pPr>
              <w:jc w:val="left"/>
              <w:rPr>
                <w:rFonts w:hint="eastAsia" w:ascii="CESI仿宋-GB2312" w:hAnsi="CESI仿宋-GB2312" w:eastAsia="CESI仿宋-GB2312" w:cs="CESI仿宋-GB2312"/>
                <w:sz w:val="28"/>
                <w:szCs w:val="28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lang w:val="en-US" w:eastAsia="zh-CN"/>
              </w:rPr>
              <w:t>数量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022B692">
            <w:pPr>
              <w:jc w:val="left"/>
              <w:rPr>
                <w:rFonts w:hint="default" w:ascii="CESI仿宋-GB2312" w:hAnsi="CESI仿宋-GB2312" w:eastAsia="CESI仿宋-GB2312" w:cs="CESI仿宋-GB2312"/>
                <w:sz w:val="28"/>
                <w:szCs w:val="28"/>
                <w:lang w:val="en-US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lang w:val="en-US" w:eastAsia="zh-CN"/>
              </w:rPr>
              <w:t>最低下浮率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2E79DA8">
            <w:pPr>
              <w:jc w:val="left"/>
              <w:rPr>
                <w:rFonts w:hint="default" w:ascii="CESI仿宋-GB2312" w:hAnsi="CESI仿宋-GB2312" w:eastAsia="CESI仿宋-GB2312" w:cs="CESI仿宋-GB2312"/>
                <w:sz w:val="28"/>
                <w:szCs w:val="28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lang w:val="en-US" w:eastAsia="zh-CN"/>
              </w:rPr>
              <w:t>报价下浮率</w:t>
            </w:r>
          </w:p>
        </w:tc>
      </w:tr>
      <w:tr w14:paraId="048409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83326BC">
            <w:pPr>
              <w:jc w:val="left"/>
              <w:rPr>
                <w:rFonts w:hint="eastAsia" w:ascii="CESI仿宋-GB2312" w:hAnsi="CESI仿宋-GB2312" w:eastAsia="CESI仿宋-GB2312" w:cs="CESI仿宋-GB2312"/>
                <w:sz w:val="28"/>
                <w:szCs w:val="28"/>
                <w:lang w:val="en-US" w:eastAsia="zh-CN"/>
              </w:rPr>
            </w:pPr>
          </w:p>
          <w:p w14:paraId="287A2249">
            <w:pPr>
              <w:ind w:firstLine="280" w:firstLineChars="100"/>
              <w:jc w:val="left"/>
              <w:rPr>
                <w:rFonts w:hint="eastAsia" w:ascii="CESI仿宋-GB2312" w:hAnsi="CESI仿宋-GB2312" w:eastAsia="CESI仿宋-GB2312" w:cs="CESI仿宋-GB2312"/>
                <w:sz w:val="28"/>
                <w:szCs w:val="28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3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EF931DE">
            <w:pPr>
              <w:jc w:val="left"/>
              <w:rPr>
                <w:rFonts w:hint="eastAsia" w:ascii="CESI仿宋-GB2312" w:hAnsi="CESI仿宋-GB2312" w:eastAsia="CESI仿宋-GB2312" w:cs="CESI仿宋-GB2312"/>
                <w:sz w:val="28"/>
                <w:szCs w:val="28"/>
                <w:lang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lang w:val="en-US" w:eastAsia="zh-CN"/>
              </w:rPr>
              <w:t>绍兴轨交特来电易捷充电网运营有限公司财务决算审计项目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E6E19CA">
            <w:pPr>
              <w:tabs>
                <w:tab w:val="center" w:pos="372"/>
              </w:tabs>
              <w:jc w:val="both"/>
              <w:rPr>
                <w:rFonts w:hint="eastAsia" w:ascii="CESI仿宋-GB2312" w:hAnsi="CESI仿宋-GB2312" w:eastAsia="CESI仿宋-GB2312" w:cs="CESI仿宋-GB2312"/>
                <w:sz w:val="28"/>
                <w:szCs w:val="28"/>
                <w:lang w:val="en-US" w:eastAsia="zh-CN"/>
              </w:rPr>
            </w:pPr>
          </w:p>
          <w:p w14:paraId="14F50B59">
            <w:pPr>
              <w:tabs>
                <w:tab w:val="center" w:pos="372"/>
              </w:tabs>
              <w:jc w:val="center"/>
              <w:rPr>
                <w:rFonts w:hint="eastAsia" w:ascii="CESI仿宋-GB2312" w:hAnsi="CESI仿宋-GB2312" w:eastAsia="CESI仿宋-GB2312" w:cs="CESI仿宋-GB2312"/>
                <w:sz w:val="28"/>
                <w:szCs w:val="28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lang w:val="en-US" w:eastAsia="zh-CN"/>
              </w:rPr>
              <w:t>/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FAE0DE8">
            <w:pPr>
              <w:jc w:val="both"/>
              <w:rPr>
                <w:rFonts w:hint="eastAsia" w:ascii="CESI仿宋-GB2312" w:hAnsi="CESI仿宋-GB2312" w:eastAsia="CESI仿宋-GB2312" w:cs="CESI仿宋-GB2312"/>
                <w:sz w:val="28"/>
                <w:szCs w:val="28"/>
                <w:lang w:val="en-US" w:eastAsia="zh-CN"/>
              </w:rPr>
            </w:pPr>
          </w:p>
          <w:p w14:paraId="474A9E54">
            <w:pPr>
              <w:jc w:val="center"/>
              <w:rPr>
                <w:rFonts w:hint="default" w:ascii="CESI仿宋-GB2312" w:hAnsi="CESI仿宋-GB2312" w:eastAsia="CESI仿宋-GB2312" w:cs="CESI仿宋-GB2312"/>
                <w:sz w:val="28"/>
                <w:szCs w:val="28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lang w:val="en-US" w:eastAsia="zh-CN"/>
              </w:rPr>
              <w:t>项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02FAFBD">
            <w:pPr>
              <w:jc w:val="both"/>
              <w:rPr>
                <w:rFonts w:hint="eastAsia" w:ascii="CESI仿宋-GB2312" w:hAnsi="CESI仿宋-GB2312" w:eastAsia="CESI仿宋-GB2312" w:cs="CESI仿宋-GB2312"/>
                <w:sz w:val="28"/>
                <w:szCs w:val="28"/>
                <w:lang w:val="en-US" w:eastAsia="zh-CN"/>
              </w:rPr>
            </w:pPr>
          </w:p>
          <w:p w14:paraId="01DF7099">
            <w:pPr>
              <w:jc w:val="center"/>
              <w:rPr>
                <w:rFonts w:hint="eastAsia" w:ascii="CESI仿宋-GB2312" w:hAnsi="CESI仿宋-GB2312" w:eastAsia="CESI仿宋-GB2312" w:cs="CESI仿宋-GB2312"/>
                <w:sz w:val="28"/>
                <w:szCs w:val="28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64A8FFE">
            <w:pPr>
              <w:jc w:val="both"/>
              <w:rPr>
                <w:rFonts w:hint="eastAsia" w:ascii="CESI仿宋-GB2312" w:hAnsi="CESI仿宋-GB2312" w:eastAsia="CESI仿宋-GB2312" w:cs="CESI仿宋-GB2312"/>
                <w:sz w:val="28"/>
                <w:szCs w:val="28"/>
                <w:lang w:val="en-US" w:eastAsia="zh-CN"/>
              </w:rPr>
            </w:pPr>
          </w:p>
          <w:p w14:paraId="10974368">
            <w:pPr>
              <w:jc w:val="center"/>
              <w:rPr>
                <w:rFonts w:hint="default" w:ascii="CESI仿宋-GB2312" w:hAnsi="CESI仿宋-GB2312" w:eastAsia="CESI仿宋-GB2312" w:cs="CESI仿宋-GB2312"/>
                <w:sz w:val="28"/>
                <w:szCs w:val="28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lang w:val="en-US" w:eastAsia="zh-CN"/>
              </w:rPr>
              <w:t>5%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C587118">
            <w:pPr>
              <w:jc w:val="center"/>
              <w:rPr>
                <w:rFonts w:hint="eastAsia" w:ascii="CESI仿宋-GB2312" w:hAnsi="CESI仿宋-GB2312" w:eastAsia="CESI仿宋-GB2312" w:cs="CESI仿宋-GB2312"/>
                <w:sz w:val="28"/>
                <w:szCs w:val="28"/>
                <w:lang w:val="en-US" w:eastAsia="zh-CN"/>
              </w:rPr>
            </w:pPr>
          </w:p>
          <w:p w14:paraId="47A7813F">
            <w:pPr>
              <w:jc w:val="both"/>
              <w:rPr>
                <w:rFonts w:hint="default" w:ascii="CESI仿宋-GB2312" w:hAnsi="CESI仿宋-GB2312" w:eastAsia="CESI仿宋-GB2312" w:cs="CESI仿宋-GB2312"/>
                <w:sz w:val="28"/>
                <w:szCs w:val="28"/>
                <w:lang w:val="en-US" w:eastAsia="zh-CN"/>
              </w:rPr>
            </w:pPr>
          </w:p>
        </w:tc>
      </w:tr>
      <w:tr w14:paraId="51FC97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B497F87">
            <w:pPr>
              <w:ind w:firstLine="280" w:firstLineChars="100"/>
              <w:jc w:val="left"/>
              <w:rPr>
                <w:rFonts w:hint="eastAsia" w:ascii="CESI仿宋-GB2312" w:hAnsi="CESI仿宋-GB2312" w:eastAsia="CESI仿宋-GB2312" w:cs="CESI仿宋-GB2312"/>
                <w:sz w:val="28"/>
                <w:szCs w:val="28"/>
                <w:lang w:val="en-US" w:eastAsia="zh-CN"/>
              </w:rPr>
            </w:pPr>
          </w:p>
        </w:tc>
        <w:tc>
          <w:tcPr>
            <w:tcW w:w="3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7950DF0">
            <w:pPr>
              <w:jc w:val="left"/>
              <w:rPr>
                <w:rFonts w:hint="eastAsia" w:ascii="CESI仿宋-GB2312" w:hAnsi="CESI仿宋-GB2312" w:eastAsia="CESI仿宋-GB2312" w:cs="CESI仿宋-GB2312"/>
                <w:sz w:val="28"/>
                <w:szCs w:val="28"/>
                <w:lang w:val="en-US" w:eastAsia="zh-CN"/>
              </w:rPr>
            </w:pP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DF4FAD5">
            <w:pPr>
              <w:tabs>
                <w:tab w:val="center" w:pos="372"/>
              </w:tabs>
              <w:jc w:val="center"/>
              <w:rPr>
                <w:rFonts w:hint="eastAsia" w:ascii="CESI仿宋-GB2312" w:hAnsi="CESI仿宋-GB2312" w:eastAsia="CESI仿宋-GB2312" w:cs="CESI仿宋-GB2312"/>
                <w:sz w:val="28"/>
                <w:szCs w:val="28"/>
                <w:lang w:val="en-US" w:eastAsia="zh-CN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A341334">
            <w:pPr>
              <w:jc w:val="center"/>
              <w:rPr>
                <w:rFonts w:hint="eastAsia" w:ascii="CESI仿宋-GB2312" w:hAnsi="CESI仿宋-GB2312" w:eastAsia="CESI仿宋-GB2312" w:cs="CESI仿宋-GB2312"/>
                <w:sz w:val="28"/>
                <w:szCs w:val="28"/>
                <w:lang w:val="en-US" w:eastAsia="zh-CN"/>
              </w:rPr>
            </w:pP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39517D4">
            <w:pPr>
              <w:jc w:val="center"/>
              <w:rPr>
                <w:rFonts w:hint="eastAsia" w:ascii="CESI仿宋-GB2312" w:hAnsi="CESI仿宋-GB2312" w:eastAsia="CESI仿宋-GB2312" w:cs="CESI仿宋-GB2312"/>
                <w:sz w:val="28"/>
                <w:szCs w:val="28"/>
                <w:lang w:val="en-US" w:eastAsia="zh-CN"/>
              </w:rPr>
            </w:pP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1ACCE38">
            <w:pPr>
              <w:jc w:val="center"/>
              <w:rPr>
                <w:rFonts w:hint="eastAsia" w:ascii="CESI仿宋-GB2312" w:hAnsi="CESI仿宋-GB2312" w:eastAsia="CESI仿宋-GB2312" w:cs="CESI仿宋-GB2312"/>
                <w:sz w:val="28"/>
                <w:szCs w:val="28"/>
                <w:lang w:val="en-US" w:eastAsia="zh-CN"/>
              </w:rPr>
            </w:pP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43CC336">
            <w:pPr>
              <w:jc w:val="both"/>
              <w:rPr>
                <w:rFonts w:hint="default" w:ascii="CESI仿宋-GB2312" w:hAnsi="CESI仿宋-GB2312" w:eastAsia="CESI仿宋-GB2312" w:cs="CESI仿宋-GB2312"/>
                <w:sz w:val="28"/>
                <w:szCs w:val="28"/>
                <w:lang w:val="en-US" w:eastAsia="zh-CN"/>
              </w:rPr>
            </w:pPr>
          </w:p>
        </w:tc>
      </w:tr>
    </w:tbl>
    <w:p w14:paraId="2D3D7E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left"/>
        <w:textAlignment w:val="auto"/>
        <w:rPr>
          <w:rFonts w:hint="eastAsia" w:ascii="CESI仿宋-GB2312" w:hAnsi="CESI仿宋-GB2312" w:eastAsia="CESI仿宋-GB2312" w:cs="CESI仿宋-GB2312"/>
          <w:sz w:val="28"/>
          <w:szCs w:val="28"/>
        </w:rPr>
      </w:pPr>
    </w:p>
    <w:p w14:paraId="2A2B1AF2">
      <w:pPr>
        <w:ind w:firstLine="3080" w:firstLineChars="1100"/>
        <w:jc w:val="both"/>
        <w:rPr>
          <w:rFonts w:hint="eastAsia" w:ascii="CESI仿宋-GB2312" w:hAnsi="CESI仿宋-GB2312" w:eastAsia="CESI仿宋-GB2312" w:cs="CESI仿宋-GB2312"/>
          <w:sz w:val="28"/>
          <w:szCs w:val="28"/>
        </w:rPr>
      </w:pPr>
    </w:p>
    <w:p w14:paraId="104B724B">
      <w:pPr>
        <w:ind w:firstLine="3080" w:firstLineChars="1100"/>
        <w:jc w:val="both"/>
        <w:rPr>
          <w:rFonts w:hint="eastAsia" w:ascii="CESI仿宋-GB2312" w:hAnsi="CESI仿宋-GB2312" w:eastAsia="CESI仿宋-GB2312" w:cs="CESI仿宋-GB2312"/>
          <w:sz w:val="28"/>
          <w:szCs w:val="28"/>
        </w:rPr>
      </w:pPr>
    </w:p>
    <w:p w14:paraId="44DBD96A">
      <w:pPr>
        <w:ind w:firstLine="3080" w:firstLineChars="1100"/>
        <w:jc w:val="both"/>
        <w:rPr>
          <w:rFonts w:hint="eastAsia" w:ascii="CESI仿宋-GB2312" w:hAnsi="CESI仿宋-GB2312" w:eastAsia="CESI仿宋-GB2312" w:cs="CESI仿宋-GB2312"/>
          <w:sz w:val="28"/>
          <w:szCs w:val="28"/>
        </w:rPr>
      </w:pPr>
    </w:p>
    <w:p w14:paraId="2EFB05D6">
      <w:pPr>
        <w:ind w:firstLine="3080" w:firstLineChars="1100"/>
        <w:jc w:val="both"/>
        <w:rPr>
          <w:rFonts w:hint="eastAsia" w:ascii="CESI仿宋-GB2312" w:hAnsi="CESI仿宋-GB2312" w:eastAsia="CESI仿宋-GB2312" w:cs="CESI仿宋-GB2312"/>
          <w:sz w:val="28"/>
          <w:szCs w:val="28"/>
        </w:rPr>
      </w:pPr>
      <w:r>
        <w:rPr>
          <w:rFonts w:hint="eastAsia" w:ascii="CESI仿宋-GB2312" w:hAnsi="CESI仿宋-GB2312" w:eastAsia="CESI仿宋-GB2312" w:cs="CESI仿宋-GB2312"/>
          <w:sz w:val="28"/>
          <w:szCs w:val="28"/>
        </w:rPr>
        <w:t>投标人（供应商</w:t>
      </w:r>
      <w:r>
        <w:rPr>
          <w:rFonts w:hint="eastAsia" w:ascii="CESI仿宋-GB2312" w:hAnsi="CESI仿宋-GB2312" w:eastAsia="CESI仿宋-GB2312" w:cs="CESI仿宋-GB2312"/>
          <w:sz w:val="28"/>
          <w:szCs w:val="28"/>
          <w:lang w:eastAsia="zh-CN"/>
        </w:rPr>
        <w:t>盖章</w:t>
      </w:r>
      <w:r>
        <w:rPr>
          <w:rFonts w:hint="eastAsia" w:ascii="CESI仿宋-GB2312" w:hAnsi="CESI仿宋-GB2312" w:eastAsia="CESI仿宋-GB2312" w:cs="CESI仿宋-GB2312"/>
          <w:sz w:val="28"/>
          <w:szCs w:val="28"/>
        </w:rPr>
        <w:t>）：</w:t>
      </w:r>
    </w:p>
    <w:p w14:paraId="1FDF6E8A">
      <w:pPr>
        <w:ind w:firstLine="840" w:firstLineChars="300"/>
        <w:jc w:val="center"/>
        <w:rPr>
          <w:rFonts w:hint="eastAsia" w:ascii="CESI仿宋-GB2312" w:hAnsi="CESI仿宋-GB2312" w:eastAsia="CESI仿宋-GB2312" w:cs="CESI仿宋-GB2312"/>
          <w:sz w:val="28"/>
          <w:szCs w:val="28"/>
        </w:rPr>
      </w:pPr>
      <w:r>
        <w:rPr>
          <w:rFonts w:hint="eastAsia" w:ascii="CESI仿宋-GB2312" w:hAnsi="CESI仿宋-GB2312" w:eastAsia="CESI仿宋-GB2312" w:cs="CESI仿宋-GB2312"/>
          <w:sz w:val="28"/>
          <w:szCs w:val="28"/>
          <w:lang w:val="en-US" w:eastAsia="zh-CN"/>
        </w:rPr>
        <w:t xml:space="preserve">            </w:t>
      </w:r>
      <w:r>
        <w:rPr>
          <w:rFonts w:hint="eastAsia" w:ascii="CESI仿宋-GB2312" w:hAnsi="CESI仿宋-GB2312" w:eastAsia="CESI仿宋-GB2312" w:cs="CESI仿宋-GB2312"/>
          <w:sz w:val="28"/>
          <w:szCs w:val="28"/>
        </w:rPr>
        <w:t xml:space="preserve">法定代表人或其委托代理人（签字）： </w:t>
      </w:r>
    </w:p>
    <w:p w14:paraId="21948493">
      <w:pPr>
        <w:jc w:val="righ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sz w:val="28"/>
          <w:szCs w:val="28"/>
          <w:highlight w:val="none"/>
        </w:rPr>
        <w:t xml:space="preserve">     年</w:t>
      </w:r>
      <w:r>
        <w:rPr>
          <w:rFonts w:hint="eastAsia" w:ascii="CESI仿宋-GB2312" w:hAnsi="CESI仿宋-GB2312" w:eastAsia="CESI仿宋-GB2312" w:cs="CESI仿宋-GB2312"/>
          <w:sz w:val="28"/>
          <w:szCs w:val="28"/>
          <w:highlight w:val="none"/>
          <w:lang w:val="en-US" w:eastAsia="zh-CN"/>
        </w:rPr>
        <w:t xml:space="preserve">  </w:t>
      </w:r>
      <w:r>
        <w:rPr>
          <w:rFonts w:hint="eastAsia" w:ascii="CESI仿宋-GB2312" w:hAnsi="CESI仿宋-GB2312" w:eastAsia="CESI仿宋-GB2312" w:cs="CESI仿宋-GB2312"/>
          <w:sz w:val="28"/>
          <w:szCs w:val="28"/>
          <w:highlight w:val="none"/>
        </w:rPr>
        <w:t>月</w:t>
      </w:r>
      <w:r>
        <w:rPr>
          <w:rFonts w:hint="eastAsia" w:ascii="CESI仿宋-GB2312" w:hAnsi="CESI仿宋-GB2312" w:eastAsia="CESI仿宋-GB2312" w:cs="CESI仿宋-GB2312"/>
          <w:sz w:val="28"/>
          <w:szCs w:val="28"/>
          <w:highlight w:val="none"/>
          <w:lang w:val="en-US" w:eastAsia="zh-CN"/>
        </w:rPr>
        <w:t xml:space="preserve">  </w:t>
      </w:r>
      <w:r>
        <w:rPr>
          <w:rFonts w:hint="eastAsia" w:ascii="CESI仿宋-GB2312" w:hAnsi="CESI仿宋-GB2312" w:eastAsia="CESI仿宋-GB2312" w:cs="CESI仿宋-GB2312"/>
          <w:sz w:val="28"/>
          <w:szCs w:val="28"/>
          <w:highlight w:val="none"/>
        </w:rPr>
        <w:t>日</w:t>
      </w:r>
      <w:bookmarkEnd w:id="0"/>
      <w:bookmarkEnd w:id="1"/>
    </w:p>
    <w:p w14:paraId="1F6C47D3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ESI仿宋-GB2312">
    <w:altName w:val="仿宋"/>
    <w:panose1 w:val="02000500000000000000"/>
    <w:charset w:val="86"/>
    <w:family w:val="auto"/>
    <w:pitch w:val="default"/>
    <w:sig w:usb0="00000000" w:usb1="00000000" w:usb2="00000010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557087D0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E3B93D9"/>
    <w:rsid w:val="0F4D45B3"/>
    <w:rsid w:val="19691922"/>
    <w:rsid w:val="460905FF"/>
    <w:rsid w:val="7E3B93D9"/>
    <w:rsid w:val="EF5FCD5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qFormat="1"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1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adjustRightInd w:val="0"/>
      <w:spacing w:line="360" w:lineRule="atLeast"/>
      <w:ind w:firstLine="420" w:firstLineChars="200"/>
      <w:jc w:val="left"/>
      <w:textAlignment w:val="baseline"/>
    </w:pPr>
    <w:rPr>
      <w:rFonts w:ascii="宋体"/>
      <w:kern w:val="0"/>
      <w:sz w:val="24"/>
    </w:rPr>
  </w:style>
  <w:style w:type="paragraph" w:styleId="3">
    <w:name w:val="Body Text"/>
    <w:basedOn w:val="1"/>
    <w:next w:val="1"/>
    <w:qFormat/>
    <w:uiPriority w:val="0"/>
    <w:pPr>
      <w:spacing w:after="120"/>
    </w:pPr>
  </w:style>
  <w:style w:type="paragraph" w:styleId="4">
    <w:name w:val="toc 6"/>
    <w:basedOn w:val="5"/>
    <w:next w:val="5"/>
    <w:qFormat/>
    <w:uiPriority w:val="0"/>
    <w:pPr>
      <w:ind w:left="1050"/>
      <w:jc w:val="left"/>
    </w:pPr>
    <w:rPr>
      <w:rFonts w:ascii="Calibri" w:hAnsi="Calibri"/>
      <w:sz w:val="18"/>
      <w:szCs w:val="18"/>
    </w:rPr>
  </w:style>
  <w:style w:type="paragraph" w:customStyle="1" w:styleId="5">
    <w:name w:val="正文_0"/>
    <w:basedOn w:val="6"/>
    <w:next w:val="9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6">
    <w:name w:val="正文_1"/>
    <w:basedOn w:val="7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7">
    <w:name w:val="正文_2"/>
    <w:basedOn w:val="8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customStyle="1" w:styleId="8">
    <w:name w:val="正文_3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styleId="9">
    <w:name w:val="Body Text First Indent"/>
    <w:basedOn w:val="3"/>
    <w:next w:val="4"/>
    <w:qFormat/>
    <w:uiPriority w:val="0"/>
    <w:pPr>
      <w:ind w:firstLine="100" w:firstLineChars="100"/>
    </w:pPr>
  </w:style>
  <w:style w:type="character" w:styleId="12">
    <w:name w:val="Strong"/>
    <w:basedOn w:val="11"/>
    <w:qFormat/>
    <w:uiPriority w:val="0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1114</Words>
  <Characters>1154</Characters>
  <Lines>0</Lines>
  <Paragraphs>0</Paragraphs>
  <TotalTime>18</TotalTime>
  <ScaleCrop>false</ScaleCrop>
  <LinksUpToDate>false</LinksUpToDate>
  <CharactersWithSpaces>1186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2026-07-21T18:08:00Z</dcterms:created>
  <dc:creator>user</dc:creator>
  <cp:lastModifiedBy>WPS_1681343649</cp:lastModifiedBy>
  <dcterms:modified xsi:type="dcterms:W3CDTF">2026-09-02T08:28:17Z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4300C296276F47B2950AACE13C7E53F4_13</vt:lpwstr>
  </property>
  <property fmtid="{D5CDD505-2E9C-101B-9397-08002B2CF9AE}" pid="4" name="KSOTemplateDocerSaveRecord">
    <vt:lpwstr>eyJoZGlkIjoiMjUyNTRiMTdiZWIzYTg0ZWJiNDkwM2ExZmYyNjNkNTgiLCJ1c2VySWQiOiIxNDg4NjI3MjczIn0=</vt:lpwstr>
  </property>
</Properties>
</file>