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DD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宋体" w:cs="黑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绍兴轨交特来电易捷充电网运营有限公司充电桩保险服务采购项目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询价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通知书</w:t>
      </w:r>
    </w:p>
    <w:p w14:paraId="694CE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63065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各供应商：</w:t>
      </w:r>
    </w:p>
    <w:p w14:paraId="349B2471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为进一步防范充电桩运营安全风险，明晰事故责任边界，有效压降经营损失，完善全流程风险管控体系，现就推进充电桩规范化保险体系建设相关事宜，需采购一家充电桩保险服务单位，现邀请贵单位对该项目进行报价，相关要求和事项如下：</w:t>
      </w:r>
    </w:p>
    <w:p w14:paraId="6E4B7666">
      <w:pPr>
        <w:pStyle w:val="2"/>
        <w:ind w:firstLine="640" w:firstLineChars="200"/>
        <w:rPr>
          <w:rFonts w:hint="default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一、服务内容</w:t>
      </w:r>
    </w:p>
    <w:p w14:paraId="1F177245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对公司全部在运充电桩及配套设备统一投保，覆盖财产一切险与公众责任险，拟定投保项目包括：</w:t>
      </w:r>
    </w:p>
    <w:p w14:paraId="77F35C1F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财产一切险：包含重置价值条款、公共当局条款、露天设备保障、残骸清理、灭火费用、自燃保障、虫鼠损毁、临时移动设备保障、专业维修费用、盗窃抢劫保障等全部约定附加险，全面覆盖设备各类意外损毁、灭失风险。</w:t>
      </w:r>
    </w:p>
    <w:p w14:paraId="11E5044E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2.公众责任险：附加火灾、爆炸、烟熏、水损责任及广告招牌第三者责任，覆盖设备运营期间引发的各类第三方人身、财产损失风险。</w:t>
      </w:r>
    </w:p>
    <w:p w14:paraId="19DCD618">
      <w:pPr>
        <w:pStyle w:val="2"/>
        <w:ind w:firstLine="640" w:firstLineChars="200"/>
        <w:rPr>
          <w:rFonts w:hint="eastAsia" w:eastAsia="宋体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3.投标单位可根据自身方案，拟定除上述条款外的其他特别条款。</w:t>
      </w:r>
    </w:p>
    <w:p w14:paraId="6C294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二、投标方资质要求</w:t>
      </w:r>
    </w:p>
    <w:p w14:paraId="23559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（一）</w:t>
      </w:r>
      <w:r>
        <w:rPr>
          <w:rFonts w:hint="eastAsia" w:ascii="仿宋_GB2312" w:eastAsia="仿宋_GB2312"/>
          <w:sz w:val="32"/>
          <w:szCs w:val="32"/>
          <w:highlight w:val="none"/>
        </w:rPr>
        <w:t>具备独立承担民事责任能力；</w:t>
      </w:r>
    </w:p>
    <w:p w14:paraId="5AD84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（二）</w:t>
      </w:r>
      <w:r>
        <w:rPr>
          <w:rFonts w:hint="eastAsia" w:ascii="仿宋_GB2312" w:eastAsia="仿宋_GB2312"/>
          <w:sz w:val="32"/>
          <w:szCs w:val="32"/>
          <w:highlight w:val="none"/>
        </w:rPr>
        <w:t>具有经年检有效的《企业法人营业执照》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。</w:t>
      </w:r>
    </w:p>
    <w:p w14:paraId="4E38B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exact"/>
        <w:ind w:firstLine="640" w:firstLineChars="200"/>
        <w:textAlignment w:val="auto"/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三、采购方案</w:t>
      </w:r>
    </w:p>
    <w:p w14:paraId="56A1EE7A">
      <w:pPr>
        <w:pStyle w:val="2"/>
        <w:ind w:firstLine="640" w:firstLineChars="200"/>
        <w:rPr>
          <w:rFonts w:hint="eastAsia" w:eastAsia="宋体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、结合公司现有已投运场站及规划待投运场站的规模统计，充电桩合计460根，其中已上线充电桩360根，后续计划新增上线充电桩100根，详细明细详见附件一。后续新增上线的充电桩，将根据实际情况按本次中标价格单独签订补充协议。</w:t>
      </w:r>
    </w:p>
    <w:p w14:paraId="3481F5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2、财产一切险：按设备资产原值千分之一计费，设备资产原值暂估2600万元，最终计费基数以正式上报备案资料为准，本险种保费上限26000元。公众责任险：按单桩限价50元标准计费，本险种保费上限23000元。本项目整体含税总保费上限49000元，投标报价不得超出上限。</w:t>
      </w:r>
    </w:p>
    <w:p w14:paraId="4DD703FE">
      <w:pPr>
        <w:pStyle w:val="2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3、保险保障周期统一为签订合同（或补充协议）之日起1年，年度续保。</w:t>
      </w:r>
    </w:p>
    <w:p w14:paraId="7EBDB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exact"/>
        <w:ind w:firstLine="640" w:firstLineChars="200"/>
        <w:textAlignment w:val="auto"/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四、核心赔付额度标准</w:t>
      </w:r>
    </w:p>
    <w:p w14:paraId="744333A2">
      <w:pPr>
        <w:pStyle w:val="5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1.财产一切险：无免赔额。</w:t>
      </w:r>
    </w:p>
    <w:p w14:paraId="0013DC28">
      <w:pPr>
        <w:pStyle w:val="5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2.公众责任险：每次赔偿限额不低于50万元；每次事故财产损失赔偿限额不低于50万元，人身伤亡赔偿限额不低于50万元；每次事故每人赔偿限额不低于10万元；每人医疗费赔偿限额不低于2万元；年度累计赔付限额不低于100万元。无第三方财产小额免赔门槛。投标单位可根据自身情况调整最低赔偿限额，但不得低于上述标准。</w:t>
      </w:r>
    </w:p>
    <w:p w14:paraId="754C8B22">
      <w:pPr>
        <w:pStyle w:val="5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3.突发极端灾害、重大安全事故可启用累计赔付额度。</w:t>
      </w:r>
    </w:p>
    <w:p w14:paraId="769E2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exact"/>
        <w:ind w:firstLine="640" w:firstLineChars="200"/>
        <w:textAlignment w:val="auto"/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五、需提交的资料（均需加盖公章）</w:t>
      </w:r>
    </w:p>
    <w:p w14:paraId="38D057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1、公司营业执照等资质证明文件复印件。</w:t>
      </w:r>
    </w:p>
    <w:p w14:paraId="664E44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2、法人或委托代理人身份证复印件。</w:t>
      </w:r>
    </w:p>
    <w:p w14:paraId="2DA5C0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3、报价单（格式见附件）。</w:t>
      </w:r>
    </w:p>
    <w:p w14:paraId="724F1955">
      <w:pPr>
        <w:pStyle w:val="2"/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4、保险方案</w:t>
      </w:r>
    </w:p>
    <w:p w14:paraId="761C7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exact"/>
        <w:ind w:firstLine="640" w:firstLineChars="200"/>
        <w:textAlignment w:val="auto"/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六、投标截止时间及地点</w:t>
      </w:r>
    </w:p>
    <w:p w14:paraId="7FF85F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截止时间：2025年8月14日9时整</w:t>
      </w:r>
    </w:p>
    <w:p w14:paraId="25A0F4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递交地点：绍兴轨交特来电易捷充电网运营有限公司一楼会议室</w:t>
      </w:r>
    </w:p>
    <w:p w14:paraId="43723E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项目联系人：吕超越        联系电话：0575-88171031</w:t>
      </w:r>
    </w:p>
    <w:p w14:paraId="3B551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exact"/>
        <w:ind w:firstLine="640" w:firstLineChars="200"/>
        <w:textAlignment w:val="auto"/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七、评审标准</w:t>
      </w:r>
    </w:p>
    <w:p w14:paraId="64BA0C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对符合要求的供应商，按照最低价评选原则，选择总价报价最低者作为合作方。若出现最低报价相同的情况，则抽签决定。</w:t>
      </w:r>
    </w:p>
    <w:p w14:paraId="17683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exact"/>
        <w:ind w:firstLine="640" w:firstLineChars="200"/>
        <w:textAlignment w:val="auto"/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八、其他事项</w:t>
      </w:r>
    </w:p>
    <w:p w14:paraId="11C20F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1、所有项目报价均不能超过上限价，否则视为无效标。</w:t>
      </w:r>
    </w:p>
    <w:p w14:paraId="5C7B7A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2、递交的投标文件必须密封，封口处加盖公章。同时按规定的时间送达至指定的地点，逾期视为放弃。所有涉及的一切费用，不论投标结果如何，采购方不承担任何费用。采购方有权对供应商的工作进行监督和检查，如发现问题有权要求整改。</w:t>
      </w:r>
    </w:p>
    <w:p w14:paraId="47EE93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附：报价表</w:t>
      </w:r>
    </w:p>
    <w:p w14:paraId="33BB7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绍兴轨交特来电易捷充电网运营有限公司</w:t>
      </w:r>
    </w:p>
    <w:p w14:paraId="4B357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2026年8月6日</w:t>
      </w:r>
      <w:bookmarkStart w:id="0" w:name="_Toc414434998"/>
      <w:bookmarkStart w:id="1" w:name="_Toc401824715"/>
    </w:p>
    <w:p w14:paraId="69ECEC3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附件一：</w:t>
      </w:r>
    </w:p>
    <w:tbl>
      <w:tblPr>
        <w:tblStyle w:val="13"/>
        <w:tblW w:w="8298" w:type="dxa"/>
        <w:tblInd w:w="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885"/>
        <w:gridCol w:w="1351"/>
        <w:gridCol w:w="1364"/>
        <w:gridCol w:w="798"/>
      </w:tblGrid>
      <w:tr w14:paraId="16A63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BB4C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02C7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电站名称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B368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快充终端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7E4E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慢充终端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E079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小计</w:t>
            </w:r>
          </w:p>
        </w:tc>
      </w:tr>
      <w:tr w14:paraId="5C6FF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6ED0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2675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南部枢纽充电站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B937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DF1F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4F40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</w:tr>
      <w:tr w14:paraId="2B081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C598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84E2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绍兴交通集团充电站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39C9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494E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9E0B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</w:tr>
      <w:tr w14:paraId="4B5F5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C115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32F2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梅龙湖充电站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0745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3042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074F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</w:tr>
      <w:tr w14:paraId="6E3C0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7157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A15D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梅山枢纽充电站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9796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DAE9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BA14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</w:tr>
      <w:tr w14:paraId="2973D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3BB2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6524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棒球未来城棒球馆地下充电站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1D96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B001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8323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129</w:t>
            </w:r>
          </w:p>
        </w:tc>
      </w:tr>
      <w:tr w14:paraId="63CCA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16BE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CA0C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棒球未来城垒球中心充电站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CFC3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0327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BE14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12</w:t>
            </w:r>
          </w:p>
        </w:tc>
      </w:tr>
      <w:tr w14:paraId="23DFC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D252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0C8D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秋湖充电站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A7C4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4CCD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6124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12</w:t>
            </w:r>
          </w:p>
        </w:tc>
      </w:tr>
      <w:tr w14:paraId="68E66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241B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F673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棒球未来城光储超充站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B507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A69F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16B0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26</w:t>
            </w:r>
          </w:p>
        </w:tc>
      </w:tr>
      <w:tr w14:paraId="11249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B3F7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C80A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市国动办充电站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9564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6740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5ED8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</w:tr>
      <w:tr w14:paraId="3804E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EF07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7C9F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奥体中心充电站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4483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E051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3ACC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</w:tr>
      <w:tr w14:paraId="776DE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67B3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11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C33C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稽东停车区杭州方向充电站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9C03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7AA4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D9B6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</w:tr>
      <w:tr w14:paraId="62152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A8E9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12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EF65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稽东停车区台州方向充电站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D66F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BDE7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C52A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</w:tr>
      <w:tr w14:paraId="2C3E4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3E0B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13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1D7F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大禹陵游客中心充电站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2550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318C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C091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</w:tr>
      <w:tr w14:paraId="48B24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3C48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14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81A9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章镇充电站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AFAA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BC61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92FA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</w:tr>
      <w:tr w14:paraId="52273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C11F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15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9A9E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绍兴饭店充电站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2BFE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548F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5B00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</w:tr>
      <w:tr w14:paraId="571C3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D64F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0D2D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西站充电站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A563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4010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D3BD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</w:tr>
      <w:tr w14:paraId="6A029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2F27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17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984F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柯岩服务区杭州方向充电站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787C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6349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96C6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20</w:t>
            </w:r>
          </w:p>
        </w:tc>
      </w:tr>
      <w:tr w14:paraId="30F8D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DCA6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18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0DC5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柯岩服务区台州方向充电站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3B09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18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1D12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EE88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18</w:t>
            </w:r>
          </w:p>
        </w:tc>
      </w:tr>
      <w:tr w14:paraId="50B0D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8F8C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19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F765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大禹开元充电站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1ABD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9F9C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04E0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</w:tr>
      <w:tr w14:paraId="5C47A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212A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20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F422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绍兴北站充电站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C7DA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18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DB47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E247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18</w:t>
            </w:r>
          </w:p>
        </w:tc>
      </w:tr>
      <w:tr w14:paraId="3E858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3B8F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21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82F3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预估场站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B8CE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9E0B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D9D5A">
            <w:pPr>
              <w:pStyle w:val="11"/>
              <w:keepNext w:val="0"/>
              <w:keepLines w:val="0"/>
              <w:pageBreakBefore w:val="0"/>
              <w:widowControl w:val="0"/>
              <w:tabs>
                <w:tab w:val="left" w:pos="35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100</w:t>
            </w:r>
          </w:p>
        </w:tc>
      </w:tr>
      <w:tr w14:paraId="6E0B4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1575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226D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合计枪数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6D06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315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73A6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145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4BA2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460</w:t>
            </w:r>
          </w:p>
        </w:tc>
      </w:tr>
    </w:tbl>
    <w:p w14:paraId="6CAAE575">
      <w:pPr>
        <w:pStyle w:val="4"/>
        <w:ind w:left="0" w:leftChars="0" w:firstLine="0" w:firstLineChars="0"/>
        <w:rPr>
          <w:rFonts w:hint="eastAsia"/>
        </w:rPr>
      </w:pPr>
    </w:p>
    <w:p w14:paraId="2F14355F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二</w:t>
      </w:r>
      <w:r>
        <w:rPr>
          <w:rFonts w:hint="eastAsia"/>
          <w:sz w:val="28"/>
          <w:szCs w:val="28"/>
        </w:rPr>
        <w:t>：</w:t>
      </w:r>
    </w:p>
    <w:p w14:paraId="544081A2">
      <w:pPr>
        <w:ind w:firstLine="883" w:firstLineChars="200"/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报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价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单</w:t>
      </w:r>
    </w:p>
    <w:p w14:paraId="36D21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1785" w:leftChars="-850" w:right="-315" w:rightChars="-150" w:firstLine="0" w:firstLineChars="0"/>
        <w:jc w:val="center"/>
        <w:textAlignment w:val="auto"/>
        <w:rPr>
          <w:rFonts w:hint="eastAsia" w:ascii="CESI仿宋-GB2312" w:hAnsi="CESI仿宋-GB2312" w:eastAsia="CESI仿宋-GB2312" w:cs="CESI仿宋-GB2312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sz w:val="28"/>
          <w:szCs w:val="28"/>
        </w:rPr>
        <w:t>项目名称：绍兴轨交特来电易捷充电网运营有限公司充电桩保险服务采购项目</w:t>
      </w:r>
    </w:p>
    <w:tbl>
      <w:tblPr>
        <w:tblStyle w:val="13"/>
        <w:tblpPr w:leftFromText="180" w:rightFromText="180" w:vertAnchor="text" w:horzAnchor="page" w:tblpX="467" w:tblpY="669"/>
        <w:tblOverlap w:val="never"/>
        <w:tblW w:w="111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358"/>
        <w:gridCol w:w="1342"/>
        <w:gridCol w:w="870"/>
        <w:gridCol w:w="900"/>
        <w:gridCol w:w="1620"/>
        <w:gridCol w:w="1470"/>
        <w:gridCol w:w="1350"/>
        <w:gridCol w:w="1380"/>
      </w:tblGrid>
      <w:tr w14:paraId="3F62E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B239A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99703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服务名称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033ED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规格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6D0A2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0F91C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7E03E">
            <w:pPr>
              <w:jc w:val="center"/>
              <w:rPr>
                <w:rFonts w:hint="default" w:ascii="CESI仿宋-GB2312" w:hAnsi="CESI仿宋-GB2312" w:eastAsia="CESI仿宋-GB2312" w:cs="CESI仿宋-GB2312"/>
                <w:sz w:val="28"/>
                <w:szCs w:val="28"/>
                <w:lang w:val="en-US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单价上限价（元）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F12FA">
            <w:pPr>
              <w:jc w:val="center"/>
              <w:rPr>
                <w:rFonts w:hint="default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上限总价（元）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BBC02">
            <w:pPr>
              <w:jc w:val="center"/>
              <w:rPr>
                <w:rFonts w:hint="default" w:ascii="CESI仿宋-GB2312" w:hAnsi="CESI仿宋-GB2312" w:eastAsia="CESI仿宋-GB2312" w:cs="CESI仿宋-GB2312"/>
                <w:sz w:val="28"/>
                <w:szCs w:val="28"/>
                <w:lang w:val="en-US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单价报价（元）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07980">
            <w:pPr>
              <w:jc w:val="center"/>
              <w:rPr>
                <w:rFonts w:hint="default" w:ascii="CESI仿宋-GB2312" w:hAnsi="CESI仿宋-GB2312" w:eastAsia="CESI仿宋-GB2312" w:cs="CESI仿宋-GB2312"/>
                <w:sz w:val="28"/>
                <w:szCs w:val="28"/>
                <w:lang w:val="en-US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报价总价（元）</w:t>
            </w:r>
          </w:p>
        </w:tc>
      </w:tr>
      <w:tr w14:paraId="1006C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5FF2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D9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财产一切险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3CA84">
            <w:pPr>
              <w:keepNext w:val="0"/>
              <w:keepLines w:val="0"/>
              <w:pageBreakBefore w:val="0"/>
              <w:widowControl w:val="0"/>
              <w:tabs>
                <w:tab w:val="center" w:pos="3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资产原值千分之一，暂估2600万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C3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55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8D026">
            <w:pPr>
              <w:keepNext w:val="0"/>
              <w:keepLines w:val="0"/>
              <w:pageBreakBefore w:val="0"/>
              <w:widowControl w:val="0"/>
              <w:tabs>
                <w:tab w:val="center" w:pos="70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26000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5335E">
            <w:pPr>
              <w:keepNext w:val="0"/>
              <w:keepLines w:val="0"/>
              <w:pageBreakBefore w:val="0"/>
              <w:widowControl w:val="0"/>
              <w:tabs>
                <w:tab w:val="left" w:pos="2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26000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0B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" w:name="_GoBack"/>
            <w:bookmarkEnd w:id="2"/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3B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C1CF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FA09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99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公众责任险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CF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72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根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9C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460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53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C9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23000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18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BE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7202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02D1F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71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01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6C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16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F0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CD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4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75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</w:p>
        </w:tc>
      </w:tr>
      <w:tr w14:paraId="2B1B0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1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0816429">
            <w:pPr>
              <w:jc w:val="both"/>
              <w:rPr>
                <w:rFonts w:hint="default" w:ascii="CESI仿宋-GB2312" w:hAnsi="CESI仿宋-GB2312" w:eastAsia="CESI仿宋-GB2312" w:cs="CESI仿宋-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lang w:val="en-US" w:eastAsia="zh-CN" w:bidi="ar-SA"/>
              </w:rPr>
              <w:t>备注：鉴于棒垒球馆桩数较多，供应商可根据自身报价策略对单站进行打包报价，单独报价需逐一列明。</w:t>
            </w:r>
          </w:p>
        </w:tc>
      </w:tr>
      <w:tr w14:paraId="2E9D2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4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A270469">
            <w:pPr>
              <w:jc w:val="left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lang w:val="en-US" w:eastAsia="zh-CN" w:bidi="ar-SA"/>
              </w:rPr>
              <w:t>合计费用报价</w:t>
            </w:r>
          </w:p>
        </w:tc>
        <w:tc>
          <w:tcPr>
            <w:tcW w:w="67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D66341">
            <w:pPr>
              <w:jc w:val="left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lang w:val="en-US" w:eastAsia="zh-CN" w:bidi="ar-SA"/>
              </w:rPr>
              <w:t>¥：</w:t>
            </w:r>
          </w:p>
        </w:tc>
      </w:tr>
      <w:tr w14:paraId="22239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4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0683A6">
            <w:pPr>
              <w:jc w:val="center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7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C514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lang w:val="en-US" w:eastAsia="zh-CN" w:bidi="ar-SA"/>
              </w:rPr>
              <w:t>（大写）：</w:t>
            </w:r>
          </w:p>
        </w:tc>
      </w:tr>
    </w:tbl>
    <w:p w14:paraId="03E9A928">
      <w:pPr>
        <w:pStyle w:val="9"/>
        <w:ind w:left="0" w:leftChars="0" w:firstLine="0" w:firstLineChars="0"/>
        <w:rPr>
          <w:rFonts w:hint="eastAsia" w:ascii="CESI仿宋-GB2312" w:hAnsi="CESI仿宋-GB2312" w:eastAsia="CESI仿宋-GB2312" w:cs="CESI仿宋-GB2312"/>
          <w:sz w:val="28"/>
          <w:szCs w:val="28"/>
          <w:vertAlign w:val="superscript"/>
        </w:rPr>
      </w:pPr>
    </w:p>
    <w:p w14:paraId="1746E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1260" w:leftChars="-600" w:firstLine="56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sz w:val="28"/>
          <w:szCs w:val="28"/>
        </w:rPr>
        <w:t>注：</w:t>
      </w:r>
      <w:r>
        <w:rPr>
          <w:rFonts w:hint="eastAsia" w:ascii="CESI仿宋-GB2312" w:hAnsi="CESI仿宋-GB2312" w:eastAsia="CESI仿宋-GB2312" w:cs="CESI仿宋-GB2312"/>
          <w:sz w:val="28"/>
          <w:szCs w:val="28"/>
          <w:lang w:eastAsia="zh-CN"/>
        </w:rPr>
        <w:t>该费用为全包含税费用</w:t>
      </w:r>
      <w:r>
        <w:rPr>
          <w:rFonts w:hint="eastAsia" w:ascii="CESI仿宋-GB2312" w:hAnsi="CESI仿宋-GB2312" w:eastAsia="CESI仿宋-GB2312" w:cs="CESI仿宋-GB2312"/>
          <w:sz w:val="28"/>
          <w:szCs w:val="28"/>
          <w:lang w:val="en-US" w:eastAsia="zh-CN"/>
        </w:rPr>
        <w:t>，</w:t>
      </w:r>
      <w:r>
        <w:rPr>
          <w:rFonts w:hint="eastAsia" w:ascii="CESI仿宋-GB2312" w:hAnsi="CESI仿宋-GB2312" w:eastAsia="CESI仿宋-GB2312" w:cs="CESI仿宋-GB2312"/>
          <w:sz w:val="28"/>
          <w:szCs w:val="28"/>
        </w:rPr>
        <w:t>报价四舍五入精确到元。</w:t>
      </w:r>
    </w:p>
    <w:p w14:paraId="4ABA104E">
      <w:pPr>
        <w:pStyle w:val="9"/>
        <w:rPr>
          <w:rFonts w:hint="eastAsia" w:ascii="CESI仿宋-GB2312" w:hAnsi="CESI仿宋-GB2312" w:eastAsia="CESI仿宋-GB2312" w:cs="CESI仿宋-GB2312"/>
          <w:sz w:val="21"/>
          <w:szCs w:val="24"/>
        </w:rPr>
      </w:pPr>
    </w:p>
    <w:p w14:paraId="4D9F4267">
      <w:pPr>
        <w:ind w:firstLine="3080" w:firstLineChars="1100"/>
        <w:jc w:val="both"/>
        <w:rPr>
          <w:rFonts w:hint="eastAsia" w:ascii="CESI仿宋-GB2312" w:hAnsi="CESI仿宋-GB2312" w:eastAsia="CESI仿宋-GB2312" w:cs="CESI仿宋-GB2312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sz w:val="28"/>
          <w:szCs w:val="28"/>
        </w:rPr>
        <w:t>投标人（供应商</w:t>
      </w:r>
      <w:r>
        <w:rPr>
          <w:rFonts w:hint="eastAsia" w:ascii="CESI仿宋-GB2312" w:hAnsi="CESI仿宋-GB2312" w:eastAsia="CESI仿宋-GB2312" w:cs="CESI仿宋-GB2312"/>
          <w:sz w:val="28"/>
          <w:szCs w:val="28"/>
          <w:lang w:eastAsia="zh-CN"/>
        </w:rPr>
        <w:t>盖章</w:t>
      </w:r>
      <w:r>
        <w:rPr>
          <w:rFonts w:hint="eastAsia" w:ascii="CESI仿宋-GB2312" w:hAnsi="CESI仿宋-GB2312" w:eastAsia="CESI仿宋-GB2312" w:cs="CESI仿宋-GB2312"/>
          <w:sz w:val="28"/>
          <w:szCs w:val="28"/>
        </w:rPr>
        <w:t>）：</w:t>
      </w:r>
    </w:p>
    <w:p w14:paraId="02FC3A6D">
      <w:pPr>
        <w:ind w:firstLine="840" w:firstLineChars="300"/>
        <w:jc w:val="center"/>
        <w:rPr>
          <w:rFonts w:hint="eastAsia" w:ascii="CESI仿宋-GB2312" w:hAnsi="CESI仿宋-GB2312" w:eastAsia="CESI仿宋-GB2312" w:cs="CESI仿宋-GB2312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sz w:val="28"/>
          <w:szCs w:val="28"/>
          <w:lang w:val="en-US" w:eastAsia="zh-CN"/>
        </w:rPr>
        <w:t xml:space="preserve">            </w:t>
      </w:r>
      <w:r>
        <w:rPr>
          <w:rFonts w:hint="eastAsia" w:ascii="CESI仿宋-GB2312" w:hAnsi="CESI仿宋-GB2312" w:eastAsia="CESI仿宋-GB2312" w:cs="CESI仿宋-GB2312"/>
          <w:sz w:val="28"/>
          <w:szCs w:val="28"/>
        </w:rPr>
        <w:t xml:space="preserve">法定代表人或其委托代理人（签字）： </w:t>
      </w:r>
    </w:p>
    <w:p w14:paraId="30D954A8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28"/>
          <w:szCs w:val="28"/>
          <w:highlight w:val="none"/>
        </w:rPr>
        <w:t xml:space="preserve">     年</w:t>
      </w:r>
      <w:r>
        <w:rPr>
          <w:rFonts w:hint="eastAsia" w:ascii="CESI仿宋-GB2312" w:hAnsi="CESI仿宋-GB2312" w:eastAsia="CESI仿宋-GB2312" w:cs="CESI仿宋-GB2312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28"/>
          <w:szCs w:val="28"/>
          <w:highlight w:val="none"/>
        </w:rPr>
        <w:t>月</w:t>
      </w:r>
      <w:r>
        <w:rPr>
          <w:rFonts w:hint="eastAsia" w:ascii="CESI仿宋-GB2312" w:hAnsi="CESI仿宋-GB2312" w:eastAsia="CESI仿宋-GB2312" w:cs="CESI仿宋-GB2312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28"/>
          <w:szCs w:val="28"/>
          <w:highlight w:val="none"/>
        </w:rPr>
        <w:t>日</w:t>
      </w:r>
      <w:bookmarkEnd w:id="0"/>
      <w:bookmarkEnd w:id="1"/>
    </w:p>
    <w:sectPr>
      <w:pgSz w:w="11906" w:h="16838"/>
      <w:pgMar w:top="1134" w:right="1800" w:bottom="1134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C2BAF7-B014-4E34-9420-827AA4E00A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CBD7EB24-6005-4AA8-B191-CF4050613D5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7C274C8-2811-49D7-A676-0B7DF19956CC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903B1578-7FA5-4D84-9609-1FD7C33A23BE}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5" w:fontKey="{A7A1047A-1472-40C0-B74E-105F02644D9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C5DB0"/>
    <w:rsid w:val="060C659B"/>
    <w:rsid w:val="0D204A1D"/>
    <w:rsid w:val="0F500E2C"/>
    <w:rsid w:val="0F5F88DB"/>
    <w:rsid w:val="117607E2"/>
    <w:rsid w:val="17FCF9BE"/>
    <w:rsid w:val="185E707F"/>
    <w:rsid w:val="19B728E6"/>
    <w:rsid w:val="1CC0758B"/>
    <w:rsid w:val="1DFFDD4A"/>
    <w:rsid w:val="1E004A17"/>
    <w:rsid w:val="1FF68A96"/>
    <w:rsid w:val="2B7D81D7"/>
    <w:rsid w:val="2D769910"/>
    <w:rsid w:val="2DE50675"/>
    <w:rsid w:val="2DFF750F"/>
    <w:rsid w:val="36779AA9"/>
    <w:rsid w:val="3A432896"/>
    <w:rsid w:val="3ABC19F9"/>
    <w:rsid w:val="3B3B4F65"/>
    <w:rsid w:val="3EBF8211"/>
    <w:rsid w:val="3EE7AC5F"/>
    <w:rsid w:val="3EFFFA51"/>
    <w:rsid w:val="3F6A90B7"/>
    <w:rsid w:val="3FFFDB92"/>
    <w:rsid w:val="48943977"/>
    <w:rsid w:val="4E5D4C01"/>
    <w:rsid w:val="4FF3BDE9"/>
    <w:rsid w:val="53803A05"/>
    <w:rsid w:val="53F00C37"/>
    <w:rsid w:val="56B0294E"/>
    <w:rsid w:val="58FFDA84"/>
    <w:rsid w:val="5B7F9083"/>
    <w:rsid w:val="5C5F5F2D"/>
    <w:rsid w:val="5DFF6DC9"/>
    <w:rsid w:val="5DFFA660"/>
    <w:rsid w:val="5FFFE41C"/>
    <w:rsid w:val="606F2EF2"/>
    <w:rsid w:val="60E75B48"/>
    <w:rsid w:val="616F56FB"/>
    <w:rsid w:val="64056205"/>
    <w:rsid w:val="65901886"/>
    <w:rsid w:val="66FFD35C"/>
    <w:rsid w:val="68FDB3AE"/>
    <w:rsid w:val="6BFDF197"/>
    <w:rsid w:val="6C8D34FC"/>
    <w:rsid w:val="6CA02888"/>
    <w:rsid w:val="6DC67907"/>
    <w:rsid w:val="6E27109F"/>
    <w:rsid w:val="77292528"/>
    <w:rsid w:val="776FDE6D"/>
    <w:rsid w:val="77FBA1E1"/>
    <w:rsid w:val="78BE392E"/>
    <w:rsid w:val="7914790D"/>
    <w:rsid w:val="7B97E11F"/>
    <w:rsid w:val="7BBF1C33"/>
    <w:rsid w:val="7CB9A765"/>
    <w:rsid w:val="7DDFE94F"/>
    <w:rsid w:val="7EC707C8"/>
    <w:rsid w:val="7F1B2014"/>
    <w:rsid w:val="7F4D6564"/>
    <w:rsid w:val="7F5FDF11"/>
    <w:rsid w:val="7F97826B"/>
    <w:rsid w:val="7FBC0954"/>
    <w:rsid w:val="7FCFD476"/>
    <w:rsid w:val="7FDB29A0"/>
    <w:rsid w:val="7FEFD07F"/>
    <w:rsid w:val="7FF342AB"/>
    <w:rsid w:val="7FF45734"/>
    <w:rsid w:val="7FFF4151"/>
    <w:rsid w:val="7FFFB57A"/>
    <w:rsid w:val="8BAFDFD5"/>
    <w:rsid w:val="97EFD6A3"/>
    <w:rsid w:val="A9DFB048"/>
    <w:rsid w:val="B77EC819"/>
    <w:rsid w:val="B7FF5C31"/>
    <w:rsid w:val="BBEF9E59"/>
    <w:rsid w:val="BDADE22D"/>
    <w:rsid w:val="BDF5024C"/>
    <w:rsid w:val="BFB5AEF9"/>
    <w:rsid w:val="BFBD486F"/>
    <w:rsid w:val="CF9B3072"/>
    <w:rsid w:val="D9A7E238"/>
    <w:rsid w:val="DBF7C392"/>
    <w:rsid w:val="DEFEBEB1"/>
    <w:rsid w:val="DEFFB659"/>
    <w:rsid w:val="ECFB060F"/>
    <w:rsid w:val="EF5B944A"/>
    <w:rsid w:val="EFBD52F2"/>
    <w:rsid w:val="EFFDF783"/>
    <w:rsid w:val="EFFF6484"/>
    <w:rsid w:val="F274C027"/>
    <w:rsid w:val="F3B30F1F"/>
    <w:rsid w:val="F76F28D2"/>
    <w:rsid w:val="F77F5251"/>
    <w:rsid w:val="F9DF211E"/>
    <w:rsid w:val="FAD856C3"/>
    <w:rsid w:val="FBE31FDB"/>
    <w:rsid w:val="FEF3C1CB"/>
    <w:rsid w:val="FFAF3633"/>
    <w:rsid w:val="FFBBD2AB"/>
    <w:rsid w:val="FFCBCE9D"/>
    <w:rsid w:val="FFFE8350"/>
    <w:rsid w:val="FFFF05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semiHidden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100" w:firstLineChars="100"/>
    </w:p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toc 6"/>
    <w:basedOn w:val="5"/>
    <w:next w:val="5"/>
    <w:qFormat/>
    <w:uiPriority w:val="0"/>
    <w:pPr>
      <w:ind w:left="1050"/>
      <w:jc w:val="left"/>
    </w:pPr>
    <w:rPr>
      <w:rFonts w:ascii="Calibri" w:hAnsi="Calibri"/>
      <w:sz w:val="18"/>
      <w:szCs w:val="18"/>
    </w:rPr>
  </w:style>
  <w:style w:type="paragraph" w:customStyle="1" w:styleId="5">
    <w:name w:val="正文_0"/>
    <w:basedOn w:val="6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">
    <w:name w:val="正文_1"/>
    <w:basedOn w:val="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">
    <w:name w:val="正文_2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8">
    <w:name w:val="正文_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9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0">
    <w:name w:val="Normal Indent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宋体"/>
      <w:kern w:val="0"/>
      <w:sz w:val="24"/>
    </w:rPr>
  </w:style>
  <w:style w:type="paragraph" w:styleId="11">
    <w:name w:val="Plain Text"/>
    <w:basedOn w:val="1"/>
    <w:qFormat/>
    <w:uiPriority w:val="0"/>
    <w:pPr>
      <w:spacing w:line="240" w:lineRule="auto"/>
      <w:ind w:firstLine="0"/>
    </w:pPr>
  </w:style>
  <w:style w:type="paragraph" w:styleId="1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1756</Words>
  <Characters>1884</Characters>
  <Lines>0</Lines>
  <Paragraphs>0</Paragraphs>
  <TotalTime>39</TotalTime>
  <ScaleCrop>false</ScaleCrop>
  <LinksUpToDate>false</LinksUpToDate>
  <CharactersWithSpaces>1916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2025-03-04T16:43:00Z</dcterms:created>
  <dc:creator>user</dc:creator>
  <cp:lastModifiedBy>WPS_1681343649</cp:lastModifiedBy>
  <cp:lastPrinted>2026-08-07T07:11:00Z</cp:lastPrinted>
  <dcterms:modified xsi:type="dcterms:W3CDTF">2026-08-10T08:07:13Z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E8EE792331D545609AC3768C7B3CD8C7_13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