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C2CCF">
      <w:pPr>
        <w:jc w:val="center"/>
        <w:outlineLvl w:val="0"/>
        <w:rPr>
          <w:rFonts w:hint="eastAsia" w:ascii="仿宋" w:hAnsi="仿宋" w:eastAsia="仿宋" w:cs="仿宋"/>
          <w:b/>
          <w:bCs/>
          <w:i w:val="0"/>
          <w:iCs w:val="0"/>
          <w:color w:val="auto"/>
          <w:sz w:val="60"/>
          <w:szCs w:val="60"/>
          <w:highlight w:val="none"/>
          <w:lang w:val="en-US" w:eastAsia="zh-CN"/>
        </w:rPr>
      </w:pPr>
      <w:bookmarkStart w:id="0" w:name="_Hlt67893495"/>
      <w:bookmarkEnd w:id="0"/>
      <w:r>
        <w:rPr>
          <w:rFonts w:hint="eastAsia" w:ascii="仿宋" w:hAnsi="仿宋" w:eastAsia="仿宋" w:cs="仿宋"/>
          <w:b/>
          <w:bCs/>
          <w:i w:val="0"/>
          <w:iCs w:val="0"/>
          <w:color w:val="auto"/>
          <w:sz w:val="60"/>
          <w:szCs w:val="60"/>
          <w:highlight w:val="none"/>
          <w:lang w:val="en-US" w:eastAsia="zh-CN"/>
        </w:rPr>
        <w:t>绍兴轨交充电网二期项目</w:t>
      </w:r>
    </w:p>
    <w:p w14:paraId="4981CEA0">
      <w:pPr>
        <w:jc w:val="center"/>
        <w:outlineLvl w:val="0"/>
        <w:rPr>
          <w:rFonts w:hint="eastAsia" w:ascii="仿宋" w:hAnsi="仿宋" w:eastAsia="仿宋" w:cs="仿宋"/>
          <w:b/>
          <w:bCs/>
          <w:i w:val="0"/>
          <w:iCs w:val="0"/>
          <w:color w:val="auto"/>
          <w:sz w:val="60"/>
          <w:szCs w:val="60"/>
          <w:highlight w:val="none"/>
          <w:lang w:val="en-US" w:eastAsia="zh-CN"/>
        </w:rPr>
      </w:pPr>
      <w:r>
        <w:rPr>
          <w:rFonts w:hint="eastAsia" w:ascii="仿宋" w:hAnsi="仿宋" w:eastAsia="仿宋" w:cs="仿宋"/>
          <w:b/>
          <w:bCs/>
          <w:i w:val="0"/>
          <w:iCs w:val="0"/>
          <w:color w:val="auto"/>
          <w:sz w:val="60"/>
          <w:szCs w:val="60"/>
          <w:highlight w:val="none"/>
          <w:lang w:val="en-US" w:eastAsia="zh-CN"/>
        </w:rPr>
        <w:t>（第二次）</w:t>
      </w:r>
    </w:p>
    <w:p w14:paraId="136D4061">
      <w:pPr>
        <w:jc w:val="both"/>
        <w:outlineLvl w:val="0"/>
        <w:rPr>
          <w:rFonts w:hint="eastAsia" w:ascii="仿宋" w:hAnsi="仿宋" w:eastAsia="仿宋" w:cs="仿宋"/>
          <w:b/>
          <w:i w:val="0"/>
          <w:iCs w:val="0"/>
          <w:color w:val="auto"/>
          <w:sz w:val="21"/>
          <w:szCs w:val="21"/>
          <w:highlight w:val="none"/>
        </w:rPr>
      </w:pPr>
    </w:p>
    <w:p w14:paraId="17B9933F">
      <w:pPr>
        <w:jc w:val="center"/>
        <w:outlineLvl w:val="0"/>
        <w:rPr>
          <w:rFonts w:hint="eastAsia" w:ascii="仿宋" w:hAnsi="仿宋" w:eastAsia="仿宋" w:cs="仿宋"/>
          <w:b/>
          <w:i w:val="0"/>
          <w:iCs w:val="0"/>
          <w:color w:val="auto"/>
          <w:sz w:val="21"/>
          <w:szCs w:val="21"/>
          <w:highlight w:val="none"/>
        </w:rPr>
      </w:pPr>
    </w:p>
    <w:p w14:paraId="3796612D">
      <w:pPr>
        <w:jc w:val="center"/>
        <w:outlineLvl w:val="0"/>
        <w:rPr>
          <w:rFonts w:hint="eastAsia" w:ascii="仿宋" w:hAnsi="仿宋" w:eastAsia="仿宋" w:cs="仿宋"/>
          <w:b/>
          <w:i w:val="0"/>
          <w:iCs w:val="0"/>
          <w:color w:val="auto"/>
          <w:sz w:val="21"/>
          <w:szCs w:val="21"/>
          <w:highlight w:val="none"/>
        </w:rPr>
      </w:pPr>
    </w:p>
    <w:p w14:paraId="5AFCDB7F">
      <w:pPr>
        <w:pStyle w:val="2"/>
        <w:rPr>
          <w:rFonts w:hint="eastAsia" w:ascii="仿宋" w:hAnsi="仿宋" w:eastAsia="仿宋" w:cs="仿宋"/>
          <w:highlight w:val="none"/>
        </w:rPr>
      </w:pPr>
    </w:p>
    <w:p w14:paraId="35F1BE69">
      <w:pPr>
        <w:jc w:val="center"/>
        <w:outlineLvl w:val="0"/>
        <w:rPr>
          <w:rFonts w:hint="eastAsia"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46973860">
      <w:pPr>
        <w:jc w:val="center"/>
        <w:outlineLvl w:val="0"/>
        <w:rPr>
          <w:rFonts w:hint="eastAsia"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004285C2">
      <w:pPr>
        <w:jc w:val="center"/>
        <w:outlineLvl w:val="0"/>
        <w:rPr>
          <w:rFonts w:hint="eastAsia"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48C59881">
      <w:pPr>
        <w:jc w:val="center"/>
        <w:outlineLvl w:val="0"/>
        <w:rPr>
          <w:rFonts w:hint="eastAsia"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20BE339E">
      <w:pPr>
        <w:jc w:val="center"/>
        <w:outlineLvl w:val="0"/>
        <w:rPr>
          <w:rFonts w:hint="eastAsia"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0D11541C">
      <w:pPr>
        <w:jc w:val="center"/>
        <w:outlineLvl w:val="0"/>
        <w:rPr>
          <w:rFonts w:hint="eastAsia"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37BE6DCA">
      <w:pPr>
        <w:adjustRightInd/>
        <w:spacing w:line="360" w:lineRule="auto"/>
        <w:jc w:val="center"/>
        <w:rPr>
          <w:rFonts w:hint="eastAsia" w:ascii="仿宋" w:hAnsi="仿宋" w:eastAsia="仿宋" w:cs="仿宋"/>
          <w:b/>
          <w:i w:val="0"/>
          <w:iCs w:val="0"/>
          <w:color w:val="auto"/>
          <w:sz w:val="28"/>
          <w:szCs w:val="28"/>
          <w:highlight w:val="none"/>
        </w:rPr>
      </w:pPr>
      <w:r>
        <w:rPr>
          <w:rFonts w:hint="eastAsia" w:ascii="仿宋" w:hAnsi="仿宋" w:eastAsia="仿宋" w:cs="仿宋"/>
          <w:b/>
          <w:i w:val="0"/>
          <w:iCs w:val="0"/>
          <w:color w:val="auto"/>
          <w:sz w:val="44"/>
          <w:szCs w:val="44"/>
          <w:highlight w:val="none"/>
        </w:rPr>
        <w:t>（电子招投标）</w:t>
      </w:r>
    </w:p>
    <w:p w14:paraId="7428A733">
      <w:pPr>
        <w:jc w:val="center"/>
        <w:rPr>
          <w:rFonts w:hint="eastAsia" w:ascii="仿宋" w:hAnsi="仿宋" w:eastAsia="仿宋" w:cs="仿宋"/>
          <w:b/>
          <w:i w:val="0"/>
          <w:iCs w:val="0"/>
          <w:color w:val="auto"/>
          <w:sz w:val="28"/>
          <w:szCs w:val="28"/>
          <w:highlight w:val="none"/>
        </w:rPr>
      </w:pPr>
    </w:p>
    <w:p w14:paraId="0B7518E3">
      <w:pPr>
        <w:jc w:val="center"/>
        <w:rPr>
          <w:rFonts w:hint="eastAsia" w:ascii="仿宋" w:hAnsi="仿宋" w:eastAsia="仿宋" w:cs="仿宋"/>
          <w:b/>
          <w:i w:val="0"/>
          <w:iCs w:val="0"/>
          <w:color w:val="auto"/>
          <w:sz w:val="28"/>
          <w:szCs w:val="28"/>
          <w:highlight w:val="none"/>
          <w:lang w:eastAsia="zh-CN"/>
        </w:rPr>
      </w:pPr>
      <w:r>
        <w:rPr>
          <w:rFonts w:hint="eastAsia" w:ascii="仿宋" w:hAnsi="仿宋" w:eastAsia="仿宋" w:cs="仿宋"/>
          <w:b/>
          <w:i w:val="0"/>
          <w:iCs w:val="0"/>
          <w:color w:val="auto"/>
          <w:sz w:val="28"/>
          <w:szCs w:val="28"/>
          <w:highlight w:val="none"/>
        </w:rPr>
        <w:t>招标编号:</w:t>
      </w:r>
      <w:r>
        <w:rPr>
          <w:rFonts w:hint="eastAsia" w:ascii="仿宋" w:hAnsi="仿宋" w:eastAsia="仿宋" w:cs="仿宋"/>
          <w:b/>
          <w:i w:val="0"/>
          <w:iCs w:val="0"/>
          <w:color w:val="auto"/>
          <w:sz w:val="28"/>
          <w:szCs w:val="28"/>
          <w:highlight w:val="none"/>
          <w:lang w:eastAsia="zh-CN"/>
        </w:rPr>
        <w:t>ZJXSC-2025-110</w:t>
      </w:r>
    </w:p>
    <w:p w14:paraId="0B4CDCA0">
      <w:pPr>
        <w:jc w:val="center"/>
        <w:rPr>
          <w:rFonts w:hint="eastAsia" w:ascii="仿宋" w:hAnsi="仿宋" w:eastAsia="仿宋" w:cs="仿宋"/>
          <w:b/>
          <w:i w:val="0"/>
          <w:iCs w:val="0"/>
          <w:color w:val="auto"/>
          <w:sz w:val="28"/>
          <w:szCs w:val="28"/>
          <w:highlight w:val="none"/>
          <w:lang w:eastAsia="zh-CN"/>
        </w:rPr>
      </w:pPr>
    </w:p>
    <w:p w14:paraId="1F644B80">
      <w:pPr>
        <w:pStyle w:val="2"/>
        <w:rPr>
          <w:rFonts w:hint="eastAsia" w:ascii="仿宋" w:hAnsi="仿宋" w:eastAsia="仿宋" w:cs="仿宋"/>
          <w:highlight w:val="none"/>
          <w:lang w:eastAsia="zh-CN"/>
        </w:rPr>
      </w:pPr>
    </w:p>
    <w:tbl>
      <w:tblPr>
        <w:tblStyle w:val="64"/>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00"/>
        <w:gridCol w:w="5592"/>
      </w:tblGrid>
      <w:tr w14:paraId="75813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305B88EE">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招标人：</w:t>
            </w:r>
          </w:p>
        </w:tc>
        <w:tc>
          <w:tcPr>
            <w:tcW w:w="5592" w:type="dxa"/>
            <w:vAlign w:val="center"/>
          </w:tcPr>
          <w:p w14:paraId="2D34BC7A">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hint="eastAsia" w:ascii="仿宋" w:hAnsi="仿宋" w:eastAsia="仿宋" w:cs="仿宋"/>
                <w:i w:val="0"/>
                <w:iCs w:val="0"/>
                <w:color w:val="auto"/>
                <w:sz w:val="28"/>
                <w:szCs w:val="28"/>
                <w:highlight w:val="none"/>
                <w:lang w:val="en-US"/>
              </w:rPr>
            </w:pPr>
            <w:r>
              <w:rPr>
                <w:rFonts w:hint="eastAsia" w:ascii="仿宋" w:hAnsi="仿宋" w:eastAsia="仿宋" w:cs="仿宋"/>
                <w:i w:val="0"/>
                <w:iCs w:val="0"/>
                <w:color w:val="auto"/>
                <w:sz w:val="28"/>
                <w:szCs w:val="28"/>
                <w:highlight w:val="none"/>
                <w:lang w:val="en-US" w:eastAsia="zh-CN"/>
              </w:rPr>
              <w:t>绍兴市公共交通集团有限公司</w:t>
            </w:r>
          </w:p>
        </w:tc>
      </w:tr>
      <w:tr w14:paraId="2E01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3B56A9C1">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招标代理机构：</w:t>
            </w:r>
          </w:p>
        </w:tc>
        <w:tc>
          <w:tcPr>
            <w:tcW w:w="5592" w:type="dxa"/>
            <w:vAlign w:val="center"/>
          </w:tcPr>
          <w:p w14:paraId="1EF30550">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浙江翔实建设项目管理有限公司</w:t>
            </w:r>
          </w:p>
        </w:tc>
      </w:tr>
      <w:tr w14:paraId="781AB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7D348EC3">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hint="eastAsia" w:ascii="仿宋" w:hAnsi="仿宋" w:eastAsia="仿宋" w:cs="仿宋"/>
                <w:i w:val="0"/>
                <w:iCs w:val="0"/>
                <w:color w:val="auto"/>
                <w:sz w:val="28"/>
                <w:szCs w:val="28"/>
                <w:highlight w:val="none"/>
                <w:lang w:val="en-US" w:eastAsia="zh-CN"/>
              </w:rPr>
            </w:pPr>
            <w:r>
              <w:rPr>
                <w:rFonts w:hint="eastAsia" w:ascii="仿宋" w:hAnsi="仿宋" w:eastAsia="仿宋" w:cs="仿宋"/>
                <w:i w:val="0"/>
                <w:iCs w:val="0"/>
                <w:color w:val="auto"/>
                <w:sz w:val="28"/>
                <w:szCs w:val="28"/>
                <w:highlight w:val="none"/>
                <w:lang w:eastAsia="zh-CN"/>
              </w:rPr>
              <w:t>监督单位（部门）：</w:t>
            </w:r>
          </w:p>
          <w:p w14:paraId="292A5C9A">
            <w:pPr>
              <w:keepNext/>
              <w:keepLines/>
              <w:pageBreakBefore w:val="0"/>
              <w:widowControl w:val="0"/>
              <w:tabs>
                <w:tab w:val="left" w:pos="900"/>
              </w:tabs>
              <w:kinsoku/>
              <w:wordWrap/>
              <w:overflowPunct/>
              <w:topLinePunct w:val="0"/>
              <w:bidi w:val="0"/>
              <w:adjustRightInd w:val="0"/>
              <w:snapToGrid/>
              <w:spacing w:before="260" w:after="260" w:line="400" w:lineRule="exact"/>
              <w:jc w:val="distribute"/>
              <w:textAlignment w:val="auto"/>
              <w:outlineLvl w:val="0"/>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w:t>
            </w:r>
          </w:p>
        </w:tc>
        <w:tc>
          <w:tcPr>
            <w:tcW w:w="5592" w:type="dxa"/>
            <w:vAlign w:val="center"/>
          </w:tcPr>
          <w:p w14:paraId="21A6311E">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hint="eastAsia" w:ascii="仿宋" w:hAnsi="仿宋" w:eastAsia="仿宋" w:cs="仿宋"/>
                <w:i w:val="0"/>
                <w:iCs w:val="0"/>
                <w:color w:val="auto"/>
                <w:sz w:val="28"/>
                <w:szCs w:val="28"/>
                <w:highlight w:val="none"/>
                <w:lang w:eastAsia="zh-CN"/>
              </w:rPr>
            </w:pPr>
            <w:r>
              <w:rPr>
                <w:rFonts w:hint="eastAsia" w:ascii="仿宋" w:hAnsi="仿宋" w:eastAsia="仿宋" w:cs="仿宋"/>
                <w:i w:val="0"/>
                <w:iCs w:val="0"/>
                <w:color w:val="auto"/>
                <w:sz w:val="28"/>
                <w:szCs w:val="28"/>
                <w:highlight w:val="none"/>
                <w:lang w:eastAsia="zh-CN"/>
              </w:rPr>
              <w:t>绍兴市公共交通集团有限公司纪检监察部</w:t>
            </w:r>
          </w:p>
        </w:tc>
      </w:tr>
      <w:tr w14:paraId="3712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8492" w:type="dxa"/>
            <w:gridSpan w:val="2"/>
          </w:tcPr>
          <w:p w14:paraId="5773190D">
            <w:pPr>
              <w:pageBreakBefore w:val="0"/>
              <w:widowControl w:val="0"/>
              <w:kinsoku/>
              <w:wordWrap/>
              <w:overflowPunct/>
              <w:topLinePunct w:val="0"/>
              <w:autoSpaceDE w:val="0"/>
              <w:autoSpaceDN w:val="0"/>
              <w:bidi w:val="0"/>
              <w:adjustRightInd w:val="0"/>
              <w:snapToGrid/>
              <w:spacing w:before="100" w:after="100" w:afterAutospacing="1" w:line="400" w:lineRule="exact"/>
              <w:ind w:left="360" w:right="360"/>
              <w:jc w:val="center"/>
              <w:textAlignment w:val="auto"/>
              <w:rPr>
                <w:rFonts w:hint="eastAsia"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二○二</w:t>
            </w:r>
            <w:r>
              <w:rPr>
                <w:rFonts w:hint="eastAsia" w:ascii="仿宋" w:hAnsi="仿宋" w:eastAsia="仿宋" w:cs="仿宋"/>
                <w:i w:val="0"/>
                <w:iCs w:val="0"/>
                <w:color w:val="auto"/>
                <w:w w:val="93"/>
                <w:kern w:val="0"/>
                <w:sz w:val="28"/>
                <w:szCs w:val="28"/>
                <w:highlight w:val="none"/>
                <w:lang w:val="en-US" w:eastAsia="zh-CN"/>
              </w:rPr>
              <w:t>六</w:t>
            </w:r>
            <w:r>
              <w:rPr>
                <w:rFonts w:hint="eastAsia" w:ascii="仿宋" w:hAnsi="仿宋" w:eastAsia="仿宋" w:cs="仿宋"/>
                <w:i w:val="0"/>
                <w:iCs w:val="0"/>
                <w:color w:val="auto"/>
                <w:w w:val="93"/>
                <w:kern w:val="0"/>
                <w:sz w:val="28"/>
                <w:szCs w:val="28"/>
                <w:highlight w:val="none"/>
              </w:rPr>
              <w:t>年</w:t>
            </w:r>
            <w:r>
              <w:rPr>
                <w:rFonts w:hint="eastAsia" w:ascii="仿宋" w:hAnsi="仿宋" w:eastAsia="仿宋" w:cs="仿宋"/>
                <w:i w:val="0"/>
                <w:iCs w:val="0"/>
                <w:color w:val="auto"/>
                <w:w w:val="93"/>
                <w:kern w:val="0"/>
                <w:sz w:val="28"/>
                <w:szCs w:val="28"/>
                <w:highlight w:val="none"/>
                <w:lang w:val="en-US" w:eastAsia="zh-CN"/>
              </w:rPr>
              <w:t>一</w:t>
            </w:r>
            <w:r>
              <w:rPr>
                <w:rFonts w:hint="eastAsia" w:ascii="仿宋" w:hAnsi="仿宋" w:eastAsia="仿宋" w:cs="仿宋"/>
                <w:i w:val="0"/>
                <w:iCs w:val="0"/>
                <w:color w:val="auto"/>
                <w:w w:val="93"/>
                <w:kern w:val="0"/>
                <w:sz w:val="28"/>
                <w:szCs w:val="28"/>
                <w:highlight w:val="none"/>
              </w:rPr>
              <w:t>月</w:t>
            </w:r>
          </w:p>
        </w:tc>
      </w:tr>
    </w:tbl>
    <w:p w14:paraId="0DDA982A">
      <w:pPr>
        <w:pStyle w:val="637"/>
        <w:rPr>
          <w:rFonts w:hint="eastAsia" w:ascii="仿宋" w:hAnsi="仿宋" w:eastAsia="仿宋" w:cs="仿宋"/>
          <w:i w:val="0"/>
          <w:iCs w:val="0"/>
          <w:color w:val="auto"/>
          <w:highlight w:val="none"/>
        </w:rPr>
        <w:sectPr>
          <w:headerReference r:id="rId4" w:type="first"/>
          <w:footerReference r:id="rId7" w:type="first"/>
          <w:headerReference r:id="rId3" w:type="default"/>
          <w:footerReference r:id="rId5" w:type="default"/>
          <w:footerReference r:id="rId6" w:type="even"/>
          <w:pgSz w:w="11906" w:h="16838"/>
          <w:pgMar w:top="1531" w:right="1474" w:bottom="1531" w:left="1474" w:header="851" w:footer="992" w:gutter="0"/>
          <w:pgBorders>
            <w:top w:val="none" w:sz="0" w:space="0"/>
            <w:left w:val="none" w:sz="0" w:space="0"/>
            <w:bottom w:val="none" w:sz="0" w:space="0"/>
            <w:right w:val="none" w:sz="0" w:space="0"/>
          </w:pgBorders>
          <w:pgNumType w:fmt="decimal" w:start="1"/>
          <w:cols w:space="0" w:num="1"/>
          <w:titlePg/>
          <w:rtlGutter w:val="0"/>
          <w:docGrid w:linePitch="312" w:charSpace="0"/>
        </w:sectPr>
      </w:pPr>
    </w:p>
    <w:p w14:paraId="51CDD0BC">
      <w:pPr>
        <w:spacing w:line="360" w:lineRule="auto"/>
        <w:jc w:val="center"/>
        <w:rPr>
          <w:rFonts w:hint="eastAsia" w:ascii="仿宋" w:hAnsi="仿宋" w:eastAsia="仿宋" w:cs="仿宋"/>
          <w:b/>
          <w:i w:val="0"/>
          <w:iCs w:val="0"/>
          <w:color w:val="auto"/>
          <w:sz w:val="44"/>
          <w:szCs w:val="44"/>
          <w:highlight w:val="none"/>
        </w:rPr>
      </w:pPr>
      <w:bookmarkStart w:id="1" w:name="_Hlt91233176"/>
      <w:bookmarkEnd w:id="1"/>
      <w:bookmarkStart w:id="2" w:name="_Toc91899869"/>
      <w:r>
        <w:rPr>
          <w:rFonts w:hint="eastAsia" w:ascii="仿宋" w:hAnsi="仿宋" w:eastAsia="仿宋" w:cs="仿宋"/>
          <w:b/>
          <w:i w:val="0"/>
          <w:iCs w:val="0"/>
          <w:color w:val="auto"/>
          <w:sz w:val="44"/>
          <w:szCs w:val="44"/>
          <w:highlight w:val="none"/>
        </w:rPr>
        <w:t>目</w:t>
      </w:r>
      <w:r>
        <w:rPr>
          <w:rFonts w:hint="eastAsia" w:ascii="仿宋" w:hAnsi="仿宋" w:eastAsia="仿宋" w:cs="仿宋"/>
          <w:b/>
          <w:i w:val="0"/>
          <w:iCs w:val="0"/>
          <w:color w:val="auto"/>
          <w:sz w:val="44"/>
          <w:szCs w:val="44"/>
          <w:highlight w:val="none"/>
          <w:lang w:val="en-US" w:eastAsia="zh-CN"/>
        </w:rPr>
        <w:t xml:space="preserve">   </w:t>
      </w:r>
      <w:r>
        <w:rPr>
          <w:rFonts w:hint="eastAsia" w:ascii="仿宋" w:hAnsi="仿宋" w:eastAsia="仿宋" w:cs="仿宋"/>
          <w:b/>
          <w:i w:val="0"/>
          <w:iCs w:val="0"/>
          <w:color w:val="auto"/>
          <w:sz w:val="44"/>
          <w:szCs w:val="44"/>
          <w:highlight w:val="none"/>
        </w:rPr>
        <w:t>录</w:t>
      </w:r>
    </w:p>
    <w:p w14:paraId="08BE16BC">
      <w:pPr>
        <w:spacing w:line="360" w:lineRule="auto"/>
        <w:jc w:val="center"/>
        <w:rPr>
          <w:rFonts w:hint="eastAsia" w:ascii="仿宋" w:hAnsi="仿宋" w:eastAsia="仿宋" w:cs="仿宋"/>
          <w:i w:val="0"/>
          <w:iCs w:val="0"/>
          <w:color w:val="auto"/>
          <w:highlight w:val="none"/>
        </w:rPr>
      </w:pPr>
    </w:p>
    <w:p w14:paraId="57B5ECF9">
      <w:pPr>
        <w:snapToGrid w:val="0"/>
        <w:spacing w:line="360" w:lineRule="auto"/>
        <w:ind w:firstLine="1807" w:firstLineChars="5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    招标公告</w:t>
      </w:r>
    </w:p>
    <w:p w14:paraId="149F60F1">
      <w:pPr>
        <w:snapToGrid w:val="0"/>
        <w:spacing w:line="360" w:lineRule="auto"/>
        <w:ind w:firstLine="1807" w:firstLineChars="5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    投标须知</w:t>
      </w:r>
    </w:p>
    <w:p w14:paraId="17F33AC3">
      <w:pPr>
        <w:snapToGrid w:val="0"/>
        <w:spacing w:line="360" w:lineRule="auto"/>
        <w:ind w:firstLine="1807" w:firstLineChars="5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    招标项目范围及要求</w:t>
      </w:r>
    </w:p>
    <w:p w14:paraId="7E2E13BB">
      <w:pPr>
        <w:snapToGrid w:val="0"/>
        <w:spacing w:line="360" w:lineRule="auto"/>
        <w:ind w:firstLine="1807" w:firstLineChars="5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    合同的主要条款</w:t>
      </w:r>
    </w:p>
    <w:p w14:paraId="02FF5F37">
      <w:pPr>
        <w:snapToGrid w:val="0"/>
        <w:spacing w:line="360" w:lineRule="auto"/>
        <w:ind w:firstLine="1807" w:firstLineChars="5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    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7CE189A6">
      <w:pPr>
        <w:snapToGrid w:val="0"/>
        <w:spacing w:line="360" w:lineRule="auto"/>
        <w:ind w:firstLine="1807" w:firstLineChars="500"/>
        <w:jc w:val="left"/>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    投标文件及其附件格式</w:t>
      </w:r>
    </w:p>
    <w:p w14:paraId="74F5A771">
      <w:pPr>
        <w:spacing w:line="360" w:lineRule="auto"/>
        <w:ind w:firstLine="549" w:firstLineChars="229"/>
        <w:rPr>
          <w:rFonts w:hint="eastAsia" w:ascii="仿宋" w:hAnsi="仿宋" w:eastAsia="仿宋" w:cs="仿宋"/>
          <w:i w:val="0"/>
          <w:iCs w:val="0"/>
          <w:color w:val="auto"/>
          <w:sz w:val="24"/>
          <w:highlight w:val="none"/>
        </w:rPr>
      </w:pPr>
    </w:p>
    <w:p w14:paraId="56F1F1F6">
      <w:pPr>
        <w:spacing w:line="360" w:lineRule="auto"/>
        <w:ind w:firstLine="549" w:firstLineChars="229"/>
        <w:rPr>
          <w:rFonts w:hint="eastAsia" w:ascii="仿宋" w:hAnsi="仿宋" w:eastAsia="仿宋" w:cs="仿宋"/>
          <w:i w:val="0"/>
          <w:iCs w:val="0"/>
          <w:color w:val="auto"/>
          <w:sz w:val="24"/>
          <w:highlight w:val="none"/>
        </w:rPr>
      </w:pPr>
    </w:p>
    <w:p w14:paraId="3988D7A2">
      <w:pPr>
        <w:spacing w:line="360" w:lineRule="auto"/>
        <w:ind w:firstLine="549" w:firstLineChars="229"/>
        <w:rPr>
          <w:rFonts w:hint="eastAsia" w:ascii="仿宋" w:hAnsi="仿宋" w:eastAsia="仿宋" w:cs="仿宋"/>
          <w:i w:val="0"/>
          <w:iCs w:val="0"/>
          <w:color w:val="auto"/>
          <w:sz w:val="24"/>
          <w:highlight w:val="none"/>
        </w:rPr>
      </w:pPr>
    </w:p>
    <w:p w14:paraId="38C2335A">
      <w:pPr>
        <w:spacing w:line="360" w:lineRule="auto"/>
        <w:ind w:firstLine="549" w:firstLineChars="229"/>
        <w:rPr>
          <w:rFonts w:hint="eastAsia" w:ascii="仿宋" w:hAnsi="仿宋" w:eastAsia="仿宋" w:cs="仿宋"/>
          <w:i w:val="0"/>
          <w:iCs w:val="0"/>
          <w:color w:val="auto"/>
          <w:sz w:val="24"/>
          <w:highlight w:val="none"/>
        </w:rPr>
      </w:pPr>
    </w:p>
    <w:p w14:paraId="498D372A">
      <w:pPr>
        <w:spacing w:line="360" w:lineRule="auto"/>
        <w:ind w:firstLine="549" w:firstLineChars="229"/>
        <w:rPr>
          <w:rFonts w:hint="eastAsia" w:ascii="仿宋" w:hAnsi="仿宋" w:eastAsia="仿宋" w:cs="仿宋"/>
          <w:i w:val="0"/>
          <w:iCs w:val="0"/>
          <w:color w:val="auto"/>
          <w:sz w:val="24"/>
          <w:highlight w:val="none"/>
        </w:rPr>
      </w:pPr>
    </w:p>
    <w:p w14:paraId="170DCE2A">
      <w:pPr>
        <w:spacing w:line="360" w:lineRule="auto"/>
        <w:ind w:firstLine="549" w:firstLineChars="229"/>
        <w:rPr>
          <w:rFonts w:hint="eastAsia" w:ascii="仿宋" w:hAnsi="仿宋" w:eastAsia="仿宋" w:cs="仿宋"/>
          <w:i w:val="0"/>
          <w:iCs w:val="0"/>
          <w:color w:val="auto"/>
          <w:sz w:val="24"/>
          <w:highlight w:val="none"/>
        </w:rPr>
      </w:pPr>
    </w:p>
    <w:p w14:paraId="6DC71240">
      <w:pPr>
        <w:spacing w:line="360" w:lineRule="auto"/>
        <w:ind w:firstLine="549" w:firstLineChars="229"/>
        <w:rPr>
          <w:rFonts w:hint="eastAsia" w:ascii="仿宋" w:hAnsi="仿宋" w:eastAsia="仿宋" w:cs="仿宋"/>
          <w:i w:val="0"/>
          <w:iCs w:val="0"/>
          <w:color w:val="auto"/>
          <w:sz w:val="24"/>
          <w:highlight w:val="none"/>
        </w:rPr>
      </w:pPr>
    </w:p>
    <w:p w14:paraId="5619D443">
      <w:pPr>
        <w:spacing w:line="360" w:lineRule="auto"/>
        <w:ind w:firstLine="549" w:firstLineChars="229"/>
        <w:rPr>
          <w:rFonts w:hint="eastAsia" w:ascii="仿宋" w:hAnsi="仿宋" w:eastAsia="仿宋" w:cs="仿宋"/>
          <w:i w:val="0"/>
          <w:iCs w:val="0"/>
          <w:color w:val="auto"/>
          <w:sz w:val="24"/>
          <w:highlight w:val="none"/>
        </w:rPr>
      </w:pPr>
    </w:p>
    <w:p w14:paraId="189AD596">
      <w:pPr>
        <w:spacing w:line="360" w:lineRule="auto"/>
        <w:ind w:firstLine="549" w:firstLineChars="229"/>
        <w:rPr>
          <w:rFonts w:hint="eastAsia" w:ascii="仿宋" w:hAnsi="仿宋" w:eastAsia="仿宋" w:cs="仿宋"/>
          <w:i w:val="0"/>
          <w:iCs w:val="0"/>
          <w:color w:val="auto"/>
          <w:sz w:val="24"/>
          <w:highlight w:val="none"/>
        </w:rPr>
      </w:pPr>
    </w:p>
    <w:p w14:paraId="510F0980">
      <w:pPr>
        <w:spacing w:line="360" w:lineRule="auto"/>
        <w:ind w:firstLine="549" w:firstLineChars="229"/>
        <w:rPr>
          <w:rFonts w:hint="eastAsia" w:ascii="仿宋" w:hAnsi="仿宋" w:eastAsia="仿宋" w:cs="仿宋"/>
          <w:i w:val="0"/>
          <w:iCs w:val="0"/>
          <w:color w:val="auto"/>
          <w:sz w:val="24"/>
          <w:highlight w:val="none"/>
        </w:rPr>
      </w:pPr>
    </w:p>
    <w:p w14:paraId="0A71ECA5">
      <w:pPr>
        <w:spacing w:line="360" w:lineRule="auto"/>
        <w:ind w:firstLine="549" w:firstLineChars="229"/>
        <w:rPr>
          <w:rFonts w:hint="eastAsia" w:ascii="仿宋" w:hAnsi="仿宋" w:eastAsia="仿宋" w:cs="仿宋"/>
          <w:i w:val="0"/>
          <w:iCs w:val="0"/>
          <w:color w:val="auto"/>
          <w:sz w:val="24"/>
          <w:highlight w:val="none"/>
        </w:rPr>
      </w:pPr>
    </w:p>
    <w:p w14:paraId="46DE68CA">
      <w:pPr>
        <w:spacing w:line="360" w:lineRule="auto"/>
        <w:ind w:firstLine="549" w:firstLineChars="229"/>
        <w:rPr>
          <w:rFonts w:hint="eastAsia" w:ascii="仿宋" w:hAnsi="仿宋" w:eastAsia="仿宋" w:cs="仿宋"/>
          <w:i w:val="0"/>
          <w:iCs w:val="0"/>
          <w:color w:val="auto"/>
          <w:sz w:val="24"/>
          <w:highlight w:val="none"/>
        </w:rPr>
      </w:pPr>
    </w:p>
    <w:bookmarkEnd w:id="2"/>
    <w:p w14:paraId="70B7AD71">
      <w:pPr>
        <w:adjustRightInd/>
        <w:spacing w:line="360" w:lineRule="auto"/>
        <w:jc w:val="both"/>
        <w:outlineLvl w:val="0"/>
        <w:rPr>
          <w:rFonts w:hint="eastAsia" w:ascii="仿宋" w:hAnsi="仿宋" w:eastAsia="仿宋" w:cs="仿宋"/>
          <w:b/>
          <w:i w:val="0"/>
          <w:iCs w:val="0"/>
          <w:color w:val="auto"/>
          <w:sz w:val="36"/>
          <w:szCs w:val="20"/>
          <w:highlight w:val="none"/>
        </w:rPr>
        <w:sectPr>
          <w:headerReference r:id="rId9" w:type="first"/>
          <w:footerReference r:id="rId12" w:type="first"/>
          <w:headerReference r:id="rId8" w:type="default"/>
          <w:footerReference r:id="rId10" w:type="default"/>
          <w:footerReference r:id="rId11" w:type="even"/>
          <w:pgSz w:w="11906" w:h="16838"/>
          <w:pgMar w:top="1814" w:right="1474" w:bottom="1814" w:left="1474" w:header="851" w:footer="992" w:gutter="0"/>
          <w:pgBorders>
            <w:top w:val="none" w:sz="0" w:space="0"/>
            <w:left w:val="none" w:sz="0" w:space="0"/>
            <w:bottom w:val="none" w:sz="0" w:space="0"/>
            <w:right w:val="none" w:sz="0" w:space="0"/>
          </w:pgBorders>
          <w:pgNumType w:fmt="decimal" w:start="1"/>
          <w:cols w:space="720" w:num="1"/>
          <w:titlePg/>
          <w:docGrid w:linePitch="312" w:charSpace="0"/>
        </w:sectPr>
      </w:pPr>
      <w:bookmarkStart w:id="3" w:name="_Hlt74707423"/>
      <w:bookmarkEnd w:id="3"/>
      <w:bookmarkStart w:id="4" w:name="_Hlt74728647"/>
      <w:bookmarkEnd w:id="4"/>
      <w:bookmarkStart w:id="5" w:name="_Hlt74729822"/>
      <w:bookmarkEnd w:id="5"/>
      <w:bookmarkStart w:id="6" w:name="_Hlt74649545"/>
      <w:bookmarkEnd w:id="6"/>
      <w:bookmarkStart w:id="7" w:name="第二部分"/>
      <w:bookmarkStart w:id="8" w:name="_Toc91899870"/>
      <w:bookmarkStart w:id="9" w:name="_Toc91899871"/>
    </w:p>
    <w:p w14:paraId="04857DD4">
      <w:pPr>
        <w:adjustRightInd/>
        <w:spacing w:line="360" w:lineRule="auto"/>
        <w:jc w:val="center"/>
        <w:outlineLvl w:val="0"/>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 招标公告</w:t>
      </w:r>
    </w:p>
    <w:p w14:paraId="06AF422B">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212878FB">
      <w:pPr>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lang w:eastAsia="zh-CN"/>
        </w:rPr>
        <w:t>绍兴轨交充电网二期项目（第二次）</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5"/>
          <w:rFonts w:hint="eastAsia" w:ascii="仿宋" w:hAnsi="仿宋" w:eastAsia="仿宋" w:cs="仿宋"/>
          <w:i w:val="0"/>
          <w:iCs w:val="0"/>
          <w:color w:val="auto"/>
          <w:sz w:val="24"/>
          <w:highlight w:val="none"/>
          <w:u w:val="none"/>
        </w:rPr>
        <w:t>https://ygcg.sxjypt.com</w:t>
      </w:r>
      <w:r>
        <w:rPr>
          <w:rStyle w:val="75"/>
          <w:rFonts w:hint="eastAsia" w:ascii="仿宋" w:hAnsi="仿宋" w:eastAsia="仿宋" w:cs="仿宋"/>
          <w:i w:val="0"/>
          <w:iCs w:val="0"/>
          <w:snapToGrid/>
          <w:color w:val="auto"/>
          <w:kern w:val="2"/>
          <w:sz w:val="24"/>
          <w:szCs w:val="24"/>
          <w:highlight w:val="none"/>
          <w:u w:val="none"/>
        </w:rPr>
        <w:t>）获取（下载）招标文件，并于202</w:t>
      </w:r>
      <w:r>
        <w:rPr>
          <w:rStyle w:val="75"/>
          <w:rFonts w:hint="eastAsia" w:ascii="仿宋" w:hAnsi="仿宋" w:eastAsia="仿宋" w:cs="仿宋"/>
          <w:i w:val="0"/>
          <w:iCs w:val="0"/>
          <w:snapToGrid/>
          <w:color w:val="auto"/>
          <w:kern w:val="2"/>
          <w:sz w:val="24"/>
          <w:szCs w:val="24"/>
          <w:highlight w:val="none"/>
          <w:u w:val="none"/>
          <w:lang w:val="en-US" w:eastAsia="zh-CN"/>
        </w:rPr>
        <w:t>6</w:t>
      </w:r>
      <w:r>
        <w:rPr>
          <w:rStyle w:val="75"/>
          <w:rFonts w:hint="eastAsia" w:ascii="仿宋" w:hAnsi="仿宋" w:eastAsia="仿宋" w:cs="仿宋"/>
          <w:i w:val="0"/>
          <w:iCs w:val="0"/>
          <w:snapToGrid/>
          <w:color w:val="auto"/>
          <w:kern w:val="2"/>
          <w:sz w:val="24"/>
          <w:szCs w:val="24"/>
          <w:highlight w:val="none"/>
          <w:u w:val="none"/>
        </w:rPr>
        <w:t>年</w:t>
      </w:r>
      <w:r>
        <w:rPr>
          <w:rStyle w:val="75"/>
          <w:rFonts w:hint="eastAsia" w:ascii="仿宋" w:hAnsi="仿宋" w:eastAsia="仿宋" w:cs="仿宋"/>
          <w:i w:val="0"/>
          <w:iCs w:val="0"/>
          <w:snapToGrid/>
          <w:color w:val="auto"/>
          <w:kern w:val="2"/>
          <w:sz w:val="24"/>
          <w:szCs w:val="24"/>
          <w:highlight w:val="none"/>
          <w:u w:val="none"/>
          <w:lang w:val="en-US" w:eastAsia="zh-CN"/>
        </w:rPr>
        <w:t>2月12日9</w:t>
      </w:r>
      <w:r>
        <w:rPr>
          <w:rStyle w:val="75"/>
          <w:rFonts w:hint="eastAsia" w:ascii="仿宋" w:hAnsi="仿宋" w:eastAsia="仿宋" w:cs="仿宋"/>
          <w:i w:val="0"/>
          <w:iCs w:val="0"/>
          <w:snapToGrid/>
          <w:color w:val="auto"/>
          <w:kern w:val="2"/>
          <w:sz w:val="24"/>
          <w:szCs w:val="24"/>
          <w:highlight w:val="none"/>
          <w:u w:val="none"/>
        </w:rPr>
        <w:t>点</w:t>
      </w:r>
      <w:r>
        <w:rPr>
          <w:rStyle w:val="75"/>
          <w:rFonts w:hint="eastAsia" w:ascii="仿宋" w:hAnsi="仿宋" w:eastAsia="仿宋" w:cs="仿宋"/>
          <w:i w:val="0"/>
          <w:iCs w:val="0"/>
          <w:snapToGrid/>
          <w:color w:val="auto"/>
          <w:kern w:val="2"/>
          <w:sz w:val="24"/>
          <w:szCs w:val="24"/>
          <w:highlight w:val="none"/>
          <w:u w:val="none"/>
          <w:lang w:val="en-US" w:eastAsia="zh-CN"/>
        </w:rPr>
        <w:t>30</w:t>
      </w:r>
      <w:r>
        <w:rPr>
          <w:rStyle w:val="75"/>
          <w:rFonts w:hint="eastAsia" w:ascii="仿宋" w:hAnsi="仿宋" w:eastAsia="仿宋" w:cs="仿宋"/>
          <w:i w:val="0"/>
          <w:iCs w:val="0"/>
          <w:snapToGrid/>
          <w:color w:val="auto"/>
          <w:kern w:val="2"/>
          <w:sz w:val="24"/>
          <w:szCs w:val="24"/>
          <w:highlight w:val="none"/>
          <w:u w:val="none"/>
        </w:rPr>
        <w:t>分00秒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0F5D3159">
      <w:pPr>
        <w:pageBreakBefore w:val="0"/>
        <w:widowControl w:val="0"/>
        <w:kinsoku/>
        <w:wordWrap/>
        <w:overflowPunct/>
        <w:topLinePunct w:val="0"/>
        <w:autoSpaceDE/>
        <w:autoSpaceDN/>
        <w:bidi w:val="0"/>
        <w:spacing w:line="420" w:lineRule="exact"/>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 xml:space="preserve">一、项目基本情况                                            </w:t>
      </w:r>
    </w:p>
    <w:p w14:paraId="391FDBDF">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项目编号：</w:t>
      </w:r>
      <w:r>
        <w:rPr>
          <w:rFonts w:hint="eastAsia" w:ascii="仿宋" w:hAnsi="仿宋" w:eastAsia="仿宋" w:cs="仿宋"/>
          <w:b/>
          <w:i w:val="0"/>
          <w:iCs w:val="0"/>
          <w:color w:val="auto"/>
          <w:sz w:val="24"/>
          <w:highlight w:val="none"/>
          <w:lang w:eastAsia="zh-CN"/>
        </w:rPr>
        <w:t>ZJXSC-2025-110</w:t>
      </w:r>
    </w:p>
    <w:p w14:paraId="69856C71">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b/>
          <w:i w:val="0"/>
          <w:iCs w:val="0"/>
          <w:color w:val="auto"/>
          <w:sz w:val="24"/>
          <w:highlight w:val="none"/>
          <w:lang w:eastAsia="zh-CN"/>
        </w:rPr>
      </w:pPr>
      <w:r>
        <w:rPr>
          <w:rFonts w:hint="eastAsia" w:ascii="仿宋" w:hAnsi="仿宋" w:eastAsia="仿宋" w:cs="仿宋"/>
          <w:b/>
          <w:i w:val="0"/>
          <w:iCs w:val="0"/>
          <w:color w:val="auto"/>
          <w:sz w:val="24"/>
          <w:highlight w:val="none"/>
        </w:rPr>
        <w:t>项目名称：</w:t>
      </w:r>
      <w:r>
        <w:rPr>
          <w:rFonts w:hint="eastAsia" w:ascii="仿宋" w:hAnsi="仿宋" w:eastAsia="仿宋" w:cs="仿宋"/>
          <w:b/>
          <w:i w:val="0"/>
          <w:iCs w:val="0"/>
          <w:color w:val="auto"/>
          <w:sz w:val="24"/>
          <w:highlight w:val="none"/>
          <w:lang w:eastAsia="zh-CN"/>
        </w:rPr>
        <w:t>绍兴轨交充电网二期项目（第二次）</w:t>
      </w:r>
    </w:p>
    <w:p w14:paraId="029B048D">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最高限价（元）：</w:t>
      </w:r>
      <w:r>
        <w:rPr>
          <w:rFonts w:hint="eastAsia" w:ascii="仿宋" w:hAnsi="仿宋" w:eastAsia="仿宋" w:cs="仿宋"/>
          <w:b/>
          <w:i w:val="0"/>
          <w:iCs w:val="0"/>
          <w:color w:val="auto"/>
          <w:sz w:val="24"/>
          <w:highlight w:val="none"/>
          <w:lang w:val="en-US" w:eastAsia="zh-CN"/>
        </w:rPr>
        <w:t>/</w:t>
      </w:r>
    </w:p>
    <w:p w14:paraId="743D2912">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eastAsia="zh-CN"/>
        </w:rPr>
        <w:t>招标需求</w:t>
      </w:r>
      <w:r>
        <w:rPr>
          <w:rFonts w:hint="eastAsia" w:ascii="仿宋" w:hAnsi="仿宋" w:eastAsia="仿宋" w:cs="仿宋"/>
          <w:b/>
          <w:i w:val="0"/>
          <w:iCs w:val="0"/>
          <w:color w:val="auto"/>
          <w:sz w:val="24"/>
          <w:highlight w:val="none"/>
        </w:rPr>
        <w:t>：</w:t>
      </w:r>
    </w:p>
    <w:p w14:paraId="4307BA6E">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21CE8CD8">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b/>
          <w:bCs w:val="0"/>
          <w:i w:val="0"/>
          <w:iCs w:val="0"/>
          <w:color w:val="auto"/>
          <w:sz w:val="24"/>
          <w:highlight w:val="none"/>
          <w:lang w:eastAsia="zh-CN"/>
        </w:rPr>
      </w:pPr>
      <w:r>
        <w:rPr>
          <w:rFonts w:hint="eastAsia" w:ascii="仿宋" w:hAnsi="仿宋" w:eastAsia="仿宋" w:cs="仿宋"/>
          <w:bCs/>
          <w:i w:val="0"/>
          <w:iCs w:val="0"/>
          <w:color w:val="auto"/>
          <w:sz w:val="24"/>
          <w:highlight w:val="none"/>
        </w:rPr>
        <w:t>标项名称：</w:t>
      </w:r>
      <w:r>
        <w:rPr>
          <w:rFonts w:hint="eastAsia" w:ascii="仿宋" w:hAnsi="仿宋" w:eastAsia="仿宋" w:cs="仿宋"/>
          <w:b/>
          <w:bCs w:val="0"/>
          <w:i w:val="0"/>
          <w:iCs w:val="0"/>
          <w:color w:val="auto"/>
          <w:sz w:val="24"/>
          <w:highlight w:val="none"/>
          <w:lang w:eastAsia="zh-CN"/>
        </w:rPr>
        <w:t>绍兴轨交充电网二期项目（第二次）</w:t>
      </w:r>
    </w:p>
    <w:p w14:paraId="64EC5E31">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数量：</w:t>
      </w:r>
      <w:r>
        <w:rPr>
          <w:rFonts w:hint="eastAsia" w:ascii="仿宋" w:hAnsi="仿宋" w:eastAsia="仿宋" w:cs="仿宋"/>
          <w:bCs/>
          <w:i w:val="0"/>
          <w:iCs w:val="0"/>
          <w:color w:val="auto"/>
          <w:sz w:val="24"/>
          <w:highlight w:val="none"/>
          <w:lang w:val="en-US" w:eastAsia="zh-CN"/>
        </w:rPr>
        <w:t>/</w:t>
      </w:r>
    </w:p>
    <w:p w14:paraId="7270A463">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b/>
          <w:i w:val="0"/>
          <w:iCs w:val="0"/>
          <w:color w:val="auto"/>
          <w:sz w:val="24"/>
          <w:highlight w:val="none"/>
          <w:lang w:val="en-US" w:eastAsia="zh-CN"/>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i w:val="0"/>
          <w:iCs w:val="0"/>
          <w:color w:val="auto"/>
          <w:sz w:val="24"/>
          <w:highlight w:val="none"/>
          <w:lang w:val="en-US" w:eastAsia="zh-CN"/>
        </w:rPr>
        <w:t>17000000.00</w:t>
      </w:r>
    </w:p>
    <w:p w14:paraId="0AA0E9D5">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7F0062D4">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u w:val="single"/>
          <w:lang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：自合同签订之日起</w:t>
      </w:r>
      <w:r>
        <w:rPr>
          <w:rFonts w:hint="eastAsia" w:ascii="仿宋" w:hAnsi="仿宋" w:eastAsia="仿宋" w:cs="仿宋"/>
          <w:i w:val="0"/>
          <w:iCs w:val="0"/>
          <w:color w:val="auto"/>
          <w:sz w:val="24"/>
          <w:highlight w:val="none"/>
          <w:lang w:val="en-US" w:eastAsia="zh-CN"/>
        </w:rPr>
        <w:t>一年内下发指令单的项目</w:t>
      </w:r>
      <w:r>
        <w:rPr>
          <w:rFonts w:hint="eastAsia" w:ascii="仿宋" w:hAnsi="仿宋" w:eastAsia="仿宋" w:cs="仿宋"/>
          <w:i w:val="0"/>
          <w:iCs w:val="0"/>
          <w:color w:val="auto"/>
          <w:sz w:val="24"/>
          <w:highlight w:val="none"/>
        </w:rPr>
        <w:t>。（如遇市相关行业主管部门有新规定出台时，可随时终止</w:t>
      </w:r>
      <w:r>
        <w:rPr>
          <w:rFonts w:hint="eastAsia" w:ascii="仿宋" w:hAnsi="仿宋" w:eastAsia="仿宋" w:cs="仿宋"/>
          <w:i w:val="0"/>
          <w:iCs w:val="0"/>
          <w:color w:val="auto"/>
          <w:sz w:val="24"/>
          <w:highlight w:val="none"/>
          <w:lang w:eastAsia="zh-CN"/>
        </w:rPr>
        <w:t>）</w:t>
      </w:r>
    </w:p>
    <w:p w14:paraId="3F3C4D5C">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hint="eastAsia" w:ascii="仿宋" w:hAnsi="仿宋" w:eastAsia="仿宋" w:cs="仿宋"/>
          <w:b/>
          <w:i w:val="0"/>
          <w:iCs w:val="0"/>
          <w:color w:val="auto"/>
          <w:sz w:val="24"/>
          <w:highlight w:val="none"/>
          <w:lang w:val="en-US" w:eastAsia="zh-CN"/>
        </w:rPr>
        <w:t>是</w:t>
      </w:r>
      <w:r>
        <w:rPr>
          <w:rFonts w:hint="eastAsia" w:ascii="仿宋" w:hAnsi="仿宋" w:eastAsia="仿宋" w:cs="仿宋"/>
          <w:b/>
          <w:i w:val="0"/>
          <w:iCs w:val="0"/>
          <w:color w:val="auto"/>
          <w:sz w:val="24"/>
          <w:highlight w:val="none"/>
        </w:rPr>
        <w:t>。</w:t>
      </w:r>
    </w:p>
    <w:p w14:paraId="23CBEFD0">
      <w:pPr>
        <w:pageBreakBefore w:val="0"/>
        <w:widowControl w:val="0"/>
        <w:kinsoku/>
        <w:wordWrap/>
        <w:overflowPunct/>
        <w:topLinePunct w:val="0"/>
        <w:autoSpaceDE/>
        <w:autoSpaceDN/>
        <w:bidi w:val="0"/>
        <w:spacing w:line="420" w:lineRule="exact"/>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7508707D">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snapToGrid w:val="0"/>
          <w:color w:val="auto"/>
          <w:kern w:val="28"/>
          <w:sz w:val="24"/>
          <w:szCs w:val="20"/>
          <w:highlight w:val="none"/>
        </w:rPr>
      </w:pPr>
      <w:r>
        <w:rPr>
          <w:rFonts w:hint="eastAsia" w:ascii="仿宋" w:hAnsi="仿宋" w:eastAsia="仿宋" w:cs="仿宋"/>
          <w:i w:val="0"/>
          <w:iCs w:val="0"/>
          <w:snapToGrid w:val="0"/>
          <w:color w:val="auto"/>
          <w:kern w:val="28"/>
          <w:sz w:val="24"/>
          <w:szCs w:val="20"/>
          <w:highlight w:val="none"/>
        </w:rPr>
        <w:t>1.未被“信用中国”（www.creditchina.gov.cn)、中国政府采购网（www.ccgp.gov.cn）列入失信被执行人、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hint="eastAsia" w:ascii="仿宋" w:hAnsi="仿宋" w:eastAsia="仿宋" w:cs="仿宋"/>
          <w:i w:val="0"/>
          <w:iCs w:val="0"/>
          <w:snapToGrid w:val="0"/>
          <w:color w:val="auto"/>
          <w:kern w:val="28"/>
          <w:sz w:val="24"/>
          <w:szCs w:val="20"/>
          <w:highlight w:val="none"/>
        </w:rPr>
        <w:t>、政府采购严重违法失信行为记录名单；</w:t>
      </w:r>
    </w:p>
    <w:p w14:paraId="05B762D6">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snapToGrid w:val="0"/>
          <w:color w:val="auto"/>
          <w:kern w:val="28"/>
          <w:sz w:val="24"/>
          <w:szCs w:val="20"/>
          <w:highlight w:val="none"/>
        </w:rPr>
      </w:pPr>
      <w:r>
        <w:rPr>
          <w:rFonts w:hint="eastAsia" w:ascii="仿宋" w:hAnsi="仿宋" w:eastAsia="仿宋" w:cs="仿宋"/>
          <w:i w:val="0"/>
          <w:iCs w:val="0"/>
          <w:snapToGrid w:val="0"/>
          <w:color w:val="auto"/>
          <w:kern w:val="28"/>
          <w:sz w:val="24"/>
          <w:szCs w:val="20"/>
          <w:highlight w:val="none"/>
        </w:rPr>
        <w:t>2.以联合体形式投标的，提供联合协议(本项目不接受联合体投标或者</w:t>
      </w:r>
      <w:r>
        <w:rPr>
          <w:rFonts w:hint="eastAsia" w:ascii="仿宋" w:hAnsi="仿宋" w:eastAsia="仿宋" w:cs="仿宋"/>
          <w:i w:val="0"/>
          <w:iCs w:val="0"/>
          <w:snapToGrid w:val="0"/>
          <w:color w:val="auto"/>
          <w:kern w:val="28"/>
          <w:sz w:val="24"/>
          <w:szCs w:val="20"/>
          <w:highlight w:val="none"/>
          <w:lang w:eastAsia="zh-CN"/>
        </w:rPr>
        <w:t>投标人</w:t>
      </w:r>
      <w:r>
        <w:rPr>
          <w:rFonts w:hint="eastAsia" w:ascii="仿宋" w:hAnsi="仿宋" w:eastAsia="仿宋" w:cs="仿宋"/>
          <w:i w:val="0"/>
          <w:iCs w:val="0"/>
          <w:snapToGrid w:val="0"/>
          <w:color w:val="auto"/>
          <w:kern w:val="28"/>
          <w:sz w:val="24"/>
          <w:szCs w:val="20"/>
          <w:highlight w:val="none"/>
        </w:rPr>
        <w:t>不以联合体形式投标的，则不需要提供)；</w:t>
      </w:r>
    </w:p>
    <w:p w14:paraId="71F3EC41">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b/>
          <w:bCs/>
          <w:i w:val="0"/>
          <w:iCs w:val="0"/>
          <w:color w:val="auto"/>
          <w:sz w:val="24"/>
          <w:highlight w:val="none"/>
        </w:rPr>
      </w:pPr>
      <w:r>
        <w:rPr>
          <w:rFonts w:hint="eastAsia" w:ascii="仿宋" w:hAnsi="仿宋" w:eastAsia="仿宋" w:cs="仿宋"/>
          <w:i w:val="0"/>
          <w:iCs w:val="0"/>
          <w:snapToGrid w:val="0"/>
          <w:color w:val="auto"/>
          <w:kern w:val="28"/>
          <w:sz w:val="24"/>
          <w:szCs w:val="20"/>
          <w:highlight w:val="none"/>
        </w:rPr>
        <w:t>3.落实</w:t>
      </w:r>
      <w:r>
        <w:rPr>
          <w:rFonts w:hint="eastAsia" w:ascii="仿宋" w:hAnsi="仿宋" w:eastAsia="仿宋" w:cs="仿宋"/>
          <w:i w:val="0"/>
          <w:iCs w:val="0"/>
          <w:snapToGrid w:val="0"/>
          <w:color w:val="auto"/>
          <w:kern w:val="28"/>
          <w:sz w:val="24"/>
          <w:szCs w:val="20"/>
          <w:highlight w:val="none"/>
          <w:lang w:eastAsia="zh-CN"/>
        </w:rPr>
        <w:t>招标政策</w:t>
      </w:r>
      <w:r>
        <w:rPr>
          <w:rFonts w:hint="eastAsia" w:ascii="仿宋" w:hAnsi="仿宋" w:eastAsia="仿宋" w:cs="仿宋"/>
          <w:i w:val="0"/>
          <w:iCs w:val="0"/>
          <w:snapToGrid w:val="0"/>
          <w:color w:val="auto"/>
          <w:kern w:val="28"/>
          <w:sz w:val="24"/>
          <w:szCs w:val="20"/>
          <w:highlight w:val="none"/>
        </w:rPr>
        <w:t>需满足的资格要求：</w:t>
      </w:r>
      <w:r>
        <w:rPr>
          <w:rFonts w:hint="eastAsia" w:ascii="仿宋" w:hAnsi="仿宋" w:eastAsia="仿宋" w:cs="仿宋"/>
          <w:b w:val="0"/>
          <w:bCs w:val="0"/>
          <w:i w:val="0"/>
          <w:iCs w:val="0"/>
          <w:color w:val="auto"/>
          <w:sz w:val="24"/>
          <w:highlight w:val="none"/>
        </w:rPr>
        <w:t>无</w:t>
      </w:r>
      <w:r>
        <w:rPr>
          <w:rFonts w:hint="eastAsia" w:ascii="仿宋" w:hAnsi="仿宋" w:eastAsia="仿宋" w:cs="仿宋"/>
          <w:b/>
          <w:bCs/>
          <w:i w:val="0"/>
          <w:iCs w:val="0"/>
          <w:color w:val="auto"/>
          <w:sz w:val="24"/>
          <w:highlight w:val="none"/>
        </w:rPr>
        <w:t>；</w:t>
      </w:r>
    </w:p>
    <w:p w14:paraId="14FF85C4">
      <w:pPr>
        <w:pageBreakBefore w:val="0"/>
        <w:widowControl w:val="0"/>
        <w:kinsoku/>
        <w:wordWrap/>
        <w:overflowPunct/>
        <w:topLinePunct w:val="0"/>
        <w:autoSpaceDE/>
        <w:autoSpaceDN/>
        <w:bidi w:val="0"/>
        <w:snapToGrid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4.本项目的特定资格要求：</w:t>
      </w:r>
      <w:r>
        <w:rPr>
          <w:rFonts w:hint="eastAsia" w:ascii="仿宋" w:hAnsi="仿宋" w:eastAsia="仿宋" w:cs="仿宋"/>
          <w:i w:val="0"/>
          <w:iCs w:val="0"/>
          <w:color w:val="auto"/>
          <w:sz w:val="24"/>
          <w:highlight w:val="none"/>
          <w:lang w:val="en-US" w:eastAsia="zh-CN"/>
        </w:rPr>
        <w:t>/。</w:t>
      </w:r>
    </w:p>
    <w:p w14:paraId="7AE41919">
      <w:pPr>
        <w:pageBreakBefore w:val="0"/>
        <w:widowControl w:val="0"/>
        <w:kinsoku/>
        <w:wordWrap/>
        <w:overflowPunct/>
        <w:topLinePunct w:val="0"/>
        <w:autoSpaceDE/>
        <w:autoSpaceDN/>
        <w:bidi w:val="0"/>
        <w:snapToGrid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5.单位负责人为同一人或者存在直接控股、管理关系的不同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，不得参加同一合同项下的</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；为</w:t>
      </w:r>
      <w:r>
        <w:rPr>
          <w:rFonts w:hint="eastAsia" w:ascii="仿宋" w:hAnsi="仿宋" w:eastAsia="仿宋" w:cs="仿宋"/>
          <w:i w:val="0"/>
          <w:iCs w:val="0"/>
          <w:color w:val="auto"/>
          <w:sz w:val="24"/>
          <w:highlight w:val="none"/>
          <w:lang w:eastAsia="zh-CN"/>
        </w:rPr>
        <w:t>招标项目</w:t>
      </w:r>
      <w:r>
        <w:rPr>
          <w:rFonts w:hint="eastAsia" w:ascii="仿宋" w:hAnsi="仿宋" w:eastAsia="仿宋" w:cs="仿宋"/>
          <w:i w:val="0"/>
          <w:iCs w:val="0"/>
          <w:color w:val="auto"/>
          <w:sz w:val="24"/>
          <w:highlight w:val="none"/>
        </w:rPr>
        <w:t>提供整体设计、规范编制或者项目管理、监理、检测等服务后不得再参加该</w:t>
      </w:r>
      <w:r>
        <w:rPr>
          <w:rFonts w:hint="eastAsia" w:ascii="仿宋" w:hAnsi="仿宋" w:eastAsia="仿宋" w:cs="仿宋"/>
          <w:i w:val="0"/>
          <w:iCs w:val="0"/>
          <w:color w:val="auto"/>
          <w:sz w:val="24"/>
          <w:highlight w:val="none"/>
          <w:lang w:eastAsia="zh-CN"/>
        </w:rPr>
        <w:t>招标项目</w:t>
      </w:r>
      <w:r>
        <w:rPr>
          <w:rFonts w:hint="eastAsia" w:ascii="仿宋" w:hAnsi="仿宋" w:eastAsia="仿宋" w:cs="仿宋"/>
          <w:i w:val="0"/>
          <w:iCs w:val="0"/>
          <w:color w:val="auto"/>
          <w:sz w:val="24"/>
          <w:highlight w:val="none"/>
        </w:rPr>
        <w:t>的其他</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w:t>
      </w:r>
    </w:p>
    <w:p w14:paraId="37DBA331">
      <w:pPr>
        <w:pageBreakBefore w:val="0"/>
        <w:widowControl w:val="0"/>
        <w:kinsoku/>
        <w:wordWrap/>
        <w:overflowPunct/>
        <w:topLinePunct w:val="0"/>
        <w:autoSpaceDE/>
        <w:autoSpaceDN/>
        <w:bidi w:val="0"/>
        <w:spacing w:line="420" w:lineRule="exact"/>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 xml:space="preserve">三、获取招标文件 </w:t>
      </w:r>
    </w:p>
    <w:p w14:paraId="1DB60C34">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hint="eastAsia"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23</w:t>
      </w:r>
      <w:bookmarkStart w:id="98" w:name="_GoBack"/>
      <w:bookmarkEnd w:id="98"/>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至</w:t>
      </w:r>
      <w:r>
        <w:rPr>
          <w:rFonts w:hint="eastAsia"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6</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2</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11</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，每天上午00:00至12:00 ，下午12:00至23:59（北京时间，线上获取法定节假日均可）</w:t>
      </w:r>
    </w:p>
    <w:p w14:paraId="70824366">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 xml:space="preserve">（https://ygcg.sxjypt.com） </w:t>
      </w:r>
    </w:p>
    <w:p w14:paraId="3BDBB0C9">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投标人登录</w:t>
      </w:r>
      <w:r>
        <w:rPr>
          <w:rFonts w:hint="eastAsia"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，在线申请获取</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（在绍兴市阳光采购服务平台主页“</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入口”登录后，点击【网上报名】-【项目报名】，找到对应项目，点击报名。完成后在【已报名项目】-【报名详细】中获取招标文件）。</w:t>
      </w:r>
    </w:p>
    <w:p w14:paraId="3A6A73CF">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hint="eastAsia" w:ascii="仿宋" w:hAnsi="仿宋" w:eastAsia="仿宋" w:cs="仿宋"/>
          <w:i w:val="0"/>
          <w:iCs w:val="0"/>
          <w:color w:val="auto"/>
          <w:sz w:val="24"/>
          <w:highlight w:val="none"/>
        </w:rPr>
        <w:t>0</w:t>
      </w:r>
    </w:p>
    <w:p w14:paraId="1A337EA0">
      <w:pPr>
        <w:pageBreakBefore w:val="0"/>
        <w:widowControl w:val="0"/>
        <w:kinsoku/>
        <w:wordWrap/>
        <w:overflowPunct/>
        <w:topLinePunct w:val="0"/>
        <w:autoSpaceDE/>
        <w:autoSpaceDN/>
        <w:bidi w:val="0"/>
        <w:spacing w:line="420" w:lineRule="exact"/>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四、提交投标文件截止时间、开标时间和地点（网址）</w:t>
      </w:r>
    </w:p>
    <w:p w14:paraId="20098335">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Style w:val="75"/>
          <w:rFonts w:hint="eastAsia" w:ascii="仿宋" w:hAnsi="仿宋" w:eastAsia="仿宋" w:cs="仿宋"/>
          <w:i w:val="0"/>
          <w:iCs w:val="0"/>
          <w:snapToGrid/>
          <w:color w:val="auto"/>
          <w:kern w:val="2"/>
          <w:sz w:val="24"/>
          <w:szCs w:val="24"/>
          <w:highlight w:val="none"/>
          <w:u w:val="single"/>
        </w:rPr>
        <w:t>202</w:t>
      </w:r>
      <w:r>
        <w:rPr>
          <w:rStyle w:val="75"/>
          <w:rFonts w:hint="eastAsia" w:ascii="仿宋" w:hAnsi="仿宋" w:eastAsia="仿宋" w:cs="仿宋"/>
          <w:i w:val="0"/>
          <w:iCs w:val="0"/>
          <w:snapToGrid/>
          <w:color w:val="auto"/>
          <w:kern w:val="2"/>
          <w:sz w:val="24"/>
          <w:szCs w:val="24"/>
          <w:highlight w:val="none"/>
          <w:u w:val="single"/>
          <w:lang w:val="en-US" w:eastAsia="zh-CN"/>
        </w:rPr>
        <w:t>6</w:t>
      </w:r>
      <w:r>
        <w:rPr>
          <w:rStyle w:val="75"/>
          <w:rFonts w:hint="eastAsia" w:ascii="仿宋" w:hAnsi="仿宋" w:eastAsia="仿宋" w:cs="仿宋"/>
          <w:i w:val="0"/>
          <w:iCs w:val="0"/>
          <w:snapToGrid/>
          <w:color w:val="auto"/>
          <w:kern w:val="2"/>
          <w:sz w:val="24"/>
          <w:szCs w:val="24"/>
          <w:highlight w:val="none"/>
          <w:u w:val="single"/>
        </w:rPr>
        <w:t>年</w:t>
      </w:r>
      <w:r>
        <w:rPr>
          <w:rStyle w:val="75"/>
          <w:rFonts w:hint="eastAsia" w:ascii="仿宋" w:hAnsi="仿宋" w:eastAsia="仿宋" w:cs="仿宋"/>
          <w:i w:val="0"/>
          <w:iCs w:val="0"/>
          <w:snapToGrid/>
          <w:color w:val="auto"/>
          <w:kern w:val="2"/>
          <w:sz w:val="24"/>
          <w:szCs w:val="24"/>
          <w:highlight w:val="none"/>
          <w:u w:val="single"/>
          <w:lang w:val="en-US" w:eastAsia="zh-CN"/>
        </w:rPr>
        <w:t>2月12日9</w:t>
      </w:r>
      <w:r>
        <w:rPr>
          <w:rStyle w:val="75"/>
          <w:rFonts w:hint="eastAsia" w:ascii="仿宋" w:hAnsi="仿宋" w:eastAsia="仿宋" w:cs="仿宋"/>
          <w:i w:val="0"/>
          <w:iCs w:val="0"/>
          <w:snapToGrid/>
          <w:color w:val="auto"/>
          <w:kern w:val="2"/>
          <w:sz w:val="24"/>
          <w:szCs w:val="24"/>
          <w:highlight w:val="none"/>
          <w:u w:val="single"/>
        </w:rPr>
        <w:t>点</w:t>
      </w:r>
      <w:r>
        <w:rPr>
          <w:rStyle w:val="75"/>
          <w:rFonts w:hint="eastAsia" w:ascii="仿宋" w:hAnsi="仿宋" w:eastAsia="仿宋" w:cs="仿宋"/>
          <w:i w:val="0"/>
          <w:iCs w:val="0"/>
          <w:snapToGrid/>
          <w:color w:val="auto"/>
          <w:kern w:val="2"/>
          <w:sz w:val="24"/>
          <w:szCs w:val="24"/>
          <w:highlight w:val="none"/>
          <w:u w:val="single"/>
          <w:lang w:val="en-US" w:eastAsia="zh-CN"/>
        </w:rPr>
        <w:t>30</w:t>
      </w:r>
      <w:r>
        <w:rPr>
          <w:rStyle w:val="75"/>
          <w:rFonts w:hint="eastAsia" w:ascii="仿宋" w:hAnsi="仿宋" w:eastAsia="仿宋" w:cs="仿宋"/>
          <w:i w:val="0"/>
          <w:iCs w:val="0"/>
          <w:snapToGrid/>
          <w:color w:val="auto"/>
          <w:kern w:val="2"/>
          <w:sz w:val="24"/>
          <w:szCs w:val="24"/>
          <w:highlight w:val="none"/>
          <w:u w:val="single"/>
        </w:rPr>
        <w:t>分00</w:t>
      </w:r>
      <w:r>
        <w:rPr>
          <w:rStyle w:val="75"/>
          <w:rFonts w:hint="eastAsia" w:ascii="仿宋" w:hAnsi="仿宋" w:eastAsia="仿宋" w:cs="仿宋"/>
          <w:i w:val="0"/>
          <w:iCs w:val="0"/>
          <w:snapToGrid/>
          <w:color w:val="auto"/>
          <w:kern w:val="2"/>
          <w:sz w:val="24"/>
          <w:szCs w:val="24"/>
          <w:highlight w:val="none"/>
          <w:u w:val="none"/>
        </w:rPr>
        <w:t>秒</w:t>
      </w:r>
      <w:r>
        <w:rPr>
          <w:rFonts w:hint="eastAsia" w:ascii="仿宋" w:hAnsi="仿宋" w:eastAsia="仿宋" w:cs="仿宋"/>
          <w:i w:val="0"/>
          <w:iCs w:val="0"/>
          <w:color w:val="auto"/>
          <w:sz w:val="24"/>
          <w:highlight w:val="none"/>
        </w:rPr>
        <w:t>（北京时间）</w:t>
      </w:r>
    </w:p>
    <w:p w14:paraId="32CF2AF0">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p>
    <w:p w14:paraId="53E52271">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Style w:val="75"/>
          <w:rFonts w:hint="eastAsia" w:ascii="仿宋" w:hAnsi="仿宋" w:eastAsia="仿宋" w:cs="仿宋"/>
          <w:i w:val="0"/>
          <w:iCs w:val="0"/>
          <w:snapToGrid/>
          <w:color w:val="auto"/>
          <w:kern w:val="2"/>
          <w:sz w:val="24"/>
          <w:szCs w:val="24"/>
          <w:highlight w:val="none"/>
          <w:u w:val="single"/>
        </w:rPr>
        <w:t>202</w:t>
      </w:r>
      <w:r>
        <w:rPr>
          <w:rStyle w:val="75"/>
          <w:rFonts w:hint="eastAsia" w:ascii="仿宋" w:hAnsi="仿宋" w:eastAsia="仿宋" w:cs="仿宋"/>
          <w:i w:val="0"/>
          <w:iCs w:val="0"/>
          <w:snapToGrid/>
          <w:color w:val="auto"/>
          <w:kern w:val="2"/>
          <w:sz w:val="24"/>
          <w:szCs w:val="24"/>
          <w:highlight w:val="none"/>
          <w:u w:val="single"/>
          <w:lang w:val="en-US" w:eastAsia="zh-CN"/>
        </w:rPr>
        <w:t>6</w:t>
      </w:r>
      <w:r>
        <w:rPr>
          <w:rStyle w:val="75"/>
          <w:rFonts w:hint="eastAsia" w:ascii="仿宋" w:hAnsi="仿宋" w:eastAsia="仿宋" w:cs="仿宋"/>
          <w:i w:val="0"/>
          <w:iCs w:val="0"/>
          <w:snapToGrid/>
          <w:color w:val="auto"/>
          <w:kern w:val="2"/>
          <w:sz w:val="24"/>
          <w:szCs w:val="24"/>
          <w:highlight w:val="none"/>
          <w:u w:val="single"/>
        </w:rPr>
        <w:t>年</w:t>
      </w:r>
      <w:r>
        <w:rPr>
          <w:rStyle w:val="75"/>
          <w:rFonts w:hint="eastAsia" w:ascii="仿宋" w:hAnsi="仿宋" w:eastAsia="仿宋" w:cs="仿宋"/>
          <w:i w:val="0"/>
          <w:iCs w:val="0"/>
          <w:snapToGrid/>
          <w:color w:val="auto"/>
          <w:kern w:val="2"/>
          <w:sz w:val="24"/>
          <w:szCs w:val="24"/>
          <w:highlight w:val="none"/>
          <w:u w:val="single"/>
          <w:lang w:val="en-US" w:eastAsia="zh-CN"/>
        </w:rPr>
        <w:t>2月12日9</w:t>
      </w:r>
      <w:r>
        <w:rPr>
          <w:rStyle w:val="75"/>
          <w:rFonts w:hint="eastAsia" w:ascii="仿宋" w:hAnsi="仿宋" w:eastAsia="仿宋" w:cs="仿宋"/>
          <w:i w:val="0"/>
          <w:iCs w:val="0"/>
          <w:snapToGrid/>
          <w:color w:val="auto"/>
          <w:kern w:val="2"/>
          <w:sz w:val="24"/>
          <w:szCs w:val="24"/>
          <w:highlight w:val="none"/>
          <w:u w:val="single"/>
        </w:rPr>
        <w:t>点</w:t>
      </w:r>
      <w:r>
        <w:rPr>
          <w:rStyle w:val="75"/>
          <w:rFonts w:hint="eastAsia" w:ascii="仿宋" w:hAnsi="仿宋" w:eastAsia="仿宋" w:cs="仿宋"/>
          <w:i w:val="0"/>
          <w:iCs w:val="0"/>
          <w:snapToGrid/>
          <w:color w:val="auto"/>
          <w:kern w:val="2"/>
          <w:sz w:val="24"/>
          <w:szCs w:val="24"/>
          <w:highlight w:val="none"/>
          <w:u w:val="single"/>
          <w:lang w:val="en-US" w:eastAsia="zh-CN"/>
        </w:rPr>
        <w:t>30</w:t>
      </w:r>
      <w:r>
        <w:rPr>
          <w:rStyle w:val="75"/>
          <w:rFonts w:hint="eastAsia" w:ascii="仿宋" w:hAnsi="仿宋" w:eastAsia="仿宋" w:cs="仿宋"/>
          <w:i w:val="0"/>
          <w:iCs w:val="0"/>
          <w:snapToGrid/>
          <w:color w:val="auto"/>
          <w:kern w:val="2"/>
          <w:sz w:val="24"/>
          <w:szCs w:val="24"/>
          <w:highlight w:val="none"/>
          <w:u w:val="single"/>
        </w:rPr>
        <w:t>分00秒</w:t>
      </w:r>
      <w:r>
        <w:rPr>
          <w:rFonts w:hint="eastAsia" w:ascii="仿宋" w:hAnsi="仿宋" w:eastAsia="仿宋" w:cs="仿宋"/>
          <w:i w:val="0"/>
          <w:iCs w:val="0"/>
          <w:color w:val="auto"/>
          <w:sz w:val="24"/>
          <w:highlight w:val="none"/>
        </w:rPr>
        <w:t>（北京时间）</w:t>
      </w:r>
    </w:p>
    <w:p w14:paraId="4D10BE2B">
      <w:pPr>
        <w:pageBreakBefore w:val="0"/>
        <w:widowControl w:val="0"/>
        <w:kinsoku/>
        <w:wordWrap/>
        <w:overflowPunct/>
        <w:topLinePunct w:val="0"/>
        <w:autoSpaceDE/>
        <w:autoSpaceDN/>
        <w:bidi w:val="0"/>
        <w:spacing w:line="420" w:lineRule="exact"/>
        <w:ind w:firstLine="482"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p>
    <w:p w14:paraId="117FDFCD">
      <w:pPr>
        <w:pageBreakBefore w:val="0"/>
        <w:widowControl w:val="0"/>
        <w:kinsoku/>
        <w:wordWrap/>
        <w:overflowPunct/>
        <w:topLinePunct w:val="0"/>
        <w:autoSpaceDE/>
        <w:autoSpaceDN/>
        <w:bidi w:val="0"/>
        <w:spacing w:line="420" w:lineRule="exact"/>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1975C8C2">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和</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提出质疑。质疑</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的答复不满意或者</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未在规定的时间内作出答复的，</w:t>
      </w:r>
      <w:r>
        <w:rPr>
          <w:rFonts w:hint="eastAsia" w:ascii="仿宋" w:hAnsi="仿宋" w:eastAsia="仿宋" w:cs="仿宋"/>
          <w:i w:val="0"/>
          <w:iCs w:val="0"/>
          <w:color w:val="auto"/>
          <w:sz w:val="24"/>
          <w:highlight w:val="none"/>
          <w:u w:val="single"/>
        </w:rPr>
        <w:t>可以在答复期满后十五个工作日内向</w:t>
      </w:r>
      <w:r>
        <w:rPr>
          <w:rFonts w:hint="eastAsia" w:ascii="仿宋" w:hAnsi="仿宋" w:eastAsia="仿宋" w:cs="仿宋"/>
          <w:i w:val="0"/>
          <w:iCs w:val="0"/>
          <w:color w:val="auto"/>
          <w:sz w:val="24"/>
          <w:highlight w:val="none"/>
          <w:u w:val="single"/>
          <w:lang w:val="en-US" w:eastAsia="zh-CN"/>
        </w:rPr>
        <w:t>本项目</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377E63D1">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合理安排好时间准时投标。</w:t>
      </w:r>
    </w:p>
    <w:p w14:paraId="71060522">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rPr>
        <w:fldChar w:fldCharType="begin"/>
      </w:r>
      <w:r>
        <w:rPr>
          <w:rFonts w:hint="eastAsia" w:ascii="仿宋" w:hAnsi="仿宋" w:eastAsia="仿宋" w:cs="仿宋"/>
          <w:i w:val="0"/>
          <w:iCs w:val="0"/>
          <w:color w:val="auto"/>
          <w:sz w:val="24"/>
          <w:highlight w:val="none"/>
        </w:rPr>
        <w:instrText xml:space="preserve"> HYPERLINK "https://ygcg.sxjypt.com/detail?articleId=347" </w:instrText>
      </w:r>
      <w:r>
        <w:rPr>
          <w:rFonts w:hint="eastAsia" w:ascii="仿宋" w:hAnsi="仿宋" w:eastAsia="仿宋" w:cs="仿宋"/>
          <w:i w:val="0"/>
          <w:iCs w:val="0"/>
          <w:color w:val="auto"/>
          <w:sz w:val="24"/>
          <w:highlight w:val="none"/>
        </w:rPr>
        <w:fldChar w:fldCharType="separate"/>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rPr>
        <w:fldChar w:fldCharType="end"/>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每标段1500元</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lang w:eastAsia="zh-CN"/>
        </w:rPr>
        <w:t>人</w:t>
      </w:r>
      <w:r>
        <w:rPr>
          <w:rFonts w:hint="eastAsia" w:ascii="仿宋" w:hAnsi="仿宋" w:eastAsia="仿宋" w:cs="仿宋"/>
          <w:i w:val="0"/>
          <w:iCs w:val="0"/>
          <w:color w:val="auto"/>
          <w:sz w:val="24"/>
          <w:highlight w:val="none"/>
        </w:rPr>
        <w:t>在系统使用费订单生成后五日内未完成支付的，</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有权取消其中标资格。</w:t>
      </w:r>
    </w:p>
    <w:p w14:paraId="4D0A8E6A">
      <w:pPr>
        <w:pageBreakBefore w:val="0"/>
        <w:widowControl w:val="0"/>
        <w:kinsoku/>
        <w:wordWrap/>
        <w:overflowPunct/>
        <w:topLinePunct w:val="0"/>
        <w:autoSpaceDE/>
        <w:autoSpaceDN/>
        <w:bidi w:val="0"/>
        <w:spacing w:line="420" w:lineRule="exact"/>
        <w:textAlignment w:val="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w:t>
      </w:r>
      <w:r>
        <w:rPr>
          <w:rFonts w:hint="eastAsia" w:ascii="仿宋" w:hAnsi="仿宋" w:eastAsia="仿宋" w:cs="仿宋"/>
          <w:b/>
          <w:i w:val="0"/>
          <w:iCs w:val="0"/>
          <w:color w:val="auto"/>
          <w:sz w:val="24"/>
          <w:highlight w:val="none"/>
          <w:lang w:val="en-US" w:eastAsia="zh-CN"/>
        </w:rPr>
        <w:t>招标</w:t>
      </w:r>
      <w:r>
        <w:rPr>
          <w:rFonts w:hint="eastAsia" w:ascii="仿宋" w:hAnsi="仿宋" w:eastAsia="仿宋" w:cs="仿宋"/>
          <w:b/>
          <w:i w:val="0"/>
          <w:iCs w:val="0"/>
          <w:color w:val="auto"/>
          <w:sz w:val="24"/>
          <w:highlight w:val="none"/>
        </w:rPr>
        <w:t>提出询问、质疑、投诉，请按以下方式联系</w:t>
      </w:r>
    </w:p>
    <w:p w14:paraId="27809FD3">
      <w:pPr>
        <w:pStyle w:val="2"/>
        <w:pageBreakBefore w:val="0"/>
        <w:widowControl w:val="0"/>
        <w:kinsoku/>
        <w:wordWrap/>
        <w:overflowPunct/>
        <w:topLinePunct w:val="0"/>
        <w:autoSpaceDE/>
        <w:autoSpaceDN/>
        <w:bidi w:val="0"/>
        <w:spacing w:line="420" w:lineRule="exact"/>
        <w:ind w:left="0" w:firstLine="482" w:firstLineChars="200"/>
        <w:textAlignment w:val="auto"/>
        <w:rPr>
          <w:rFonts w:hint="eastAsia" w:ascii="仿宋" w:hAnsi="仿宋" w:eastAsia="仿宋" w:cs="仿宋"/>
          <w:i w:val="0"/>
          <w:iCs w:val="0"/>
          <w:color w:val="auto"/>
          <w:sz w:val="24"/>
          <w:szCs w:val="24"/>
          <w:highlight w:val="none"/>
        </w:rPr>
      </w:pPr>
      <w:bookmarkStart w:id="10" w:name="_Toc28359096"/>
      <w:bookmarkStart w:id="11" w:name="_Toc28359019"/>
      <w:bookmarkStart w:id="12" w:name="_Toc35393637"/>
      <w:bookmarkStart w:id="13" w:name="_Toc35393806"/>
      <w:r>
        <w:rPr>
          <w:rFonts w:hint="eastAsia" w:ascii="仿宋" w:hAnsi="仿宋" w:eastAsia="仿宋" w:cs="仿宋"/>
          <w:i w:val="0"/>
          <w:iCs w:val="0"/>
          <w:color w:val="auto"/>
          <w:sz w:val="24"/>
          <w:szCs w:val="24"/>
          <w:highlight w:val="none"/>
        </w:rPr>
        <w:t>1.</w:t>
      </w:r>
      <w:r>
        <w:rPr>
          <w:rFonts w:hint="eastAsia" w:ascii="仿宋" w:hAnsi="仿宋" w:eastAsia="仿宋" w:cs="仿宋"/>
          <w:i w:val="0"/>
          <w:iCs w:val="0"/>
          <w:color w:val="auto"/>
          <w:sz w:val="24"/>
          <w:szCs w:val="24"/>
          <w:highlight w:val="none"/>
          <w:lang w:eastAsia="zh-CN"/>
        </w:rPr>
        <w:t>招标人</w:t>
      </w:r>
      <w:r>
        <w:rPr>
          <w:rFonts w:hint="eastAsia" w:ascii="仿宋" w:hAnsi="仿宋" w:eastAsia="仿宋" w:cs="仿宋"/>
          <w:i w:val="0"/>
          <w:iCs w:val="0"/>
          <w:color w:val="auto"/>
          <w:sz w:val="24"/>
          <w:szCs w:val="24"/>
          <w:highlight w:val="none"/>
        </w:rPr>
        <w:t>信息</w:t>
      </w:r>
      <w:bookmarkEnd w:id="10"/>
      <w:bookmarkEnd w:id="11"/>
      <w:bookmarkEnd w:id="12"/>
      <w:bookmarkEnd w:id="13"/>
      <w:r>
        <w:rPr>
          <w:rFonts w:hint="eastAsia" w:ascii="仿宋" w:hAnsi="仿宋" w:eastAsia="仿宋" w:cs="仿宋"/>
          <w:i w:val="0"/>
          <w:iCs w:val="0"/>
          <w:color w:val="auto"/>
          <w:sz w:val="24"/>
          <w:szCs w:val="24"/>
          <w:highlight w:val="none"/>
        </w:rPr>
        <w:t>：</w:t>
      </w:r>
    </w:p>
    <w:p w14:paraId="1C34F556">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    称：</w:t>
      </w:r>
      <w:r>
        <w:rPr>
          <w:rFonts w:hint="eastAsia" w:ascii="仿宋" w:hAnsi="仿宋" w:eastAsia="仿宋" w:cs="仿宋"/>
          <w:i w:val="0"/>
          <w:iCs w:val="0"/>
          <w:color w:val="auto"/>
          <w:sz w:val="24"/>
          <w:highlight w:val="none"/>
          <w:lang w:eastAsia="zh-CN"/>
        </w:rPr>
        <w:t>绍兴市公共交通集团有限公司</w:t>
      </w:r>
    </w:p>
    <w:p w14:paraId="0EA7FB10">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    址：</w:t>
      </w:r>
      <w:r>
        <w:rPr>
          <w:rFonts w:hint="eastAsia" w:ascii="仿宋" w:hAnsi="仿宋" w:eastAsia="仿宋" w:cs="仿宋"/>
          <w:color w:val="auto"/>
          <w:kern w:val="0"/>
          <w:sz w:val="24"/>
          <w:szCs w:val="24"/>
          <w:highlight w:val="none"/>
          <w:lang w:val="en-US" w:eastAsia="zh-CN" w:bidi="ar"/>
        </w:rPr>
        <w:t>绍兴市润沁路19号</w:t>
      </w:r>
    </w:p>
    <w:p w14:paraId="41D183A9">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    真：</w:t>
      </w:r>
      <w:r>
        <w:rPr>
          <w:rFonts w:hint="eastAsia" w:ascii="仿宋" w:hAnsi="仿宋" w:eastAsia="仿宋" w:cs="仿宋"/>
          <w:i w:val="0"/>
          <w:iCs w:val="0"/>
          <w:color w:val="auto"/>
          <w:sz w:val="24"/>
          <w:highlight w:val="none"/>
          <w:lang w:val="en-US" w:eastAsia="zh-CN"/>
        </w:rPr>
        <w:t>/</w:t>
      </w:r>
    </w:p>
    <w:p w14:paraId="501EB6C1">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骆爱兰</w:t>
      </w:r>
    </w:p>
    <w:p w14:paraId="0E4887E0">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0575-88171031</w:t>
      </w:r>
    </w:p>
    <w:p w14:paraId="1B63D2B1">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许吉明</w:t>
      </w:r>
    </w:p>
    <w:p w14:paraId="75F3B378">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质疑联系方式：</w:t>
      </w:r>
      <w:r>
        <w:rPr>
          <w:rFonts w:hint="eastAsia" w:ascii="仿宋" w:hAnsi="仿宋" w:eastAsia="仿宋" w:cs="仿宋"/>
          <w:i w:val="0"/>
          <w:iCs w:val="0"/>
          <w:color w:val="auto"/>
          <w:sz w:val="24"/>
          <w:highlight w:val="none"/>
          <w:lang w:val="en-US" w:eastAsia="zh-CN"/>
        </w:rPr>
        <w:t>0575-88318786</w:t>
      </w:r>
    </w:p>
    <w:p w14:paraId="12DB3082">
      <w:pPr>
        <w:pStyle w:val="2"/>
        <w:pageBreakBefore w:val="0"/>
        <w:widowControl w:val="0"/>
        <w:kinsoku/>
        <w:wordWrap/>
        <w:overflowPunct/>
        <w:topLinePunct w:val="0"/>
        <w:autoSpaceDE/>
        <w:autoSpaceDN/>
        <w:bidi w:val="0"/>
        <w:spacing w:line="420" w:lineRule="exact"/>
        <w:ind w:left="0" w:firstLine="482" w:firstLineChars="200"/>
        <w:textAlignment w:val="auto"/>
        <w:rPr>
          <w:rFonts w:hint="eastAsia" w:ascii="仿宋" w:hAnsi="仿宋" w:eastAsia="仿宋" w:cs="仿宋"/>
          <w:i w:val="0"/>
          <w:iCs w:val="0"/>
          <w:color w:val="auto"/>
          <w:sz w:val="24"/>
          <w:highlight w:val="none"/>
        </w:rPr>
      </w:pPr>
      <w:bookmarkStart w:id="14" w:name="_Toc35393807"/>
      <w:bookmarkStart w:id="15" w:name="_Toc35393638"/>
      <w:bookmarkStart w:id="16" w:name="_Toc28359020"/>
      <w:bookmarkStart w:id="17" w:name="_Toc28359097"/>
      <w:r>
        <w:rPr>
          <w:rFonts w:hint="eastAsia" w:ascii="仿宋" w:hAnsi="仿宋" w:eastAsia="仿宋" w:cs="仿宋"/>
          <w:i w:val="0"/>
          <w:iCs w:val="0"/>
          <w:color w:val="auto"/>
          <w:sz w:val="24"/>
          <w:szCs w:val="24"/>
          <w:highlight w:val="none"/>
        </w:rPr>
        <w:t>2.</w:t>
      </w:r>
      <w:r>
        <w:rPr>
          <w:rFonts w:hint="eastAsia" w:ascii="仿宋" w:hAnsi="仿宋" w:eastAsia="仿宋" w:cs="仿宋"/>
          <w:i w:val="0"/>
          <w:iCs w:val="0"/>
          <w:color w:val="auto"/>
          <w:sz w:val="24"/>
          <w:szCs w:val="24"/>
          <w:highlight w:val="none"/>
          <w:lang w:eastAsia="zh-CN"/>
        </w:rPr>
        <w:t>招标代理机构</w:t>
      </w:r>
      <w:r>
        <w:rPr>
          <w:rFonts w:hint="eastAsia" w:ascii="仿宋" w:hAnsi="仿宋" w:eastAsia="仿宋" w:cs="仿宋"/>
          <w:i w:val="0"/>
          <w:iCs w:val="0"/>
          <w:color w:val="auto"/>
          <w:sz w:val="24"/>
          <w:szCs w:val="24"/>
          <w:highlight w:val="none"/>
        </w:rPr>
        <w:t>信息</w:t>
      </w:r>
      <w:bookmarkEnd w:id="14"/>
      <w:bookmarkEnd w:id="15"/>
      <w:bookmarkEnd w:id="16"/>
      <w:bookmarkEnd w:id="17"/>
      <w:r>
        <w:rPr>
          <w:rFonts w:hint="eastAsia" w:ascii="仿宋" w:hAnsi="仿宋" w:eastAsia="仿宋" w:cs="仿宋"/>
          <w:i w:val="0"/>
          <w:iCs w:val="0"/>
          <w:color w:val="auto"/>
          <w:sz w:val="24"/>
          <w:szCs w:val="24"/>
          <w:highlight w:val="none"/>
        </w:rPr>
        <w:t>：</w:t>
      </w:r>
    </w:p>
    <w:p w14:paraId="624F79FD">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    称：</w:t>
      </w:r>
      <w:r>
        <w:rPr>
          <w:rFonts w:hint="eastAsia" w:ascii="仿宋" w:hAnsi="仿宋" w:eastAsia="仿宋" w:cs="仿宋"/>
          <w:i w:val="0"/>
          <w:iCs w:val="0"/>
          <w:color w:val="auto"/>
          <w:sz w:val="24"/>
          <w:highlight w:val="none"/>
          <w:lang w:eastAsia="zh-CN"/>
        </w:rPr>
        <w:t>浙江翔实建设项目管理有限公司</w:t>
      </w:r>
    </w:p>
    <w:p w14:paraId="3ED37EAC">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    址：</w:t>
      </w:r>
      <w:r>
        <w:rPr>
          <w:rFonts w:hint="eastAsia" w:ascii="仿宋" w:hAnsi="仿宋" w:eastAsia="仿宋" w:cs="仿宋"/>
          <w:i w:val="0"/>
          <w:iCs w:val="0"/>
          <w:color w:val="auto"/>
          <w:sz w:val="24"/>
          <w:highlight w:val="none"/>
          <w:lang w:val="en-US" w:eastAsia="zh-CN"/>
        </w:rPr>
        <w:t>绍兴市越城区阳明北路692号</w:t>
      </w:r>
    </w:p>
    <w:p w14:paraId="6086A8D6">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    真：</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 xml:space="preserve"> </w:t>
      </w:r>
    </w:p>
    <w:p w14:paraId="4B3E17E1">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蒋红</w:t>
      </w:r>
    </w:p>
    <w:p w14:paraId="0EAAD404">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18906853539</w:t>
      </w:r>
    </w:p>
    <w:p w14:paraId="16394A28">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周成龙</w:t>
      </w:r>
    </w:p>
    <w:p w14:paraId="7D32FE1F">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i w:val="0"/>
          <w:iCs w:val="0"/>
          <w:color w:val="auto"/>
          <w:sz w:val="24"/>
          <w:highlight w:val="none"/>
          <w:lang w:val="en-US" w:eastAsia="zh-CN"/>
        </w:rPr>
        <w:t>0575-88689158</w:t>
      </w:r>
    </w:p>
    <w:p w14:paraId="49ADB3CA">
      <w:pPr>
        <w:keepNext w:val="0"/>
        <w:keepLines w:val="0"/>
        <w:pageBreakBefore w:val="0"/>
        <w:widowControl w:val="0"/>
        <w:shd w:val="clear"/>
        <w:kinsoku/>
        <w:wordWrap/>
        <w:overflowPunct/>
        <w:topLinePunct w:val="0"/>
        <w:autoSpaceDE/>
        <w:autoSpaceDN/>
        <w:bidi w:val="0"/>
        <w:snapToGrid/>
        <w:spacing w:line="42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3.</w:t>
      </w:r>
      <w:r>
        <w:rPr>
          <w:rFonts w:hint="eastAsia" w:ascii="仿宋" w:hAnsi="仿宋" w:eastAsia="仿宋" w:cs="仿宋"/>
          <w:b/>
          <w:i w:val="0"/>
          <w:iCs w:val="0"/>
          <w:color w:val="auto"/>
          <w:sz w:val="24"/>
          <w:highlight w:val="none"/>
          <w:lang w:eastAsia="zh-CN"/>
        </w:rPr>
        <w:t>监督单位（</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rPr>
        <w:t>信息</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rPr>
        <w:t xml:space="preserve"> </w:t>
      </w:r>
    </w:p>
    <w:p w14:paraId="684BE188">
      <w:pPr>
        <w:keepNext w:val="0"/>
        <w:keepLines w:val="0"/>
        <w:pageBreakBefore w:val="0"/>
        <w:widowControl w:val="0"/>
        <w:shd w:val="clear"/>
        <w:kinsoku/>
        <w:wordWrap/>
        <w:overflowPunct/>
        <w:topLinePunct w:val="0"/>
        <w:autoSpaceDE/>
        <w:autoSpaceDN/>
        <w:bidi w:val="0"/>
        <w:snapToGrid/>
        <w:spacing w:line="42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名称：绍兴市公共交通集团有限公司纪检监察部</w:t>
      </w:r>
    </w:p>
    <w:p w14:paraId="2F9461E1">
      <w:pPr>
        <w:keepNext w:val="0"/>
        <w:keepLines w:val="0"/>
        <w:pageBreakBefore w:val="0"/>
        <w:widowControl w:val="0"/>
        <w:shd w:val="clear"/>
        <w:kinsoku/>
        <w:wordWrap/>
        <w:overflowPunct/>
        <w:topLinePunct w:val="0"/>
        <w:autoSpaceDE/>
        <w:autoSpaceDN/>
        <w:bidi w:val="0"/>
        <w:snapToGrid/>
        <w:spacing w:line="42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地址：</w:t>
      </w:r>
      <w:r>
        <w:rPr>
          <w:rFonts w:hint="eastAsia" w:ascii="仿宋" w:hAnsi="仿宋" w:eastAsia="仿宋" w:cs="仿宋"/>
          <w:color w:val="auto"/>
          <w:kern w:val="0"/>
          <w:sz w:val="24"/>
          <w:szCs w:val="24"/>
          <w:highlight w:val="none"/>
          <w:lang w:val="en-US" w:eastAsia="zh-CN" w:bidi="ar"/>
        </w:rPr>
        <w:t>绍兴市润沁路19号</w:t>
      </w:r>
      <w:r>
        <w:rPr>
          <w:rFonts w:hint="eastAsia" w:ascii="仿宋" w:hAnsi="仿宋" w:eastAsia="仿宋" w:cs="仿宋"/>
          <w:color w:val="auto"/>
          <w:sz w:val="24"/>
          <w:szCs w:val="24"/>
          <w:highlight w:val="none"/>
          <w:lang w:val="en-US" w:eastAsia="zh-CN"/>
        </w:rPr>
        <w:t xml:space="preserve"> </w:t>
      </w:r>
    </w:p>
    <w:p w14:paraId="65818136">
      <w:pPr>
        <w:keepNext w:val="0"/>
        <w:keepLines w:val="0"/>
        <w:pageBreakBefore w:val="0"/>
        <w:widowControl w:val="0"/>
        <w:shd w:val="clear"/>
        <w:kinsoku/>
        <w:wordWrap/>
        <w:overflowPunct/>
        <w:topLinePunct w:val="0"/>
        <w:autoSpaceDE/>
        <w:autoSpaceDN/>
        <w:bidi w:val="0"/>
        <w:snapToGrid/>
        <w:spacing w:line="42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3035AF0A">
      <w:pPr>
        <w:keepNext w:val="0"/>
        <w:keepLines w:val="0"/>
        <w:pageBreakBefore w:val="0"/>
        <w:widowControl w:val="0"/>
        <w:shd w:val="clear"/>
        <w:kinsoku/>
        <w:wordWrap/>
        <w:overflowPunct/>
        <w:topLinePunct w:val="0"/>
        <w:autoSpaceDE/>
        <w:autoSpaceDN/>
        <w:bidi w:val="0"/>
        <w:snapToGrid/>
        <w:spacing w:line="42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联系人：郑林飞</w:t>
      </w:r>
    </w:p>
    <w:p w14:paraId="6236970C">
      <w:pPr>
        <w:keepNext w:val="0"/>
        <w:keepLines w:val="0"/>
        <w:pageBreakBefore w:val="0"/>
        <w:widowControl w:val="0"/>
        <w:shd w:val="clear"/>
        <w:kinsoku/>
        <w:wordWrap/>
        <w:overflowPunct/>
        <w:topLinePunct w:val="0"/>
        <w:autoSpaceDE/>
        <w:autoSpaceDN/>
        <w:bidi w:val="0"/>
        <w:snapToGrid/>
        <w:spacing w:line="42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监督投诉电话：0575-88376900</w:t>
      </w:r>
    </w:p>
    <w:p w14:paraId="1A91BFA6">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i w:val="0"/>
          <w:iCs w:val="0"/>
          <w:color w:val="auto"/>
          <w:sz w:val="24"/>
          <w:highlight w:val="none"/>
          <w:lang w:val="en-US" w:eastAsia="zh-CN"/>
        </w:rPr>
        <w:t>88163055</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13758514411</w:t>
      </w:r>
      <w:r>
        <w:rPr>
          <w:rFonts w:hint="eastAsia" w:ascii="仿宋" w:hAnsi="仿宋" w:eastAsia="仿宋" w:cs="仿宋"/>
          <w:i w:val="0"/>
          <w:iCs w:val="0"/>
          <w:color w:val="auto"/>
          <w:sz w:val="24"/>
          <w:highlight w:val="none"/>
        </w:rPr>
        <w:t>/15381628176获取热线服务帮助。</w:t>
      </w:r>
    </w:p>
    <w:p w14:paraId="401405DE">
      <w:pPr>
        <w:pageBreakBefore w:val="0"/>
        <w:widowControl w:val="0"/>
        <w:kinsoku/>
        <w:wordWrap/>
        <w:overflowPunct/>
        <w:topLinePunct w:val="0"/>
        <w:autoSpaceDE/>
        <w:autoSpaceDN/>
        <w:bidi w:val="0"/>
        <w:spacing w:line="420" w:lineRule="exact"/>
        <w:ind w:firstLine="480" w:firstLineChars="200"/>
        <w:textAlignment w:val="auto"/>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4BA4BCA0">
      <w:pPr>
        <w:widowControl/>
        <w:adjustRightInd/>
        <w:jc w:val="left"/>
        <w:rPr>
          <w:rFonts w:hint="eastAsia" w:ascii="仿宋" w:hAnsi="仿宋" w:eastAsia="仿宋" w:cs="仿宋"/>
          <w:i w:val="0"/>
          <w:iCs w:val="0"/>
          <w:snapToGrid w:val="0"/>
          <w:color w:val="auto"/>
          <w:highlight w:val="none"/>
        </w:rPr>
      </w:pPr>
      <w:r>
        <w:rPr>
          <w:rFonts w:hint="eastAsia" w:ascii="仿宋" w:hAnsi="仿宋" w:eastAsia="仿宋" w:cs="仿宋"/>
          <w:b/>
          <w:i w:val="0"/>
          <w:iCs w:val="0"/>
          <w:color w:val="auto"/>
          <w:sz w:val="36"/>
          <w:szCs w:val="20"/>
          <w:highlight w:val="none"/>
        </w:rPr>
        <w:br w:type="page"/>
      </w:r>
      <w:bookmarkEnd w:id="7"/>
      <w:bookmarkEnd w:id="8"/>
    </w:p>
    <w:p w14:paraId="2E803633">
      <w:pPr>
        <w:adjustRightInd/>
        <w:spacing w:line="360" w:lineRule="auto"/>
        <w:jc w:val="center"/>
        <w:outlineLvl w:val="0"/>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 投标须知</w:t>
      </w:r>
    </w:p>
    <w:p w14:paraId="1C80BED9">
      <w:pPr>
        <w:adjustRightInd/>
        <w:spacing w:line="360" w:lineRule="auto"/>
        <w:ind w:firstLine="3845" w:firstLineChars="1197"/>
        <w:outlineLvl w:val="0"/>
        <w:rPr>
          <w:rFonts w:hint="eastAsia"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4"/>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124"/>
        <w:gridCol w:w="7346"/>
      </w:tblGrid>
      <w:tr w14:paraId="599D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96DB26D">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3"/>
            <w:vAlign w:val="center"/>
          </w:tcPr>
          <w:p w14:paraId="199A5CB8">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40F9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CBE04C2">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p>
        </w:tc>
        <w:tc>
          <w:tcPr>
            <w:tcW w:w="8370" w:type="dxa"/>
            <w:gridSpan w:val="3"/>
            <w:vAlign w:val="center"/>
          </w:tcPr>
          <w:p w14:paraId="48C1E226">
            <w:pPr>
              <w:pageBreakBefore w:val="0"/>
              <w:widowControl w:val="0"/>
              <w:kinsoku/>
              <w:wordWrap/>
              <w:overflowPunct/>
              <w:topLinePunct w:val="0"/>
              <w:autoSpaceDE w:val="0"/>
              <w:autoSpaceDN w:val="0"/>
              <w:bidi w:val="0"/>
              <w:snapToGrid w:val="0"/>
              <w:spacing w:line="380" w:lineRule="exact"/>
              <w:ind w:left="0"/>
              <w:textAlignment w:val="center"/>
              <w:rPr>
                <w:rFonts w:hint="eastAsia"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按照项目要求特许资格、资信证明文件（如果有）：</w:t>
            </w:r>
          </w:p>
          <w:p w14:paraId="7F51093C">
            <w:pPr>
              <w:pageBreakBefore w:val="0"/>
              <w:widowControl w:val="0"/>
              <w:kinsoku/>
              <w:wordWrap/>
              <w:overflowPunct/>
              <w:topLinePunct w:val="0"/>
              <w:autoSpaceDE w:val="0"/>
              <w:autoSpaceDN w:val="0"/>
              <w:bidi w:val="0"/>
              <w:spacing w:line="380" w:lineRule="exact"/>
              <w:ind w:left="0" w:firstLine="480" w:firstLineChars="200"/>
              <w:textAlignment w:val="center"/>
              <w:rPr>
                <w:rFonts w:hint="eastAsia"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法律和行政法规规定或授权有关部门规定</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或产品进入市场须先行取得相关认证或许可的，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须在投标文件中提供相关的认证或许可证明材料。未经认证、许可，或者虽经认证、许可但相关资质证书已经失效的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，不能推荐、确认为中标</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p>
        </w:tc>
      </w:tr>
      <w:tr w14:paraId="09DF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0" w:type="dxa"/>
            <w:vAlign w:val="center"/>
          </w:tcPr>
          <w:p w14:paraId="6A7C1C9F">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w:t>
            </w:r>
          </w:p>
        </w:tc>
        <w:tc>
          <w:tcPr>
            <w:tcW w:w="8370" w:type="dxa"/>
            <w:gridSpan w:val="3"/>
            <w:vAlign w:val="center"/>
          </w:tcPr>
          <w:p w14:paraId="478C24AA">
            <w:pPr>
              <w:pageBreakBefore w:val="0"/>
              <w:widowControl w:val="0"/>
              <w:kinsoku/>
              <w:wordWrap/>
              <w:overflowPunct/>
              <w:topLinePunct w:val="0"/>
              <w:autoSpaceDE w:val="0"/>
              <w:autoSpaceDN w:val="0"/>
              <w:bidi w:val="0"/>
              <w:snapToGrid w:val="0"/>
              <w:spacing w:line="380" w:lineRule="exact"/>
              <w:ind w:left="0"/>
              <w:textAlignment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资格审查方式：资格后审。</w:t>
            </w:r>
          </w:p>
        </w:tc>
      </w:tr>
      <w:tr w14:paraId="7615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763DA8C">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w:t>
            </w:r>
          </w:p>
        </w:tc>
        <w:tc>
          <w:tcPr>
            <w:tcW w:w="8370" w:type="dxa"/>
            <w:gridSpan w:val="3"/>
            <w:vAlign w:val="center"/>
          </w:tcPr>
          <w:p w14:paraId="2AC3819E">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90</w:t>
            </w:r>
            <w:r>
              <w:rPr>
                <w:rFonts w:hint="eastAsia"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124C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6114C490">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w:t>
            </w:r>
          </w:p>
        </w:tc>
        <w:tc>
          <w:tcPr>
            <w:tcW w:w="8370" w:type="dxa"/>
            <w:gridSpan w:val="3"/>
            <w:vAlign w:val="center"/>
          </w:tcPr>
          <w:p w14:paraId="383DDFFA">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0B5CA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22EC7ACB">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w:t>
            </w:r>
          </w:p>
        </w:tc>
        <w:tc>
          <w:tcPr>
            <w:tcW w:w="8370" w:type="dxa"/>
            <w:gridSpan w:val="3"/>
            <w:vAlign w:val="center"/>
          </w:tcPr>
          <w:p w14:paraId="5B9319B7">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分包：</w:t>
            </w: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同意将非主体、非关键性的</w:t>
            </w:r>
            <w:r>
              <w:rPr>
                <w:rFonts w:hint="eastAsia" w:ascii="仿宋" w:hAnsi="仿宋" w:eastAsia="仿宋" w:cs="仿宋"/>
                <w:i w:val="0"/>
                <w:iCs w:val="0"/>
                <w:color w:val="auto"/>
                <w:sz w:val="24"/>
                <w:highlight w:val="none"/>
                <w:u w:val="single"/>
                <w:lang w:val="en-US" w:eastAsia="zh-CN"/>
              </w:rPr>
              <w:t>砼基础等</w:t>
            </w:r>
            <w:r>
              <w:rPr>
                <w:rFonts w:hint="eastAsia" w:ascii="仿宋" w:hAnsi="仿宋" w:eastAsia="仿宋" w:cs="仿宋"/>
                <w:i w:val="0"/>
                <w:iCs w:val="0"/>
                <w:color w:val="auto"/>
                <w:sz w:val="24"/>
                <w:highlight w:val="none"/>
              </w:rPr>
              <w:t>工作分包。（应明确具体分包工作内容）</w:t>
            </w:r>
          </w:p>
          <w:p w14:paraId="7DAAAF75">
            <w:pPr>
              <w:pageBreakBefore w:val="0"/>
              <w:widowControl w:val="0"/>
              <w:kinsoku/>
              <w:wordWrap/>
              <w:overflowPunct/>
              <w:topLinePunct w:val="0"/>
              <w:autoSpaceDE w:val="0"/>
              <w:autoSpaceDN w:val="0"/>
              <w:bidi w:val="0"/>
              <w:spacing w:line="380" w:lineRule="exact"/>
              <w:ind w:left="0" w:firstLine="720" w:firstLineChars="300"/>
              <w:textAlignment w:val="center"/>
              <w:rPr>
                <w:rFonts w:hint="eastAsia"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6EED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698DED20">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w:t>
            </w:r>
          </w:p>
        </w:tc>
        <w:tc>
          <w:tcPr>
            <w:tcW w:w="8370" w:type="dxa"/>
            <w:gridSpan w:val="3"/>
            <w:vAlign w:val="center"/>
          </w:tcPr>
          <w:p w14:paraId="4C4F6C01">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r>
              <w:rPr>
                <w:rFonts w:hint="eastAsia" w:ascii="仿宋" w:hAnsi="仿宋" w:eastAsia="仿宋" w:cs="仿宋"/>
                <w:i w:val="0"/>
                <w:iCs w:val="0"/>
                <w:color w:val="auto"/>
                <w:sz w:val="24"/>
                <w:highlight w:val="none"/>
                <w:lang w:val="en-US" w:eastAsia="zh-CN"/>
              </w:rPr>
              <w:t>中标人需在中标后提供一式五份投标文件。</w:t>
            </w:r>
          </w:p>
        </w:tc>
      </w:tr>
      <w:tr w14:paraId="7C18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5FC6C53C">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7</w:t>
            </w:r>
          </w:p>
        </w:tc>
        <w:tc>
          <w:tcPr>
            <w:tcW w:w="8370" w:type="dxa"/>
            <w:gridSpan w:val="3"/>
            <w:vAlign w:val="center"/>
          </w:tcPr>
          <w:p w14:paraId="64329679">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5880D14D">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00E9CA7F">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,地点</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，联系人</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，联系方式</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6EFF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7849EADD">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8370" w:type="dxa"/>
            <w:gridSpan w:val="3"/>
            <w:vAlign w:val="center"/>
          </w:tcPr>
          <w:p w14:paraId="39DC620D">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 xml:space="preserve">投标保证金: </w:t>
            </w:r>
            <w:r>
              <w:rPr>
                <w:rFonts w:hint="eastAsia" w:ascii="仿宋" w:hAnsi="仿宋" w:eastAsia="仿宋" w:cs="仿宋"/>
                <w:b/>
                <w:bCs/>
                <w:i w:val="0"/>
                <w:iCs w:val="0"/>
                <w:strike/>
                <w:dstrike w:val="0"/>
                <w:color w:val="auto"/>
                <w:kern w:val="0"/>
                <w:sz w:val="24"/>
                <w:highlight w:val="none"/>
                <w:u w:val="single"/>
                <w:lang w:eastAsia="zh-CN"/>
              </w:rPr>
              <w:t xml:space="preserve"> </w:t>
            </w:r>
            <w:r>
              <w:rPr>
                <w:rFonts w:hint="eastAsia" w:ascii="仿宋" w:hAnsi="仿宋" w:eastAsia="仿宋" w:cs="仿宋"/>
                <w:b/>
                <w:bCs/>
                <w:i w:val="0"/>
                <w:iCs w:val="0"/>
                <w:strike/>
                <w:dstrike w:val="0"/>
                <w:color w:val="auto"/>
                <w:kern w:val="0"/>
                <w:sz w:val="24"/>
                <w:highlight w:val="none"/>
                <w:u w:val="single"/>
                <w:lang w:val="en-US" w:eastAsia="zh-CN"/>
              </w:rPr>
              <w:t xml:space="preserve">  </w:t>
            </w:r>
            <w:r>
              <w:rPr>
                <w:rFonts w:hint="eastAsia" w:ascii="仿宋" w:hAnsi="仿宋" w:eastAsia="仿宋" w:cs="仿宋"/>
                <w:b/>
                <w:bCs/>
                <w:i w:val="0"/>
                <w:iCs w:val="0"/>
                <w:strike/>
                <w:dstrike w:val="0"/>
                <w:color w:val="auto"/>
                <w:kern w:val="0"/>
                <w:sz w:val="24"/>
                <w:highlight w:val="none"/>
              </w:rPr>
              <w:t>元</w:t>
            </w:r>
            <w:r>
              <w:rPr>
                <w:rFonts w:hint="eastAsia" w:ascii="仿宋" w:hAnsi="仿宋" w:eastAsia="仿宋" w:cs="仿宋"/>
                <w:i w:val="0"/>
                <w:iCs w:val="0"/>
                <w:strike/>
                <w:dstrike w:val="0"/>
                <w:color w:val="auto"/>
                <w:kern w:val="0"/>
                <w:sz w:val="24"/>
                <w:highlight w:val="none"/>
              </w:rPr>
              <w:t>。</w:t>
            </w:r>
          </w:p>
          <w:p w14:paraId="2831A853">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投标保证金的到账截止时间：</w:t>
            </w:r>
            <w:r>
              <w:rPr>
                <w:rFonts w:hint="eastAsia" w:ascii="仿宋" w:hAnsi="仿宋" w:eastAsia="仿宋" w:cs="仿宋"/>
                <w:i w:val="0"/>
                <w:iCs w:val="0"/>
                <w:strike/>
                <w:dstrike w:val="0"/>
                <w:color w:val="auto"/>
                <w:kern w:val="0"/>
                <w:sz w:val="24"/>
                <w:highlight w:val="none"/>
              </w:rPr>
              <w:t>202</w:t>
            </w:r>
            <w:r>
              <w:rPr>
                <w:rFonts w:hint="eastAsia" w:ascii="仿宋" w:hAnsi="仿宋" w:eastAsia="仿宋" w:cs="仿宋"/>
                <w:i w:val="0"/>
                <w:iCs w:val="0"/>
                <w:strike/>
                <w:dstrike w:val="0"/>
                <w:color w:val="auto"/>
                <w:kern w:val="0"/>
                <w:sz w:val="24"/>
                <w:highlight w:val="none"/>
                <w:lang w:val="en-US" w:eastAsia="zh-CN"/>
              </w:rPr>
              <w:t xml:space="preserve"> </w:t>
            </w:r>
            <w:r>
              <w:rPr>
                <w:rFonts w:hint="eastAsia" w:ascii="仿宋" w:hAnsi="仿宋" w:eastAsia="仿宋" w:cs="仿宋"/>
                <w:i w:val="0"/>
                <w:iCs w:val="0"/>
                <w:strike/>
                <w:dstrike w:val="0"/>
                <w:color w:val="auto"/>
                <w:kern w:val="0"/>
                <w:sz w:val="24"/>
                <w:highlight w:val="none"/>
              </w:rPr>
              <w:t>年 月 日 15</w:t>
            </w:r>
            <w:r>
              <w:rPr>
                <w:rFonts w:hint="eastAsia" w:ascii="仿宋" w:hAnsi="仿宋" w:eastAsia="仿宋" w:cs="仿宋"/>
                <w:i w:val="0"/>
                <w:iCs w:val="0"/>
                <w:strike/>
                <w:dstrike w:val="0"/>
                <w:color w:val="auto"/>
                <w:kern w:val="0"/>
                <w:sz w:val="24"/>
                <w:highlight w:val="none"/>
                <w:lang w:val="en-US" w:eastAsia="zh-CN"/>
              </w:rPr>
              <w:t>点</w:t>
            </w:r>
            <w:r>
              <w:rPr>
                <w:rFonts w:hint="eastAsia" w:ascii="仿宋" w:hAnsi="仿宋" w:eastAsia="仿宋" w:cs="仿宋"/>
                <w:i w:val="0"/>
                <w:iCs w:val="0"/>
                <w:strike/>
                <w:dstrike w:val="0"/>
                <w:color w:val="auto"/>
                <w:kern w:val="0"/>
                <w:sz w:val="24"/>
                <w:highlight w:val="none"/>
              </w:rPr>
              <w:t>00</w:t>
            </w:r>
            <w:r>
              <w:rPr>
                <w:rFonts w:hint="eastAsia" w:ascii="仿宋" w:hAnsi="仿宋" w:eastAsia="仿宋" w:cs="仿宋"/>
                <w:i w:val="0"/>
                <w:iCs w:val="0"/>
                <w:strike/>
                <w:dstrike w:val="0"/>
                <w:color w:val="auto"/>
                <w:kern w:val="0"/>
                <w:sz w:val="24"/>
                <w:highlight w:val="none"/>
                <w:lang w:val="en-US" w:eastAsia="zh-CN"/>
              </w:rPr>
              <w:t>分00秒</w:t>
            </w:r>
            <w:r>
              <w:rPr>
                <w:rFonts w:hint="eastAsia" w:ascii="仿宋" w:hAnsi="仿宋" w:eastAsia="仿宋" w:cs="仿宋"/>
                <w:i w:val="0"/>
                <w:iCs w:val="0"/>
                <w:strike/>
                <w:dstrike w:val="0"/>
                <w:color w:val="auto"/>
                <w:sz w:val="24"/>
                <w:highlight w:val="none"/>
              </w:rPr>
              <w:t>（北京时间）</w:t>
            </w:r>
            <w:r>
              <w:rPr>
                <w:rFonts w:hint="eastAsia" w:ascii="仿宋" w:hAnsi="仿宋" w:eastAsia="仿宋" w:cs="仿宋"/>
                <w:i w:val="0"/>
                <w:iCs w:val="0"/>
                <w:strike/>
                <w:dstrike w:val="0"/>
                <w:color w:val="auto"/>
                <w:kern w:val="0"/>
                <w:sz w:val="24"/>
                <w:highlight w:val="none"/>
              </w:rPr>
              <w:t>。项目报名</w:t>
            </w:r>
            <w:r>
              <w:rPr>
                <w:rFonts w:hint="eastAsia" w:ascii="仿宋" w:hAnsi="仿宋" w:eastAsia="仿宋" w:cs="仿宋"/>
                <w:i w:val="0"/>
                <w:iCs w:val="0"/>
                <w:strike/>
                <w:dstrike w:val="0"/>
                <w:color w:val="auto"/>
                <w:kern w:val="0"/>
                <w:sz w:val="24"/>
                <w:highlight w:val="none"/>
                <w:lang w:val="en-US" w:eastAsia="zh-CN"/>
              </w:rPr>
              <w:t>成功</w:t>
            </w:r>
            <w:r>
              <w:rPr>
                <w:rFonts w:hint="eastAsia" w:ascii="仿宋" w:hAnsi="仿宋" w:eastAsia="仿宋" w:cs="仿宋"/>
                <w:i w:val="0"/>
                <w:iCs w:val="0"/>
                <w:strike/>
                <w:dstrike w:val="0"/>
                <w:color w:val="auto"/>
                <w:kern w:val="0"/>
                <w:sz w:val="24"/>
                <w:highlight w:val="none"/>
              </w:rPr>
              <w:t>后，</w:t>
            </w:r>
            <w:r>
              <w:rPr>
                <w:rFonts w:hint="eastAsia" w:ascii="仿宋" w:hAnsi="仿宋" w:eastAsia="仿宋" w:cs="仿宋"/>
                <w:i w:val="0"/>
                <w:iCs w:val="0"/>
                <w:strike/>
                <w:dstrike w:val="0"/>
                <w:color w:val="auto"/>
                <w:kern w:val="0"/>
                <w:sz w:val="24"/>
                <w:highlight w:val="none"/>
                <w:lang w:val="en-US" w:eastAsia="zh-CN"/>
              </w:rPr>
              <w:t>投标人</w:t>
            </w:r>
            <w:r>
              <w:rPr>
                <w:rFonts w:hint="eastAsia" w:ascii="仿宋" w:hAnsi="仿宋" w:eastAsia="仿宋" w:cs="仿宋"/>
                <w:i w:val="0"/>
                <w:iCs w:val="0"/>
                <w:strike/>
                <w:dstrike w:val="0"/>
                <w:color w:val="auto"/>
                <w:kern w:val="0"/>
                <w:sz w:val="24"/>
                <w:highlight w:val="none"/>
                <w:lang w:val="en-US"/>
              </w:rPr>
              <w:t>通过</w:t>
            </w:r>
            <w:r>
              <w:rPr>
                <w:rFonts w:hint="eastAsia" w:ascii="仿宋" w:hAnsi="仿宋" w:eastAsia="仿宋" w:cs="仿宋"/>
                <w:i w:val="0"/>
                <w:iCs w:val="0"/>
                <w:strike/>
                <w:dstrike w:val="0"/>
                <w:color w:val="auto"/>
                <w:kern w:val="0"/>
                <w:sz w:val="24"/>
                <w:highlight w:val="none"/>
                <w:lang w:val="en-US" w:eastAsia="zh-CN"/>
              </w:rPr>
              <w:t>登录</w:t>
            </w:r>
            <w:r>
              <w:rPr>
                <w:rFonts w:hint="eastAsia" w:ascii="仿宋" w:hAnsi="仿宋" w:eastAsia="仿宋" w:cs="仿宋"/>
                <w:i w:val="0"/>
                <w:iCs w:val="0"/>
                <w:strike/>
                <w:dstrike w:val="0"/>
                <w:color w:val="auto"/>
                <w:kern w:val="0"/>
                <w:sz w:val="24"/>
                <w:highlight w:val="none"/>
              </w:rPr>
              <w:t>绍兴市阳光采购服务平台在本项目中</w:t>
            </w:r>
            <w:r>
              <w:rPr>
                <w:rFonts w:hint="eastAsia" w:ascii="仿宋" w:hAnsi="仿宋" w:eastAsia="仿宋" w:cs="仿宋"/>
                <w:i w:val="0"/>
                <w:iCs w:val="0"/>
                <w:strike/>
                <w:dstrike w:val="0"/>
                <w:color w:val="auto"/>
                <w:kern w:val="0"/>
                <w:sz w:val="24"/>
                <w:highlight w:val="none"/>
                <w:lang w:val="en-US" w:eastAsia="zh-CN"/>
              </w:rPr>
              <w:t>获取</w:t>
            </w:r>
            <w:r>
              <w:rPr>
                <w:rFonts w:hint="eastAsia" w:ascii="仿宋" w:hAnsi="仿宋" w:eastAsia="仿宋" w:cs="仿宋"/>
                <w:i w:val="0"/>
                <w:iCs w:val="0"/>
                <w:strike/>
                <w:dstrike w:val="0"/>
                <w:color w:val="auto"/>
                <w:kern w:val="0"/>
                <w:sz w:val="24"/>
                <w:highlight w:val="none"/>
              </w:rPr>
              <w:t>相应的虚拟子账号，</w:t>
            </w:r>
            <w:r>
              <w:rPr>
                <w:rFonts w:hint="eastAsia" w:ascii="仿宋" w:hAnsi="仿宋" w:eastAsia="仿宋" w:cs="仿宋"/>
                <w:i w:val="0"/>
                <w:iCs w:val="0"/>
                <w:strike/>
                <w:dstrike w:val="0"/>
                <w:color w:val="auto"/>
                <w:kern w:val="0"/>
                <w:sz w:val="24"/>
                <w:highlight w:val="none"/>
                <w:lang w:val="en-US" w:eastAsia="zh-CN"/>
              </w:rPr>
              <w:t>并</w:t>
            </w:r>
            <w:r>
              <w:rPr>
                <w:rFonts w:hint="eastAsia" w:ascii="仿宋" w:hAnsi="仿宋" w:eastAsia="仿宋" w:cs="仿宋"/>
                <w:i w:val="0"/>
                <w:iCs w:val="0"/>
                <w:strike/>
                <w:dstrike w:val="0"/>
                <w:color w:val="auto"/>
                <w:kern w:val="0"/>
                <w:sz w:val="24"/>
                <w:highlight w:val="none"/>
              </w:rPr>
              <w:t>将保证金由</w:t>
            </w:r>
            <w:r>
              <w:rPr>
                <w:rFonts w:hint="eastAsia" w:ascii="仿宋" w:hAnsi="仿宋" w:eastAsia="仿宋" w:cs="仿宋"/>
                <w:i w:val="0"/>
                <w:iCs w:val="0"/>
                <w:strike/>
                <w:dstrike w:val="0"/>
                <w:color w:val="auto"/>
                <w:kern w:val="0"/>
                <w:sz w:val="24"/>
                <w:highlight w:val="none"/>
                <w:lang w:val="en-US" w:eastAsia="zh-CN"/>
              </w:rPr>
              <w:t>投标人</w:t>
            </w:r>
            <w:r>
              <w:rPr>
                <w:rFonts w:hint="eastAsia" w:ascii="仿宋" w:hAnsi="仿宋" w:eastAsia="仿宋" w:cs="仿宋"/>
                <w:i w:val="0"/>
                <w:iCs w:val="0"/>
                <w:strike/>
                <w:dstrike w:val="0"/>
                <w:color w:val="auto"/>
                <w:kern w:val="0"/>
                <w:sz w:val="24"/>
                <w:highlight w:val="none"/>
              </w:rPr>
              <w:t>的</w:t>
            </w:r>
            <w:r>
              <w:rPr>
                <w:rFonts w:hint="eastAsia" w:ascii="仿宋" w:hAnsi="仿宋" w:eastAsia="仿宋" w:cs="仿宋"/>
                <w:b/>
                <w:bCs/>
                <w:i w:val="0"/>
                <w:iCs w:val="0"/>
                <w:strike/>
                <w:dstrike w:val="0"/>
                <w:color w:val="auto"/>
                <w:kern w:val="0"/>
                <w:sz w:val="24"/>
                <w:highlight w:val="none"/>
              </w:rPr>
              <w:t>账户</w:t>
            </w:r>
            <w:r>
              <w:rPr>
                <w:rFonts w:hint="eastAsia" w:ascii="仿宋" w:hAnsi="仿宋" w:eastAsia="仿宋" w:cs="仿宋"/>
                <w:b/>
                <w:bCs/>
                <w:i w:val="0"/>
                <w:iCs w:val="0"/>
                <w:strike/>
                <w:dstrike w:val="0"/>
                <w:color w:val="auto"/>
                <w:kern w:val="0"/>
                <w:sz w:val="24"/>
                <w:highlight w:val="none"/>
                <w:lang w:val="en-US" w:eastAsia="zh-CN"/>
              </w:rPr>
              <w:t>/基本账户</w:t>
            </w:r>
            <w:r>
              <w:rPr>
                <w:rFonts w:hint="eastAsia" w:ascii="仿宋" w:hAnsi="仿宋" w:eastAsia="仿宋" w:cs="仿宋"/>
                <w:i w:val="0"/>
                <w:iCs w:val="0"/>
                <w:strike/>
                <w:dstrike w:val="0"/>
                <w:color w:val="auto"/>
                <w:kern w:val="0"/>
                <w:sz w:val="24"/>
                <w:highlight w:val="none"/>
              </w:rPr>
              <w:t>一次性缴入该虚拟子账号。</w:t>
            </w:r>
          </w:p>
          <w:p w14:paraId="71285C3B">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投标保证金退还期限：</w:t>
            </w:r>
            <w:r>
              <w:rPr>
                <w:rFonts w:hint="eastAsia" w:ascii="仿宋" w:hAnsi="仿宋" w:eastAsia="仿宋" w:cs="仿宋"/>
                <w:i w:val="0"/>
                <w:iCs w:val="0"/>
                <w:strike/>
                <w:dstrike w:val="0"/>
                <w:color w:val="auto"/>
                <w:kern w:val="0"/>
                <w:sz w:val="24"/>
                <w:highlight w:val="none"/>
              </w:rPr>
              <w:t>未中标</w:t>
            </w:r>
            <w:r>
              <w:rPr>
                <w:rFonts w:hint="eastAsia" w:ascii="仿宋" w:hAnsi="仿宋" w:eastAsia="仿宋" w:cs="仿宋"/>
                <w:i w:val="0"/>
                <w:iCs w:val="0"/>
                <w:strike/>
                <w:dstrike w:val="0"/>
                <w:color w:val="auto"/>
                <w:kern w:val="0"/>
                <w:sz w:val="24"/>
                <w:highlight w:val="none"/>
                <w:lang w:val="en-US" w:eastAsia="zh-CN"/>
              </w:rPr>
              <w:t>投标人</w:t>
            </w:r>
            <w:r>
              <w:rPr>
                <w:rFonts w:hint="eastAsia" w:ascii="仿宋" w:hAnsi="仿宋" w:eastAsia="仿宋" w:cs="仿宋"/>
                <w:i w:val="0"/>
                <w:iCs w:val="0"/>
                <w:strike/>
                <w:dstrike w:val="0"/>
                <w:color w:val="auto"/>
                <w:kern w:val="0"/>
                <w:sz w:val="24"/>
                <w:highlight w:val="none"/>
              </w:rPr>
              <w:t>的投标保证金在结果公示无异议结束后 5 日内退还，中标</w:t>
            </w:r>
            <w:r>
              <w:rPr>
                <w:rFonts w:hint="eastAsia" w:ascii="仿宋" w:hAnsi="仿宋" w:eastAsia="仿宋" w:cs="仿宋"/>
                <w:i w:val="0"/>
                <w:iCs w:val="0"/>
                <w:strike/>
                <w:dstrike w:val="0"/>
                <w:color w:val="auto"/>
                <w:kern w:val="0"/>
                <w:sz w:val="24"/>
                <w:highlight w:val="none"/>
                <w:lang w:val="en-US" w:eastAsia="zh-CN"/>
              </w:rPr>
              <w:t>投标人</w:t>
            </w:r>
            <w:r>
              <w:rPr>
                <w:rFonts w:hint="eastAsia" w:ascii="仿宋" w:hAnsi="仿宋" w:eastAsia="仿宋" w:cs="仿宋"/>
                <w:i w:val="0"/>
                <w:iCs w:val="0"/>
                <w:strike/>
                <w:dstrike w:val="0"/>
                <w:color w:val="auto"/>
                <w:kern w:val="0"/>
                <w:sz w:val="24"/>
                <w:highlight w:val="none"/>
              </w:rPr>
              <w:t>的投标保证金在合同签订后 5 日内退还。</w:t>
            </w:r>
          </w:p>
          <w:p w14:paraId="67A91E7C">
            <w:pPr>
              <w:pageBreakBefore w:val="0"/>
              <w:widowControl w:val="0"/>
              <w:kinsoku/>
              <w:wordWrap/>
              <w:overflowPunct/>
              <w:topLinePunct w:val="0"/>
              <w:autoSpaceDE w:val="0"/>
              <w:autoSpaceDN w:val="0"/>
              <w:bidi w:val="0"/>
              <w:spacing w:line="380" w:lineRule="exact"/>
              <w:ind w:left="0"/>
              <w:jc w:val="left"/>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strike/>
                <w:dstrike w:val="0"/>
                <w:color w:val="auto"/>
                <w:kern w:val="0"/>
                <w:sz w:val="24"/>
                <w:highlight w:val="none"/>
              </w:rPr>
              <w:t>如</w:t>
            </w:r>
            <w:r>
              <w:rPr>
                <w:rFonts w:hint="eastAsia" w:ascii="仿宋" w:hAnsi="仿宋" w:eastAsia="仿宋" w:cs="仿宋"/>
                <w:b/>
                <w:bCs/>
                <w:i w:val="0"/>
                <w:iCs w:val="0"/>
                <w:strike/>
                <w:dstrike w:val="0"/>
                <w:color w:val="auto"/>
                <w:kern w:val="0"/>
                <w:sz w:val="24"/>
                <w:highlight w:val="none"/>
                <w:lang w:val="en-US" w:eastAsia="zh-CN"/>
              </w:rPr>
              <w:t>投标人</w:t>
            </w:r>
            <w:r>
              <w:rPr>
                <w:rFonts w:hint="eastAsia" w:ascii="仿宋" w:hAnsi="仿宋" w:eastAsia="仿宋" w:cs="仿宋"/>
                <w:b/>
                <w:bCs/>
                <w:i w:val="0"/>
                <w:iCs w:val="0"/>
                <w:strike/>
                <w:dstrike w:val="0"/>
                <w:color w:val="auto"/>
                <w:kern w:val="0"/>
                <w:sz w:val="24"/>
                <w:highlight w:val="none"/>
              </w:rPr>
              <w:t>选择电子保函方式缴纳投标保证金的：</w:t>
            </w:r>
            <w:r>
              <w:rPr>
                <w:rFonts w:hint="eastAsia" w:ascii="仿宋" w:hAnsi="仿宋" w:eastAsia="仿宋" w:cs="仿宋"/>
                <w:b w:val="0"/>
                <w:bCs w:val="0"/>
                <w:i w:val="0"/>
                <w:iCs w:val="0"/>
                <w:strike/>
                <w:dstrike w:val="0"/>
                <w:color w:val="auto"/>
                <w:kern w:val="0"/>
                <w:sz w:val="24"/>
                <w:highlight w:val="none"/>
              </w:rPr>
              <w:t>登录绍兴市阳光采购服务平台</w:t>
            </w:r>
            <w:r>
              <w:rPr>
                <w:rFonts w:hint="eastAsia" w:ascii="仿宋" w:hAnsi="仿宋" w:eastAsia="仿宋" w:cs="仿宋"/>
                <w:i w:val="0"/>
                <w:iCs w:val="0"/>
                <w:strike/>
                <w:dstrike w:val="0"/>
                <w:color w:val="auto"/>
                <w:kern w:val="0"/>
                <w:sz w:val="24"/>
                <w:highlight w:val="none"/>
              </w:rPr>
              <w:t>在本项目中购买电子保函（具体</w:t>
            </w:r>
            <w:r>
              <w:rPr>
                <w:rFonts w:hint="eastAsia" w:ascii="仿宋" w:hAnsi="仿宋" w:eastAsia="仿宋" w:cs="仿宋"/>
                <w:i w:val="0"/>
                <w:iCs w:val="0"/>
                <w:strike/>
                <w:dstrike w:val="0"/>
                <w:color w:val="auto"/>
                <w:kern w:val="0"/>
                <w:sz w:val="24"/>
                <w:highlight w:val="none"/>
                <w:lang w:val="en-US" w:eastAsia="zh-CN"/>
              </w:rPr>
              <w:t>详见“</w:t>
            </w:r>
            <w:r>
              <w:rPr>
                <w:rFonts w:hint="eastAsia" w:ascii="仿宋" w:hAnsi="仿宋" w:eastAsia="仿宋" w:cs="仿宋"/>
                <w:i w:val="0"/>
                <w:iCs w:val="0"/>
                <w:strike/>
                <w:dstrike w:val="0"/>
                <w:color w:val="auto"/>
                <w:kern w:val="0"/>
                <w:sz w:val="24"/>
                <w:highlight w:val="none"/>
              </w:rPr>
              <w:t>绍兴市阳光采购服务平台电子保函操作指南</w:t>
            </w:r>
            <w:r>
              <w:rPr>
                <w:rFonts w:hint="eastAsia" w:ascii="仿宋" w:hAnsi="仿宋" w:eastAsia="仿宋" w:cs="仿宋"/>
                <w:i w:val="0"/>
                <w:iCs w:val="0"/>
                <w:strike/>
                <w:dstrike w:val="0"/>
                <w:color w:val="auto"/>
                <w:kern w:val="0"/>
                <w:sz w:val="24"/>
                <w:highlight w:val="none"/>
                <w:lang w:val="en-US" w:eastAsia="zh-CN"/>
              </w:rPr>
              <w:t>”</w:t>
            </w:r>
            <w:r>
              <w:rPr>
                <w:rFonts w:hint="eastAsia" w:ascii="仿宋" w:hAnsi="仿宋" w:eastAsia="仿宋" w:cs="仿宋"/>
                <w:i w:val="0"/>
                <w:iCs w:val="0"/>
                <w:strike/>
                <w:dstrike w:val="0"/>
                <w:color w:val="auto"/>
                <w:kern w:val="0"/>
                <w:sz w:val="24"/>
                <w:highlight w:val="none"/>
              </w:rPr>
              <w:t>https://ygcg.sxjypt.com/detail?articleId=353）</w:t>
            </w:r>
            <w:r>
              <w:rPr>
                <w:rFonts w:hint="eastAsia" w:ascii="仿宋" w:hAnsi="仿宋" w:eastAsia="仿宋" w:cs="仿宋"/>
                <w:i w:val="0"/>
                <w:iCs w:val="0"/>
                <w:strike/>
                <w:dstrike w:val="0"/>
                <w:color w:val="auto"/>
                <w:kern w:val="0"/>
                <w:sz w:val="24"/>
                <w:highlight w:val="none"/>
                <w:lang w:eastAsia="zh-CN"/>
              </w:rPr>
              <w:t>。</w:t>
            </w:r>
          </w:p>
        </w:tc>
      </w:tr>
      <w:tr w14:paraId="7524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AD1D3B4">
            <w:pPr>
              <w:pageBreakBefore w:val="0"/>
              <w:widowControl w:val="0"/>
              <w:kinsoku/>
              <w:wordWrap/>
              <w:overflowPunct/>
              <w:topLinePunct w:val="0"/>
              <w:autoSpaceDE w:val="0"/>
              <w:autoSpaceDN w:val="0"/>
              <w:bidi w:val="0"/>
              <w:adjustRightInd w:val="0"/>
              <w:spacing w:line="380" w:lineRule="exact"/>
              <w:ind w:left="0" w:leftChars="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szCs w:val="24"/>
                <w:highlight w:val="none"/>
                <w:lang w:val="en-US" w:eastAsia="zh-CN"/>
              </w:rPr>
              <w:t>9</w:t>
            </w:r>
          </w:p>
        </w:tc>
        <w:tc>
          <w:tcPr>
            <w:tcW w:w="8370" w:type="dxa"/>
            <w:gridSpan w:val="3"/>
            <w:vAlign w:val="center"/>
          </w:tcPr>
          <w:p w14:paraId="748C8017">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b/>
                <w:i w:val="0"/>
                <w:iCs w:val="0"/>
                <w:color w:val="auto"/>
                <w:sz w:val="24"/>
                <w:szCs w:val="24"/>
                <w:highlight w:val="none"/>
              </w:rPr>
            </w:pPr>
            <w:r>
              <w:rPr>
                <w:rFonts w:hint="eastAsia" w:ascii="仿宋" w:hAnsi="仿宋" w:eastAsia="仿宋" w:cs="仿宋"/>
                <w:b/>
                <w:i w:val="0"/>
                <w:iCs w:val="0"/>
                <w:color w:val="auto"/>
                <w:sz w:val="24"/>
                <w:szCs w:val="24"/>
                <w:highlight w:val="none"/>
              </w:rPr>
              <w:t>样品提供：</w:t>
            </w:r>
          </w:p>
          <w:p w14:paraId="1ABBE766">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color w:val="auto"/>
                <w:sz w:val="24"/>
                <w:szCs w:val="24"/>
                <w:highlight w:val="none"/>
              </w:rPr>
            </w:pPr>
            <w:r>
              <w:rPr>
                <w:rFonts w:hint="eastAsia" w:ascii="仿宋" w:hAnsi="仿宋" w:eastAsia="仿宋" w:cs="仿宋"/>
                <w:i w:val="0"/>
                <w:iCs w:val="0"/>
                <w:color w:val="auto"/>
                <w:kern w:val="0"/>
                <w:sz w:val="24"/>
                <w:szCs w:val="24"/>
                <w:highlight w:val="none"/>
                <w:lang w:eastAsia="zh-CN"/>
              </w:rPr>
              <w:t>☑</w:t>
            </w:r>
            <w:r>
              <w:rPr>
                <w:rFonts w:hint="eastAsia" w:ascii="仿宋" w:hAnsi="仿宋" w:eastAsia="仿宋" w:cs="仿宋"/>
                <w:i w:val="0"/>
                <w:iCs w:val="0"/>
                <w:color w:val="auto"/>
                <w:kern w:val="0"/>
                <w:sz w:val="24"/>
                <w:szCs w:val="24"/>
                <w:highlight w:val="none"/>
              </w:rPr>
              <w:t>A</w:t>
            </w:r>
            <w:r>
              <w:rPr>
                <w:rFonts w:hint="eastAsia" w:ascii="仿宋" w:hAnsi="仿宋" w:eastAsia="仿宋" w:cs="仿宋"/>
                <w:i w:val="0"/>
                <w:iCs w:val="0"/>
                <w:color w:val="auto"/>
                <w:sz w:val="24"/>
                <w:szCs w:val="24"/>
                <w:highlight w:val="none"/>
              </w:rPr>
              <w:t>不要求提供。</w:t>
            </w:r>
          </w:p>
          <w:p w14:paraId="48E3D85A">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kern w:val="0"/>
                <w:sz w:val="24"/>
                <w:szCs w:val="24"/>
                <w:highlight w:val="none"/>
              </w:rPr>
            </w:pPr>
            <w:r>
              <w:rPr>
                <w:rFonts w:hint="eastAsia" w:ascii="仿宋" w:hAnsi="仿宋" w:eastAsia="仿宋" w:cs="仿宋"/>
                <w:i w:val="0"/>
                <w:iCs w:val="0"/>
                <w:strike/>
                <w:color w:val="auto"/>
                <w:kern w:val="0"/>
                <w:sz w:val="24"/>
                <w:szCs w:val="24"/>
                <w:highlight w:val="none"/>
              </w:rPr>
              <w:t>□B要求提供，</w:t>
            </w:r>
          </w:p>
          <w:p w14:paraId="4457B72A">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kern w:val="0"/>
                <w:sz w:val="24"/>
                <w:szCs w:val="24"/>
                <w:highlight w:val="none"/>
              </w:rPr>
            </w:pPr>
            <w:r>
              <w:rPr>
                <w:rFonts w:hint="eastAsia" w:ascii="仿宋" w:hAnsi="仿宋" w:eastAsia="仿宋" w:cs="仿宋"/>
                <w:i w:val="0"/>
                <w:iCs w:val="0"/>
                <w:strike/>
                <w:color w:val="auto"/>
                <w:kern w:val="0"/>
                <w:sz w:val="24"/>
                <w:szCs w:val="24"/>
                <w:highlight w:val="none"/>
              </w:rPr>
              <w:t>（1）</w:t>
            </w:r>
            <w:r>
              <w:rPr>
                <w:rFonts w:hint="eastAsia" w:ascii="仿宋" w:hAnsi="仿宋" w:eastAsia="仿宋" w:cs="仿宋"/>
                <w:i w:val="0"/>
                <w:iCs w:val="0"/>
                <w:strike/>
                <w:snapToGrid w:val="0"/>
                <w:color w:val="auto"/>
                <w:kern w:val="28"/>
                <w:sz w:val="24"/>
                <w:szCs w:val="24"/>
                <w:highlight w:val="none"/>
              </w:rPr>
              <w:t>样品</w:t>
            </w:r>
            <w:r>
              <w:rPr>
                <w:rFonts w:hint="eastAsia" w:ascii="仿宋" w:hAnsi="仿宋" w:eastAsia="仿宋" w:cs="仿宋"/>
                <w:i w:val="0"/>
                <w:iCs w:val="0"/>
                <w:strike/>
                <w:snapToGrid w:val="0"/>
                <w:color w:val="auto"/>
                <w:kern w:val="28"/>
                <w:sz w:val="24"/>
                <w:szCs w:val="24"/>
                <w:highlight w:val="none"/>
                <w:u w:val="single"/>
              </w:rPr>
              <w:t xml:space="preserve">：      </w:t>
            </w:r>
            <w:r>
              <w:rPr>
                <w:rFonts w:hint="eastAsia" w:ascii="仿宋" w:hAnsi="仿宋" w:eastAsia="仿宋" w:cs="仿宋"/>
                <w:i w:val="0"/>
                <w:iCs w:val="0"/>
                <w:strike/>
                <w:color w:val="auto"/>
                <w:kern w:val="0"/>
                <w:sz w:val="24"/>
                <w:szCs w:val="24"/>
                <w:highlight w:val="none"/>
              </w:rPr>
              <w:t>；</w:t>
            </w:r>
          </w:p>
          <w:p w14:paraId="6F88961B">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kern w:val="0"/>
                <w:sz w:val="24"/>
                <w:szCs w:val="24"/>
                <w:highlight w:val="none"/>
              </w:rPr>
            </w:pPr>
            <w:r>
              <w:rPr>
                <w:rFonts w:hint="eastAsia" w:ascii="仿宋" w:hAnsi="仿宋" w:eastAsia="仿宋" w:cs="仿宋"/>
                <w:i w:val="0"/>
                <w:iCs w:val="0"/>
                <w:strike/>
                <w:color w:val="auto"/>
                <w:kern w:val="0"/>
                <w:sz w:val="24"/>
                <w:szCs w:val="24"/>
                <w:highlight w:val="none"/>
              </w:rPr>
              <w:t>（2）</w:t>
            </w:r>
            <w:r>
              <w:rPr>
                <w:rFonts w:hint="eastAsia" w:ascii="仿宋" w:hAnsi="仿宋" w:eastAsia="仿宋" w:cs="仿宋"/>
                <w:i w:val="0"/>
                <w:iCs w:val="0"/>
                <w:strike/>
                <w:snapToGrid w:val="0"/>
                <w:color w:val="auto"/>
                <w:kern w:val="28"/>
                <w:sz w:val="24"/>
                <w:szCs w:val="24"/>
                <w:highlight w:val="none"/>
              </w:rPr>
              <w:t>样品制作的标准和要求</w:t>
            </w:r>
            <w:r>
              <w:rPr>
                <w:rFonts w:hint="eastAsia" w:ascii="仿宋" w:hAnsi="仿宋" w:eastAsia="仿宋" w:cs="仿宋"/>
                <w:i w:val="0"/>
                <w:iCs w:val="0"/>
                <w:strike/>
                <w:snapToGrid w:val="0"/>
                <w:color w:val="auto"/>
                <w:kern w:val="28"/>
                <w:sz w:val="24"/>
                <w:szCs w:val="24"/>
                <w:highlight w:val="none"/>
                <w:u w:val="single"/>
              </w:rPr>
              <w:t xml:space="preserve">：      </w:t>
            </w:r>
            <w:r>
              <w:rPr>
                <w:rFonts w:hint="eastAsia" w:ascii="仿宋" w:hAnsi="仿宋" w:eastAsia="仿宋" w:cs="仿宋"/>
                <w:i w:val="0"/>
                <w:iCs w:val="0"/>
                <w:strike/>
                <w:color w:val="auto"/>
                <w:kern w:val="0"/>
                <w:sz w:val="24"/>
                <w:szCs w:val="24"/>
                <w:highlight w:val="none"/>
              </w:rPr>
              <w:t>；</w:t>
            </w:r>
          </w:p>
          <w:p w14:paraId="01CA243C">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kern w:val="0"/>
                <w:sz w:val="24"/>
                <w:szCs w:val="24"/>
                <w:highlight w:val="none"/>
              </w:rPr>
            </w:pPr>
            <w:r>
              <w:rPr>
                <w:rFonts w:hint="eastAsia" w:ascii="仿宋" w:hAnsi="仿宋" w:eastAsia="仿宋" w:cs="仿宋"/>
                <w:i w:val="0"/>
                <w:iCs w:val="0"/>
                <w:strike/>
                <w:color w:val="auto"/>
                <w:kern w:val="0"/>
                <w:sz w:val="24"/>
                <w:szCs w:val="24"/>
                <w:highlight w:val="none"/>
              </w:rPr>
              <w:t>（3）样品的评审方法以及标准</w:t>
            </w:r>
            <w:r>
              <w:rPr>
                <w:rFonts w:hint="eastAsia" w:ascii="仿宋" w:hAnsi="仿宋" w:eastAsia="仿宋" w:cs="仿宋"/>
                <w:i w:val="0"/>
                <w:iCs w:val="0"/>
                <w:strike/>
                <w:snapToGrid w:val="0"/>
                <w:color w:val="auto"/>
                <w:kern w:val="28"/>
                <w:sz w:val="24"/>
                <w:szCs w:val="24"/>
                <w:highlight w:val="none"/>
              </w:rPr>
              <w:t>：详见</w:t>
            </w:r>
            <w:r>
              <w:rPr>
                <w:rFonts w:hint="eastAsia" w:ascii="仿宋" w:hAnsi="仿宋" w:eastAsia="仿宋" w:cs="仿宋"/>
                <w:i w:val="0"/>
                <w:iCs w:val="0"/>
                <w:strike/>
                <w:snapToGrid w:val="0"/>
                <w:color w:val="auto"/>
                <w:kern w:val="28"/>
                <w:sz w:val="24"/>
                <w:szCs w:val="24"/>
                <w:highlight w:val="none"/>
                <w:lang w:eastAsia="zh-CN"/>
              </w:rPr>
              <w:t>“</w:t>
            </w:r>
            <w:r>
              <w:rPr>
                <w:rFonts w:hint="eastAsia" w:ascii="仿宋" w:hAnsi="仿宋" w:eastAsia="仿宋" w:cs="仿宋"/>
                <w:b w:val="0"/>
                <w:i w:val="0"/>
                <w:iCs w:val="0"/>
                <w:strike/>
                <w:color w:val="auto"/>
                <w:kern w:val="0"/>
                <w:sz w:val="24"/>
                <w:szCs w:val="24"/>
                <w:highlight w:val="none"/>
              </w:rPr>
              <w:t>第五部分</w:t>
            </w:r>
            <w:r>
              <w:rPr>
                <w:rFonts w:hint="eastAsia" w:ascii="仿宋" w:hAnsi="仿宋" w:eastAsia="仿宋" w:cs="仿宋"/>
                <w:b w:val="0"/>
                <w:i w:val="0"/>
                <w:iCs w:val="0"/>
                <w:strike/>
                <w:color w:val="auto"/>
                <w:kern w:val="0"/>
                <w:sz w:val="24"/>
                <w:szCs w:val="24"/>
                <w:highlight w:val="none"/>
                <w:lang w:val="en-US" w:eastAsia="zh-CN"/>
              </w:rPr>
              <w:t xml:space="preserve"> </w:t>
            </w:r>
            <w:r>
              <w:rPr>
                <w:rFonts w:hint="eastAsia" w:ascii="仿宋" w:hAnsi="仿宋" w:eastAsia="仿宋" w:cs="仿宋"/>
                <w:b w:val="0"/>
                <w:i w:val="0"/>
                <w:iCs w:val="0"/>
                <w:strike/>
                <w:color w:val="auto"/>
                <w:kern w:val="0"/>
                <w:sz w:val="24"/>
                <w:szCs w:val="24"/>
                <w:highlight w:val="none"/>
              </w:rPr>
              <w:t>评</w:t>
            </w:r>
            <w:r>
              <w:rPr>
                <w:rFonts w:hint="eastAsia" w:ascii="仿宋" w:hAnsi="仿宋" w:eastAsia="仿宋" w:cs="仿宋"/>
                <w:b w:val="0"/>
                <w:i w:val="0"/>
                <w:iCs w:val="0"/>
                <w:strike/>
                <w:color w:val="auto"/>
                <w:kern w:val="0"/>
                <w:sz w:val="24"/>
                <w:szCs w:val="24"/>
                <w:highlight w:val="none"/>
                <w:lang w:val="en-US" w:eastAsia="zh-CN"/>
              </w:rPr>
              <w:t>审</w:t>
            </w:r>
            <w:r>
              <w:rPr>
                <w:rFonts w:hint="eastAsia" w:ascii="仿宋" w:hAnsi="仿宋" w:eastAsia="仿宋" w:cs="仿宋"/>
                <w:b w:val="0"/>
                <w:i w:val="0"/>
                <w:iCs w:val="0"/>
                <w:strike/>
                <w:color w:val="auto"/>
                <w:kern w:val="0"/>
                <w:sz w:val="24"/>
                <w:szCs w:val="24"/>
                <w:highlight w:val="none"/>
              </w:rPr>
              <w:t>方法及标准</w:t>
            </w:r>
            <w:r>
              <w:rPr>
                <w:rFonts w:hint="eastAsia" w:ascii="仿宋" w:hAnsi="仿宋" w:eastAsia="仿宋" w:cs="仿宋"/>
                <w:i w:val="0"/>
                <w:iCs w:val="0"/>
                <w:strike/>
                <w:snapToGrid w:val="0"/>
                <w:color w:val="auto"/>
                <w:kern w:val="28"/>
                <w:sz w:val="24"/>
                <w:szCs w:val="24"/>
                <w:highlight w:val="none"/>
                <w:lang w:eastAsia="zh-CN"/>
              </w:rPr>
              <w:t>”</w:t>
            </w:r>
            <w:r>
              <w:rPr>
                <w:rFonts w:hint="eastAsia" w:ascii="仿宋" w:hAnsi="仿宋" w:eastAsia="仿宋" w:cs="仿宋"/>
                <w:i w:val="0"/>
                <w:iCs w:val="0"/>
                <w:strike/>
                <w:color w:val="auto"/>
                <w:kern w:val="0"/>
                <w:sz w:val="24"/>
                <w:szCs w:val="24"/>
                <w:highlight w:val="none"/>
              </w:rPr>
              <w:t>；</w:t>
            </w:r>
          </w:p>
          <w:p w14:paraId="6C3DC6EB">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kern w:val="0"/>
                <w:sz w:val="24"/>
                <w:szCs w:val="24"/>
                <w:highlight w:val="none"/>
              </w:rPr>
            </w:pPr>
            <w:r>
              <w:rPr>
                <w:rFonts w:hint="eastAsia" w:ascii="仿宋" w:hAnsi="仿宋" w:eastAsia="仿宋" w:cs="仿宋"/>
                <w:i w:val="0"/>
                <w:iCs w:val="0"/>
                <w:strike/>
                <w:color w:val="auto"/>
                <w:kern w:val="0"/>
                <w:sz w:val="24"/>
                <w:szCs w:val="24"/>
                <w:highlight w:val="none"/>
              </w:rPr>
              <w:t>（4）是否需要随样品提交检测报告：□否；□是，检测机构的要求</w:t>
            </w: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sz w:val="24"/>
                <w:szCs w:val="24"/>
                <w:highlight w:val="none"/>
                <w:u w:val="single"/>
                <w:lang w:val="en-US" w:eastAsia="zh-CN"/>
              </w:rPr>
              <w:t xml:space="preserve">    </w:t>
            </w:r>
            <w:r>
              <w:rPr>
                <w:rFonts w:hint="eastAsia" w:ascii="仿宋" w:hAnsi="仿宋" w:eastAsia="仿宋" w:cs="仿宋"/>
                <w:i w:val="0"/>
                <w:iCs w:val="0"/>
                <w:strike/>
                <w:color w:val="auto"/>
                <w:kern w:val="0"/>
                <w:sz w:val="24"/>
                <w:szCs w:val="24"/>
                <w:highlight w:val="none"/>
              </w:rPr>
              <w:t>；检测内容</w:t>
            </w: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sz w:val="24"/>
                <w:szCs w:val="24"/>
                <w:highlight w:val="none"/>
                <w:u w:val="single"/>
                <w:lang w:val="en-US" w:eastAsia="zh-CN"/>
              </w:rPr>
              <w:t xml:space="preserve">     </w:t>
            </w:r>
            <w:r>
              <w:rPr>
                <w:rFonts w:hint="eastAsia" w:ascii="仿宋" w:hAnsi="仿宋" w:eastAsia="仿宋" w:cs="仿宋"/>
                <w:i w:val="0"/>
                <w:iCs w:val="0"/>
                <w:strike/>
                <w:color w:val="auto"/>
                <w:kern w:val="0"/>
                <w:sz w:val="24"/>
                <w:szCs w:val="24"/>
                <w:highlight w:val="none"/>
              </w:rPr>
              <w:t>。</w:t>
            </w:r>
          </w:p>
          <w:p w14:paraId="42571ADB">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sz w:val="24"/>
                <w:szCs w:val="24"/>
                <w:highlight w:val="none"/>
              </w:rPr>
            </w:pPr>
            <w:r>
              <w:rPr>
                <w:rFonts w:hint="eastAsia" w:ascii="仿宋" w:hAnsi="仿宋" w:eastAsia="仿宋" w:cs="仿宋"/>
                <w:i w:val="0"/>
                <w:iCs w:val="0"/>
                <w:strike/>
                <w:color w:val="auto"/>
                <w:sz w:val="24"/>
                <w:szCs w:val="24"/>
                <w:highlight w:val="none"/>
              </w:rPr>
              <w:t>（5）提供样品的时间</w:t>
            </w:r>
            <w:r>
              <w:rPr>
                <w:rFonts w:hint="eastAsia" w:ascii="仿宋" w:hAnsi="仿宋" w:eastAsia="仿宋" w:cs="仿宋"/>
                <w:i w:val="0"/>
                <w:iCs w:val="0"/>
                <w:strike/>
                <w:color w:val="auto"/>
                <w:sz w:val="24"/>
                <w:szCs w:val="24"/>
                <w:highlight w:val="none"/>
                <w:u w:val="single"/>
              </w:rPr>
              <w:t>：</w:t>
            </w:r>
            <w:r>
              <w:rPr>
                <w:rFonts w:hint="eastAsia" w:ascii="仿宋" w:hAnsi="仿宋" w:eastAsia="仿宋" w:cs="仿宋"/>
                <w:i w:val="0"/>
                <w:iCs w:val="0"/>
                <w:strike/>
                <w:color w:val="auto"/>
                <w:kern w:val="0"/>
                <w:sz w:val="24"/>
                <w:szCs w:val="24"/>
                <w:highlight w:val="none"/>
                <w:u w:val="single"/>
              </w:rPr>
              <w:t xml:space="preserve">      </w:t>
            </w:r>
            <w:r>
              <w:rPr>
                <w:rFonts w:hint="eastAsia" w:ascii="仿宋" w:hAnsi="仿宋" w:eastAsia="仿宋" w:cs="仿宋"/>
                <w:i w:val="0"/>
                <w:iCs w:val="0"/>
                <w:strike/>
                <w:color w:val="auto"/>
                <w:kern w:val="0"/>
                <w:sz w:val="24"/>
                <w:szCs w:val="24"/>
                <w:highlight w:val="none"/>
              </w:rPr>
              <w:t>；地点</w:t>
            </w:r>
            <w:r>
              <w:rPr>
                <w:rFonts w:hint="eastAsia" w:ascii="仿宋" w:hAnsi="仿宋" w:eastAsia="仿宋" w:cs="仿宋"/>
                <w:i w:val="0"/>
                <w:iCs w:val="0"/>
                <w:strike/>
                <w:color w:val="auto"/>
                <w:kern w:val="0"/>
                <w:sz w:val="24"/>
                <w:szCs w:val="24"/>
                <w:highlight w:val="none"/>
                <w:u w:val="single"/>
              </w:rPr>
              <w:t xml:space="preserve">：      </w:t>
            </w:r>
            <w:r>
              <w:rPr>
                <w:rFonts w:hint="eastAsia" w:ascii="仿宋" w:hAnsi="仿宋" w:eastAsia="仿宋" w:cs="仿宋"/>
                <w:i w:val="0"/>
                <w:iCs w:val="0"/>
                <w:strike/>
                <w:color w:val="auto"/>
                <w:kern w:val="0"/>
                <w:sz w:val="24"/>
                <w:szCs w:val="24"/>
                <w:highlight w:val="none"/>
              </w:rPr>
              <w:t>；联系人</w:t>
            </w:r>
            <w:r>
              <w:rPr>
                <w:rFonts w:hint="eastAsia" w:ascii="仿宋" w:hAnsi="仿宋" w:eastAsia="仿宋" w:cs="仿宋"/>
                <w:i w:val="0"/>
                <w:iCs w:val="0"/>
                <w:strike/>
                <w:color w:val="auto"/>
                <w:sz w:val="24"/>
                <w:szCs w:val="24"/>
                <w:highlight w:val="none"/>
                <w:u w:val="single"/>
              </w:rPr>
              <w:t xml:space="preserve">：      </w:t>
            </w: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kern w:val="28"/>
                <w:sz w:val="24"/>
                <w:szCs w:val="24"/>
                <w:highlight w:val="none"/>
              </w:rPr>
              <w:t>联系电话</w:t>
            </w:r>
            <w:r>
              <w:rPr>
                <w:rFonts w:hint="eastAsia" w:ascii="仿宋" w:hAnsi="仿宋" w:eastAsia="仿宋" w:cs="仿宋"/>
                <w:i w:val="0"/>
                <w:iCs w:val="0"/>
                <w:strike/>
                <w:color w:val="auto"/>
                <w:kern w:val="28"/>
                <w:sz w:val="24"/>
                <w:szCs w:val="24"/>
                <w:highlight w:val="none"/>
                <w:u w:val="single"/>
              </w:rPr>
              <w:t xml:space="preserve">：      </w:t>
            </w:r>
            <w:r>
              <w:rPr>
                <w:rFonts w:hint="eastAsia" w:ascii="仿宋" w:hAnsi="仿宋" w:eastAsia="仿宋" w:cs="仿宋"/>
                <w:i w:val="0"/>
                <w:iCs w:val="0"/>
                <w:strike/>
                <w:color w:val="auto"/>
                <w:sz w:val="24"/>
                <w:szCs w:val="24"/>
                <w:highlight w:val="none"/>
              </w:rPr>
              <w:t>。请</w:t>
            </w:r>
            <w:r>
              <w:rPr>
                <w:rFonts w:hint="eastAsia" w:ascii="仿宋" w:hAnsi="仿宋" w:eastAsia="仿宋" w:cs="仿宋"/>
                <w:i w:val="0"/>
                <w:iCs w:val="0"/>
                <w:strike/>
                <w:color w:val="auto"/>
                <w:sz w:val="24"/>
                <w:szCs w:val="24"/>
                <w:highlight w:val="none"/>
                <w:lang w:eastAsia="zh-CN"/>
              </w:rPr>
              <w:t>投标人</w:t>
            </w:r>
            <w:r>
              <w:rPr>
                <w:rFonts w:hint="eastAsia" w:ascii="仿宋" w:hAnsi="仿宋" w:eastAsia="仿宋" w:cs="仿宋"/>
                <w:i w:val="0"/>
                <w:iCs w:val="0"/>
                <w:strike/>
                <w:color w:val="auto"/>
                <w:sz w:val="24"/>
                <w:szCs w:val="24"/>
                <w:highlight w:val="none"/>
              </w:rPr>
              <w:t>在上述时间内提供样品并按规定位置安装完毕。超过截止时间的，</w:t>
            </w:r>
            <w:r>
              <w:rPr>
                <w:rFonts w:hint="eastAsia" w:ascii="仿宋" w:hAnsi="仿宋" w:eastAsia="仿宋" w:cs="仿宋"/>
                <w:i w:val="0"/>
                <w:iCs w:val="0"/>
                <w:strike/>
                <w:color w:val="auto"/>
                <w:sz w:val="24"/>
                <w:szCs w:val="24"/>
                <w:highlight w:val="none"/>
                <w:lang w:eastAsia="zh-CN"/>
              </w:rPr>
              <w:t>招标人</w:t>
            </w:r>
            <w:r>
              <w:rPr>
                <w:rFonts w:hint="eastAsia" w:ascii="仿宋" w:hAnsi="仿宋" w:eastAsia="仿宋" w:cs="仿宋"/>
                <w:i w:val="0"/>
                <w:iCs w:val="0"/>
                <w:strike/>
                <w:color w:val="auto"/>
                <w:sz w:val="24"/>
                <w:szCs w:val="24"/>
                <w:highlight w:val="none"/>
              </w:rPr>
              <w:t>或</w:t>
            </w:r>
            <w:r>
              <w:rPr>
                <w:rFonts w:hint="eastAsia" w:ascii="仿宋" w:hAnsi="仿宋" w:eastAsia="仿宋" w:cs="仿宋"/>
                <w:i w:val="0"/>
                <w:iCs w:val="0"/>
                <w:strike/>
                <w:color w:val="auto"/>
                <w:sz w:val="24"/>
                <w:szCs w:val="24"/>
                <w:highlight w:val="none"/>
                <w:lang w:eastAsia="zh-CN"/>
              </w:rPr>
              <w:t>招标代理机构</w:t>
            </w:r>
            <w:r>
              <w:rPr>
                <w:rFonts w:hint="eastAsia" w:ascii="仿宋" w:hAnsi="仿宋" w:eastAsia="仿宋" w:cs="仿宋"/>
                <w:i w:val="0"/>
                <w:iCs w:val="0"/>
                <w:strike/>
                <w:color w:val="auto"/>
                <w:sz w:val="24"/>
                <w:szCs w:val="24"/>
                <w:highlight w:val="none"/>
              </w:rPr>
              <w:t>将不予接收，并将清场并封闭样品现场。</w:t>
            </w:r>
          </w:p>
          <w:p w14:paraId="43DB71C9">
            <w:pPr>
              <w:pageBreakBefore w:val="0"/>
              <w:widowControl w:val="0"/>
              <w:kinsoku/>
              <w:wordWrap/>
              <w:overflowPunct/>
              <w:topLinePunct w:val="0"/>
              <w:autoSpaceDE w:val="0"/>
              <w:autoSpaceDN w:val="0"/>
              <w:bidi w:val="0"/>
              <w:adjustRightInd w:val="0"/>
              <w:spacing w:line="380" w:lineRule="exact"/>
              <w:ind w:left="0"/>
              <w:textAlignment w:val="center"/>
              <w:rPr>
                <w:rFonts w:hint="eastAsia" w:ascii="仿宋" w:hAnsi="仿宋" w:eastAsia="仿宋" w:cs="仿宋"/>
                <w:i w:val="0"/>
                <w:iCs w:val="0"/>
                <w:strike/>
                <w:color w:val="auto"/>
                <w:sz w:val="24"/>
                <w:szCs w:val="24"/>
                <w:highlight w:val="none"/>
              </w:rPr>
            </w:pP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sz w:val="24"/>
                <w:szCs w:val="24"/>
                <w:highlight w:val="none"/>
                <w:lang w:val="en-US" w:eastAsia="zh-CN"/>
              </w:rPr>
              <w:t>6</w:t>
            </w: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sz w:val="24"/>
                <w:szCs w:val="24"/>
                <w:highlight w:val="none"/>
                <w:lang w:eastAsia="zh-CN"/>
              </w:rPr>
              <w:t>招标活动</w:t>
            </w:r>
            <w:r>
              <w:rPr>
                <w:rFonts w:hint="eastAsia" w:ascii="仿宋" w:hAnsi="仿宋" w:eastAsia="仿宋" w:cs="仿宋"/>
                <w:i w:val="0"/>
                <w:iCs w:val="0"/>
                <w:strike/>
                <w:color w:val="auto"/>
                <w:sz w:val="24"/>
                <w:szCs w:val="24"/>
                <w:highlight w:val="none"/>
              </w:rPr>
              <w:t>结束后，对于未中标人提供的样品，</w:t>
            </w:r>
            <w:r>
              <w:rPr>
                <w:rFonts w:hint="eastAsia" w:ascii="仿宋" w:hAnsi="仿宋" w:eastAsia="仿宋" w:cs="仿宋"/>
                <w:i w:val="0"/>
                <w:iCs w:val="0"/>
                <w:strike/>
                <w:color w:val="auto"/>
                <w:sz w:val="24"/>
                <w:szCs w:val="24"/>
                <w:highlight w:val="none"/>
                <w:lang w:eastAsia="zh-CN"/>
              </w:rPr>
              <w:t>招标人</w:t>
            </w: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sz w:val="24"/>
                <w:szCs w:val="24"/>
                <w:highlight w:val="none"/>
                <w:lang w:eastAsia="zh-CN"/>
              </w:rPr>
              <w:t>招标代理机构</w:t>
            </w:r>
            <w:r>
              <w:rPr>
                <w:rFonts w:hint="eastAsia" w:ascii="仿宋" w:hAnsi="仿宋" w:eastAsia="仿宋" w:cs="仿宋"/>
                <w:i w:val="0"/>
                <w:iCs w:val="0"/>
                <w:strike/>
                <w:color w:val="auto"/>
                <w:sz w:val="24"/>
                <w:szCs w:val="24"/>
                <w:highlight w:val="none"/>
              </w:rPr>
              <w:t>将通知未中标人在规定的时间内取回，逾期未取回的，</w:t>
            </w:r>
            <w:r>
              <w:rPr>
                <w:rFonts w:hint="eastAsia" w:ascii="仿宋" w:hAnsi="仿宋" w:eastAsia="仿宋" w:cs="仿宋"/>
                <w:i w:val="0"/>
                <w:iCs w:val="0"/>
                <w:strike/>
                <w:color w:val="auto"/>
                <w:sz w:val="24"/>
                <w:szCs w:val="24"/>
                <w:highlight w:val="none"/>
                <w:lang w:eastAsia="zh-CN"/>
              </w:rPr>
              <w:t>招标人</w:t>
            </w:r>
            <w:r>
              <w:rPr>
                <w:rFonts w:hint="eastAsia" w:ascii="仿宋" w:hAnsi="仿宋" w:eastAsia="仿宋" w:cs="仿宋"/>
                <w:i w:val="0"/>
                <w:iCs w:val="0"/>
                <w:strike/>
                <w:color w:val="auto"/>
                <w:sz w:val="24"/>
                <w:szCs w:val="24"/>
                <w:highlight w:val="none"/>
              </w:rPr>
              <w:t>、</w:t>
            </w:r>
            <w:r>
              <w:rPr>
                <w:rFonts w:hint="eastAsia" w:ascii="仿宋" w:hAnsi="仿宋" w:eastAsia="仿宋" w:cs="仿宋"/>
                <w:i w:val="0"/>
                <w:iCs w:val="0"/>
                <w:strike/>
                <w:color w:val="auto"/>
                <w:sz w:val="24"/>
                <w:szCs w:val="24"/>
                <w:highlight w:val="none"/>
                <w:lang w:eastAsia="zh-CN"/>
              </w:rPr>
              <w:t>招标代理机构</w:t>
            </w:r>
            <w:r>
              <w:rPr>
                <w:rFonts w:hint="eastAsia" w:ascii="仿宋" w:hAnsi="仿宋" w:eastAsia="仿宋" w:cs="仿宋"/>
                <w:i w:val="0"/>
                <w:iCs w:val="0"/>
                <w:strike/>
                <w:color w:val="auto"/>
                <w:sz w:val="24"/>
                <w:szCs w:val="24"/>
                <w:highlight w:val="none"/>
              </w:rPr>
              <w:t>不负保管义务；对于中标人提供的样品，</w:t>
            </w:r>
            <w:r>
              <w:rPr>
                <w:rFonts w:hint="eastAsia" w:ascii="仿宋" w:hAnsi="仿宋" w:eastAsia="仿宋" w:cs="仿宋"/>
                <w:i w:val="0"/>
                <w:iCs w:val="0"/>
                <w:strike/>
                <w:color w:val="auto"/>
                <w:sz w:val="24"/>
                <w:szCs w:val="24"/>
                <w:highlight w:val="none"/>
                <w:lang w:eastAsia="zh-CN"/>
              </w:rPr>
              <w:t>招标人</w:t>
            </w:r>
            <w:r>
              <w:rPr>
                <w:rFonts w:hint="eastAsia" w:ascii="仿宋" w:hAnsi="仿宋" w:eastAsia="仿宋" w:cs="仿宋"/>
                <w:i w:val="0"/>
                <w:iCs w:val="0"/>
                <w:strike/>
                <w:color w:val="auto"/>
                <w:sz w:val="24"/>
                <w:szCs w:val="24"/>
                <w:highlight w:val="none"/>
              </w:rPr>
              <w:t>将进行保管、封存，并作为履约验收的参考。</w:t>
            </w:r>
          </w:p>
          <w:p w14:paraId="419F6F0C">
            <w:pPr>
              <w:pageBreakBefore w:val="0"/>
              <w:widowControl w:val="0"/>
              <w:kinsoku/>
              <w:wordWrap/>
              <w:overflowPunct/>
              <w:topLinePunct w:val="0"/>
              <w:autoSpaceDE w:val="0"/>
              <w:autoSpaceDN w:val="0"/>
              <w:bidi w:val="0"/>
              <w:adjustRightInd w:val="0"/>
              <w:spacing w:line="380" w:lineRule="exact"/>
              <w:ind w:left="0" w:leftChars="0"/>
              <w:jc w:val="left"/>
              <w:textAlignment w:val="center"/>
              <w:rPr>
                <w:rFonts w:hint="eastAsia" w:ascii="仿宋" w:hAnsi="仿宋" w:eastAsia="仿宋" w:cs="仿宋"/>
                <w:b/>
                <w:i w:val="0"/>
                <w:iCs w:val="0"/>
                <w:color w:val="auto"/>
                <w:sz w:val="24"/>
                <w:highlight w:val="none"/>
              </w:rPr>
            </w:pPr>
            <w:r>
              <w:rPr>
                <w:rFonts w:hint="eastAsia" w:ascii="仿宋" w:hAnsi="仿宋" w:eastAsia="仿宋" w:cs="仿宋"/>
                <w:i w:val="0"/>
                <w:iCs w:val="0"/>
                <w:strike/>
                <w:color w:val="auto"/>
                <w:sz w:val="24"/>
                <w:szCs w:val="24"/>
                <w:highlight w:val="none"/>
              </w:rPr>
              <w:t>（7）制作、运输、安装和保管样品所发生的一切费用由</w:t>
            </w:r>
            <w:r>
              <w:rPr>
                <w:rFonts w:hint="eastAsia" w:ascii="仿宋" w:hAnsi="仿宋" w:eastAsia="仿宋" w:cs="仿宋"/>
                <w:i w:val="0"/>
                <w:iCs w:val="0"/>
                <w:strike/>
                <w:color w:val="auto"/>
                <w:sz w:val="24"/>
                <w:szCs w:val="24"/>
                <w:highlight w:val="none"/>
                <w:lang w:eastAsia="zh-CN"/>
              </w:rPr>
              <w:t>投标人</w:t>
            </w:r>
            <w:r>
              <w:rPr>
                <w:rFonts w:hint="eastAsia" w:ascii="仿宋" w:hAnsi="仿宋" w:eastAsia="仿宋" w:cs="仿宋"/>
                <w:i w:val="0"/>
                <w:iCs w:val="0"/>
                <w:strike/>
                <w:color w:val="auto"/>
                <w:sz w:val="24"/>
                <w:szCs w:val="24"/>
                <w:highlight w:val="none"/>
              </w:rPr>
              <w:t>自理。</w:t>
            </w:r>
          </w:p>
        </w:tc>
      </w:tr>
      <w:tr w14:paraId="2EBA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3CE672C9">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strike w:val="0"/>
                <w:dstrike w:val="0"/>
                <w:color w:val="auto"/>
                <w:sz w:val="24"/>
                <w:highlight w:val="none"/>
                <w:lang w:val="en-US" w:eastAsia="zh-CN"/>
              </w:rPr>
            </w:pPr>
            <w:r>
              <w:rPr>
                <w:rFonts w:hint="eastAsia" w:ascii="仿宋" w:hAnsi="仿宋" w:eastAsia="仿宋" w:cs="仿宋"/>
                <w:i w:val="0"/>
                <w:iCs w:val="0"/>
                <w:strike w:val="0"/>
                <w:dstrike w:val="0"/>
                <w:color w:val="auto"/>
                <w:sz w:val="24"/>
                <w:highlight w:val="none"/>
                <w:lang w:val="en-US" w:eastAsia="zh-CN"/>
              </w:rPr>
              <w:t>10</w:t>
            </w:r>
          </w:p>
        </w:tc>
        <w:tc>
          <w:tcPr>
            <w:tcW w:w="8370" w:type="dxa"/>
            <w:gridSpan w:val="3"/>
            <w:vAlign w:val="center"/>
          </w:tcPr>
          <w:p w14:paraId="213078F6">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讲解演示：</w:t>
            </w:r>
          </w:p>
          <w:p w14:paraId="39FE6517">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A无讲解演示。</w:t>
            </w:r>
          </w:p>
          <w:p w14:paraId="4CFB334E">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b/>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B有讲解演示：</w:t>
            </w:r>
          </w:p>
          <w:p w14:paraId="419F9972">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dstrike w:val="0"/>
                <w:color w:val="auto"/>
                <w:sz w:val="24"/>
                <w:highlight w:val="none"/>
                <w:lang w:val="zh-CN"/>
              </w:rPr>
            </w:pPr>
            <w:r>
              <w:rPr>
                <w:rFonts w:hint="eastAsia" w:ascii="仿宋" w:hAnsi="仿宋" w:eastAsia="仿宋" w:cs="仿宋"/>
                <w:i w:val="0"/>
                <w:iCs w:val="0"/>
                <w:strike/>
                <w:dstrike w:val="0"/>
                <w:color w:val="auto"/>
                <w:sz w:val="24"/>
                <w:highlight w:val="none"/>
                <w:lang w:val="zh-CN"/>
              </w:rPr>
              <w:t>（1）在评标时安排每个投标人进行讲解演示。每个投标人时间不超过</w:t>
            </w:r>
            <w:r>
              <w:rPr>
                <w:rFonts w:hint="eastAsia" w:ascii="仿宋" w:hAnsi="仿宋" w:eastAsia="仿宋" w:cs="仿宋"/>
                <w:i w:val="0"/>
                <w:iCs w:val="0"/>
                <w:strike/>
                <w:dstrike w:val="0"/>
                <w:color w:val="auto"/>
                <w:sz w:val="24"/>
                <w:highlight w:val="none"/>
                <w:u w:val="single"/>
                <w:lang w:val="zh-CN"/>
              </w:rPr>
              <w:t>15</w:t>
            </w:r>
            <w:r>
              <w:rPr>
                <w:rFonts w:hint="eastAsia" w:ascii="仿宋" w:hAnsi="仿宋" w:eastAsia="仿宋" w:cs="仿宋"/>
                <w:i w:val="0"/>
                <w:iCs w:val="0"/>
                <w:strike/>
                <w:dstrike w:val="0"/>
                <w:color w:val="auto"/>
                <w:sz w:val="24"/>
                <w:highlight w:val="none"/>
                <w:lang w:val="zh-CN"/>
              </w:rPr>
              <w:t>分钟，讲解次序以投标文件解密时间先后次序为准。讲解演示结束后按要求解答</w:t>
            </w:r>
            <w:r>
              <w:rPr>
                <w:rFonts w:hint="eastAsia" w:ascii="仿宋" w:hAnsi="仿宋" w:eastAsia="仿宋" w:cs="仿宋"/>
                <w:i w:val="0"/>
                <w:iCs w:val="0"/>
                <w:strike/>
                <w:dstrike w:val="0"/>
                <w:color w:val="auto"/>
                <w:sz w:val="24"/>
                <w:highlight w:val="none"/>
              </w:rPr>
              <w:t>评审小组</w:t>
            </w:r>
            <w:r>
              <w:rPr>
                <w:rFonts w:hint="eastAsia" w:ascii="仿宋" w:hAnsi="仿宋" w:eastAsia="仿宋" w:cs="仿宋"/>
                <w:i w:val="0"/>
                <w:iCs w:val="0"/>
                <w:strike/>
                <w:dstrike w:val="0"/>
                <w:color w:val="auto"/>
                <w:sz w:val="24"/>
                <w:highlight w:val="none"/>
                <w:lang w:val="zh-CN"/>
              </w:rPr>
              <w:t>提问。</w:t>
            </w:r>
          </w:p>
          <w:p w14:paraId="6E722C76">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dstrike w:val="0"/>
                <w:color w:val="auto"/>
                <w:sz w:val="24"/>
                <w:highlight w:val="none"/>
                <w:lang w:val="zh-CN"/>
              </w:rPr>
            </w:pPr>
            <w:r>
              <w:rPr>
                <w:rFonts w:hint="eastAsia" w:ascii="仿宋" w:hAnsi="仿宋" w:eastAsia="仿宋" w:cs="仿宋"/>
                <w:i w:val="0"/>
                <w:iCs w:val="0"/>
                <w:strike/>
                <w:dstrike w:val="0"/>
                <w:color w:val="auto"/>
                <w:sz w:val="24"/>
                <w:highlight w:val="none"/>
                <w:lang w:val="zh-CN"/>
              </w:rPr>
              <w:t>（2）现场讲解地点为</w:t>
            </w:r>
            <w:r>
              <w:rPr>
                <w:rFonts w:hint="eastAsia" w:ascii="仿宋" w:hAnsi="仿宋" w:eastAsia="仿宋" w:cs="仿宋"/>
                <w:i w:val="0"/>
                <w:iCs w:val="0"/>
                <w:strike/>
                <w:dstrike w:val="0"/>
                <w:color w:val="auto"/>
                <w:sz w:val="24"/>
                <w:highlight w:val="none"/>
                <w:u w:val="single"/>
                <w:lang w:val="zh-CN"/>
              </w:rPr>
              <w:t xml:space="preserve">      </w:t>
            </w:r>
            <w:r>
              <w:rPr>
                <w:rFonts w:hint="eastAsia" w:ascii="仿宋" w:hAnsi="仿宋" w:eastAsia="仿宋" w:cs="仿宋"/>
                <w:i w:val="0"/>
                <w:iCs w:val="0"/>
                <w:strike/>
                <w:dstrike w:val="0"/>
                <w:color w:val="auto"/>
                <w:sz w:val="24"/>
                <w:highlight w:val="none"/>
                <w:lang w:val="zh-CN"/>
              </w:rPr>
              <w:t>，（</w:t>
            </w:r>
            <w:r>
              <w:rPr>
                <w:rFonts w:hint="eastAsia" w:ascii="仿宋" w:hAnsi="仿宋" w:eastAsia="仿宋" w:cs="仿宋"/>
                <w:i w:val="0"/>
                <w:iCs w:val="0"/>
                <w:strike/>
                <w:dstrike w:val="0"/>
                <w:color w:val="auto"/>
                <w:sz w:val="24"/>
                <w:highlight w:val="none"/>
                <w:lang w:val="en-US" w:eastAsia="zh-CN"/>
              </w:rPr>
              <w:t>可补充现场演示的其他要求，如人数、凭证、所需设备等</w:t>
            </w:r>
            <w:r>
              <w:rPr>
                <w:rFonts w:hint="eastAsia" w:ascii="仿宋" w:hAnsi="仿宋" w:eastAsia="仿宋" w:cs="仿宋"/>
                <w:i w:val="0"/>
                <w:iCs w:val="0"/>
                <w:strike/>
                <w:dstrike w:val="0"/>
                <w:color w:val="auto"/>
                <w:sz w:val="24"/>
                <w:highlight w:val="none"/>
                <w:lang w:val="zh-CN"/>
              </w:rPr>
              <w:t>）。</w:t>
            </w:r>
          </w:p>
          <w:p w14:paraId="75676889">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dstrike w:val="0"/>
                <w:color w:val="auto"/>
                <w:sz w:val="24"/>
                <w:highlight w:val="none"/>
                <w:lang w:val="zh-CN"/>
              </w:rPr>
              <w:t>注：因投标人自身原因导致无法演示或者演示效果不理想的，责任自负。</w:t>
            </w:r>
          </w:p>
        </w:tc>
      </w:tr>
      <w:tr w14:paraId="5418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D3FDCD">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strike w:val="0"/>
                <w:color w:val="auto"/>
                <w:sz w:val="24"/>
                <w:highlight w:val="none"/>
                <w:lang w:eastAsia="zh-CN"/>
              </w:rPr>
            </w:pPr>
            <w:r>
              <w:rPr>
                <w:rFonts w:hint="eastAsia"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33169CD9">
            <w:pPr>
              <w:pageBreakBefore w:val="0"/>
              <w:widowControl w:val="0"/>
              <w:kinsoku/>
              <w:wordWrap/>
              <w:overflowPunct/>
              <w:topLinePunct w:val="0"/>
              <w:autoSpaceDE w:val="0"/>
              <w:autoSpaceDN w:val="0"/>
              <w:bidi w:val="0"/>
              <w:snapToGrid w:val="0"/>
              <w:spacing w:line="380" w:lineRule="exact"/>
              <w:ind w:left="0"/>
              <w:jc w:val="center"/>
              <w:textAlignment w:val="center"/>
              <w:rPr>
                <w:rFonts w:hint="eastAsia"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gridSpan w:val="2"/>
            <w:vAlign w:val="center"/>
          </w:tcPr>
          <w:p w14:paraId="1237F756">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08515496">
            <w:pPr>
              <w:pageBreakBefore w:val="0"/>
              <w:widowControl w:val="0"/>
              <w:kinsoku/>
              <w:wordWrap/>
              <w:overflowPunct/>
              <w:topLinePunct w:val="0"/>
              <w:autoSpaceDE w:val="0"/>
              <w:autoSpaceDN w:val="0"/>
              <w:bidi w:val="0"/>
              <w:snapToGrid w:val="0"/>
              <w:spacing w:line="380" w:lineRule="exact"/>
              <w:ind w:left="0"/>
              <w:textAlignment w:val="center"/>
              <w:rPr>
                <w:rFonts w:hint="eastAsia" w:ascii="仿宋" w:hAnsi="仿宋" w:eastAsia="仿宋" w:cs="仿宋"/>
                <w:b/>
                <w:i w:val="0"/>
                <w:iCs w:val="0"/>
                <w:strike w:val="0"/>
                <w:color w:val="auto"/>
                <w:sz w:val="24"/>
                <w:highlight w:val="none"/>
              </w:rPr>
            </w:pPr>
            <w:r>
              <w:rPr>
                <w:rFonts w:hint="eastAsia" w:ascii="仿宋" w:hAnsi="仿宋" w:eastAsia="仿宋" w:cs="仿宋"/>
                <w:i w:val="0"/>
                <w:iCs w:val="0"/>
                <w:strike w:val="0"/>
                <w:color w:val="auto"/>
                <w:kern w:val="0"/>
                <w:sz w:val="24"/>
                <w:highlight w:val="none"/>
              </w:rPr>
              <w:t>☐可以采购进口产品，优先采购向我国企业转让技术、与我国企业签订消化吸收再创新方案的</w:t>
            </w:r>
            <w:r>
              <w:rPr>
                <w:rFonts w:hint="eastAsia" w:ascii="仿宋" w:hAnsi="仿宋" w:eastAsia="仿宋" w:cs="仿宋"/>
                <w:i w:val="0"/>
                <w:iCs w:val="0"/>
                <w:strike w:val="0"/>
                <w:color w:val="auto"/>
                <w:kern w:val="0"/>
                <w:sz w:val="24"/>
                <w:highlight w:val="none"/>
                <w:lang w:eastAsia="zh-CN"/>
              </w:rPr>
              <w:t>投标人</w:t>
            </w:r>
            <w:r>
              <w:rPr>
                <w:rFonts w:hint="eastAsia" w:ascii="仿宋" w:hAnsi="仿宋" w:eastAsia="仿宋" w:cs="仿宋"/>
                <w:i w:val="0"/>
                <w:iCs w:val="0"/>
                <w:strike w:val="0"/>
                <w:color w:val="auto"/>
                <w:kern w:val="0"/>
                <w:sz w:val="24"/>
                <w:highlight w:val="none"/>
              </w:rPr>
              <w:t>的进口产品；但如果因信息不对称等原因，仍有满足需求的国内产品要求参与采购竞争的，</w:t>
            </w:r>
            <w:r>
              <w:rPr>
                <w:rFonts w:hint="eastAsia" w:ascii="仿宋" w:hAnsi="仿宋" w:eastAsia="仿宋" w:cs="仿宋"/>
                <w:i w:val="0"/>
                <w:iCs w:val="0"/>
                <w:strike w:val="0"/>
                <w:color w:val="auto"/>
                <w:kern w:val="0"/>
                <w:sz w:val="24"/>
                <w:highlight w:val="none"/>
                <w:lang w:eastAsia="zh-CN"/>
              </w:rPr>
              <w:t>招标人</w:t>
            </w:r>
            <w:r>
              <w:rPr>
                <w:rFonts w:hint="eastAsia" w:ascii="仿宋" w:hAnsi="仿宋" w:eastAsia="仿宋" w:cs="仿宋"/>
                <w:i w:val="0"/>
                <w:iCs w:val="0"/>
                <w:strike w:val="0"/>
                <w:color w:val="auto"/>
                <w:kern w:val="0"/>
                <w:sz w:val="24"/>
                <w:highlight w:val="none"/>
              </w:rPr>
              <w:t>及其委托的</w:t>
            </w:r>
            <w:r>
              <w:rPr>
                <w:rFonts w:hint="eastAsia" w:ascii="仿宋" w:hAnsi="仿宋" w:eastAsia="仿宋" w:cs="仿宋"/>
                <w:i w:val="0"/>
                <w:iCs w:val="0"/>
                <w:strike w:val="0"/>
                <w:color w:val="auto"/>
                <w:kern w:val="0"/>
                <w:sz w:val="24"/>
                <w:highlight w:val="none"/>
                <w:lang w:eastAsia="zh-CN"/>
              </w:rPr>
              <w:t>招标代理机构</w:t>
            </w:r>
            <w:r>
              <w:rPr>
                <w:rFonts w:hint="eastAsia" w:ascii="仿宋" w:hAnsi="仿宋" w:eastAsia="仿宋" w:cs="仿宋"/>
                <w:i w:val="0"/>
                <w:iCs w:val="0"/>
                <w:strike w:val="0"/>
                <w:color w:val="auto"/>
                <w:kern w:val="0"/>
                <w:sz w:val="24"/>
                <w:highlight w:val="none"/>
              </w:rPr>
              <w:t>不对其加以限制，将按照公平竞争原则</w:t>
            </w:r>
            <w:r>
              <w:rPr>
                <w:rFonts w:hint="eastAsia" w:ascii="仿宋" w:hAnsi="仿宋" w:eastAsia="仿宋" w:cs="仿宋"/>
                <w:i w:val="0"/>
                <w:iCs w:val="0"/>
                <w:strike w:val="0"/>
                <w:color w:val="auto"/>
                <w:kern w:val="0"/>
                <w:sz w:val="24"/>
                <w:highlight w:val="none"/>
                <w:lang w:eastAsia="zh-CN"/>
              </w:rPr>
              <w:t>实施招标</w:t>
            </w:r>
            <w:r>
              <w:rPr>
                <w:rFonts w:hint="eastAsia" w:ascii="仿宋" w:hAnsi="仿宋" w:eastAsia="仿宋" w:cs="仿宋"/>
                <w:i w:val="0"/>
                <w:iCs w:val="0"/>
                <w:strike w:val="0"/>
                <w:color w:val="auto"/>
                <w:kern w:val="0"/>
                <w:sz w:val="24"/>
                <w:highlight w:val="none"/>
              </w:rPr>
              <w:t>。</w:t>
            </w:r>
          </w:p>
        </w:tc>
      </w:tr>
      <w:tr w14:paraId="1E75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4CC0F0A">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36ACC29E">
            <w:pPr>
              <w:pageBreakBefore w:val="0"/>
              <w:widowControl w:val="0"/>
              <w:kinsoku/>
              <w:wordWrap/>
              <w:overflowPunct/>
              <w:topLinePunct w:val="0"/>
              <w:autoSpaceDE w:val="0"/>
              <w:autoSpaceDN w:val="0"/>
              <w:bidi w:val="0"/>
              <w:snapToGrid w:val="0"/>
              <w:spacing w:line="380" w:lineRule="exact"/>
              <w:ind w:left="0" w:hanging="14" w:hangingChars="7"/>
              <w:jc w:val="center"/>
              <w:textAlignment w:val="center"/>
              <w:rPr>
                <w:rFonts w:hint="eastAsia"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gridSpan w:val="2"/>
            <w:vAlign w:val="center"/>
          </w:tcPr>
          <w:p w14:paraId="4C88C46C">
            <w:pPr>
              <w:pageBreakBefore w:val="0"/>
              <w:widowControl w:val="0"/>
              <w:kinsoku/>
              <w:wordWrap/>
              <w:overflowPunct/>
              <w:topLinePunct w:val="0"/>
              <w:autoSpaceDE w:val="0"/>
              <w:autoSpaceDN w:val="0"/>
              <w:bidi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single"/>
              </w:rPr>
              <w:t>：</w:t>
            </w:r>
            <w:r>
              <w:rPr>
                <w:rFonts w:hint="eastAsia" w:ascii="仿宋" w:hAnsi="仿宋" w:eastAsia="仿宋" w:cs="仿宋"/>
                <w:i w:val="0"/>
                <w:iCs w:val="0"/>
                <w:color w:val="auto"/>
                <w:kern w:val="0"/>
                <w:sz w:val="24"/>
                <w:highlight w:val="none"/>
                <w:u w:val="single"/>
                <w:lang w:val="en-US" w:eastAsia="zh-CN"/>
              </w:rPr>
              <w:t xml:space="preserve">充电桩              </w:t>
            </w:r>
            <w:r>
              <w:rPr>
                <w:rFonts w:hint="eastAsia" w:ascii="仿宋" w:hAnsi="仿宋" w:eastAsia="仿宋" w:cs="仿宋"/>
                <w:i w:val="0"/>
                <w:iCs w:val="0"/>
                <w:color w:val="auto"/>
                <w:sz w:val="24"/>
                <w:highlight w:val="none"/>
              </w:rPr>
              <w:t>。</w:t>
            </w:r>
          </w:p>
          <w:p w14:paraId="29DC304F">
            <w:pPr>
              <w:pageBreakBefore w:val="0"/>
              <w:widowControl w:val="0"/>
              <w:kinsoku/>
              <w:wordWrap/>
              <w:overflowPunct/>
              <w:topLinePunct w:val="0"/>
              <w:autoSpaceDE w:val="0"/>
              <w:autoSpaceDN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66AF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870" w:type="dxa"/>
            <w:vMerge w:val="restart"/>
            <w:vAlign w:val="center"/>
          </w:tcPr>
          <w:p w14:paraId="07148265">
            <w:pPr>
              <w:pageBreakBefore w:val="0"/>
              <w:widowControl w:val="0"/>
              <w:kinsoku/>
              <w:wordWrap/>
              <w:overflowPunct/>
              <w:topLinePunct w:val="0"/>
              <w:autoSpaceDE w:val="0"/>
              <w:autoSpaceDN w:val="0"/>
              <w:bidi w:val="0"/>
              <w:spacing w:line="38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3</w:t>
            </w:r>
          </w:p>
        </w:tc>
        <w:tc>
          <w:tcPr>
            <w:tcW w:w="900" w:type="dxa"/>
            <w:vMerge w:val="restart"/>
            <w:vAlign w:val="center"/>
          </w:tcPr>
          <w:p w14:paraId="3AD406D8">
            <w:pPr>
              <w:pageBreakBefore w:val="0"/>
              <w:widowControl w:val="0"/>
              <w:kinsoku/>
              <w:wordWrap/>
              <w:overflowPunct/>
              <w:topLinePunct w:val="0"/>
              <w:autoSpaceDE w:val="0"/>
              <w:autoSpaceDN w:val="0"/>
              <w:bidi w:val="0"/>
              <w:snapToGrid w:val="0"/>
              <w:spacing w:line="380" w:lineRule="exact"/>
              <w:ind w:left="0"/>
              <w:jc w:val="center"/>
              <w:textAlignment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信用信息事项</w:t>
            </w:r>
          </w:p>
        </w:tc>
        <w:tc>
          <w:tcPr>
            <w:tcW w:w="7470" w:type="dxa"/>
            <w:gridSpan w:val="2"/>
            <w:vAlign w:val="center"/>
          </w:tcPr>
          <w:p w14:paraId="55368330">
            <w:pPr>
              <w:pageBreakBefore w:val="0"/>
              <w:widowControl w:val="0"/>
              <w:kinsoku/>
              <w:wordWrap/>
              <w:overflowPunct/>
              <w:topLinePunct w:val="0"/>
              <w:autoSpaceDE w:val="0"/>
              <w:autoSpaceDN w:val="0"/>
              <w:bidi w:val="0"/>
              <w:snapToGrid w:val="0"/>
              <w:spacing w:line="380" w:lineRule="exact"/>
              <w:ind w:left="0"/>
              <w:textAlignment w:val="center"/>
              <w:rPr>
                <w:rFonts w:hint="eastAsia"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eastAsia" w:ascii="仿宋" w:hAnsi="仿宋" w:eastAsia="仿宋" w:cs="仿宋"/>
                <w:i w:val="0"/>
                <w:iCs w:val="0"/>
                <w:color w:val="auto"/>
                <w:sz w:val="24"/>
                <w:highlight w:val="none"/>
                <w:lang w:val="en-US" w:eastAsia="zh-CN"/>
              </w:rPr>
              <w:t>招标人</w:t>
            </w:r>
            <w:r>
              <w:rPr>
                <w:rFonts w:hint="eastAsia" w:ascii="仿宋" w:hAnsi="仿宋" w:eastAsia="仿宋" w:cs="仿宋"/>
                <w:i w:val="0"/>
                <w:iCs w:val="0"/>
                <w:color w:val="auto"/>
                <w:sz w:val="24"/>
                <w:highlight w:val="none"/>
              </w:rPr>
              <w:t>或</w:t>
            </w:r>
            <w:r>
              <w:rPr>
                <w:rFonts w:hint="eastAsia" w:ascii="仿宋" w:hAnsi="仿宋" w:eastAsia="仿宋" w:cs="仿宋"/>
                <w:i w:val="0"/>
                <w:iCs w:val="0"/>
                <w:color w:val="auto"/>
                <w:sz w:val="24"/>
                <w:highlight w:val="none"/>
                <w:lang w:val="en-US" w:eastAsia="zh-CN"/>
              </w:rPr>
              <w:t>招标人</w:t>
            </w:r>
            <w:r>
              <w:rPr>
                <w:rFonts w:hint="eastAsia" w:ascii="仿宋" w:hAnsi="仿宋" w:eastAsia="仿宋" w:cs="仿宋"/>
                <w:i w:val="0"/>
                <w:iCs w:val="0"/>
                <w:color w:val="auto"/>
                <w:sz w:val="24"/>
                <w:highlight w:val="none"/>
              </w:rPr>
              <w:t>委托的评审小组或</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将通过“信用中国”网站(www.creditchina.gov.cn)、中国政府采购网(www.ccgp.gov.cn)渠道查询</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2B1C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3B255BE">
            <w:pPr>
              <w:keepNext/>
              <w:keepLines/>
              <w:pageBreakBefore w:val="0"/>
              <w:widowControl w:val="0"/>
              <w:tabs>
                <w:tab w:val="left" w:pos="900"/>
              </w:tabs>
              <w:kinsoku/>
              <w:wordWrap/>
              <w:overflowPunct/>
              <w:topLinePunct w:val="0"/>
              <w:bidi w:val="0"/>
              <w:spacing w:line="380" w:lineRule="exact"/>
              <w:ind w:left="0" w:hanging="720"/>
              <w:jc w:val="center"/>
              <w:textAlignment w:val="center"/>
              <w:outlineLvl w:val="2"/>
              <w:rPr>
                <w:rFonts w:hint="eastAsia" w:ascii="仿宋" w:hAnsi="仿宋" w:eastAsia="仿宋" w:cs="仿宋"/>
                <w:i w:val="0"/>
                <w:iCs w:val="0"/>
                <w:color w:val="auto"/>
                <w:sz w:val="24"/>
                <w:highlight w:val="none"/>
              </w:rPr>
            </w:pPr>
          </w:p>
        </w:tc>
        <w:tc>
          <w:tcPr>
            <w:tcW w:w="900" w:type="dxa"/>
            <w:vMerge w:val="continue"/>
            <w:vAlign w:val="center"/>
          </w:tcPr>
          <w:p w14:paraId="106DAC82">
            <w:pPr>
              <w:keepNext/>
              <w:keepLines/>
              <w:pageBreakBefore w:val="0"/>
              <w:widowControl w:val="0"/>
              <w:tabs>
                <w:tab w:val="left" w:pos="900"/>
              </w:tabs>
              <w:kinsoku/>
              <w:wordWrap/>
              <w:overflowPunct/>
              <w:topLinePunct w:val="0"/>
              <w:bidi w:val="0"/>
              <w:snapToGrid w:val="0"/>
              <w:spacing w:line="380" w:lineRule="exact"/>
              <w:ind w:left="0" w:hanging="720"/>
              <w:textAlignment w:val="center"/>
              <w:outlineLvl w:val="2"/>
              <w:rPr>
                <w:rFonts w:hint="eastAsia" w:ascii="仿宋" w:hAnsi="仿宋" w:eastAsia="仿宋" w:cs="仿宋"/>
                <w:b/>
                <w:i w:val="0"/>
                <w:iCs w:val="0"/>
                <w:color w:val="auto"/>
                <w:sz w:val="24"/>
                <w:highlight w:val="none"/>
              </w:rPr>
            </w:pPr>
          </w:p>
        </w:tc>
        <w:tc>
          <w:tcPr>
            <w:tcW w:w="7470" w:type="dxa"/>
            <w:gridSpan w:val="2"/>
            <w:vAlign w:val="center"/>
          </w:tcPr>
          <w:p w14:paraId="25D4CD94">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将被拒绝参与</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w:t>
            </w:r>
          </w:p>
          <w:p w14:paraId="7D0B1FD1">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b/>
                <w:i w:val="0"/>
                <w:iCs w:val="0"/>
                <w:color w:val="auto"/>
                <w:sz w:val="24"/>
                <w:highlight w:val="none"/>
              </w:rPr>
            </w:pPr>
            <w:r>
              <w:rPr>
                <w:rFonts w:hint="eastAsia" w:ascii="仿宋" w:hAnsi="仿宋" w:eastAsia="仿宋" w:cs="仿宋"/>
                <w:i w:val="0"/>
                <w:iCs w:val="0"/>
                <w:strike w:val="0"/>
                <w:color w:val="auto"/>
                <w:sz w:val="24"/>
                <w:highlight w:val="none"/>
              </w:rPr>
              <w:t>联合体信用信息查询：两个以上的自然人、法人或者其他组织组成一个联合体，以一个</w:t>
            </w:r>
            <w:r>
              <w:rPr>
                <w:rFonts w:hint="eastAsia" w:ascii="仿宋" w:hAnsi="仿宋" w:eastAsia="仿宋" w:cs="仿宋"/>
                <w:i w:val="0"/>
                <w:iCs w:val="0"/>
                <w:strike w:val="0"/>
                <w:color w:val="auto"/>
                <w:sz w:val="24"/>
                <w:highlight w:val="none"/>
                <w:lang w:eastAsia="zh-CN"/>
              </w:rPr>
              <w:t>投标人</w:t>
            </w:r>
            <w:r>
              <w:rPr>
                <w:rFonts w:hint="eastAsia" w:ascii="仿宋" w:hAnsi="仿宋" w:eastAsia="仿宋" w:cs="仿宋"/>
                <w:i w:val="0"/>
                <w:iCs w:val="0"/>
                <w:strike w:val="0"/>
                <w:color w:val="auto"/>
                <w:sz w:val="24"/>
                <w:highlight w:val="none"/>
              </w:rPr>
              <w:t>的身份共同参加</w:t>
            </w:r>
            <w:r>
              <w:rPr>
                <w:rFonts w:hint="eastAsia" w:ascii="仿宋" w:hAnsi="仿宋" w:eastAsia="仿宋" w:cs="仿宋"/>
                <w:i w:val="0"/>
                <w:iCs w:val="0"/>
                <w:strike w:val="0"/>
                <w:color w:val="auto"/>
                <w:sz w:val="24"/>
                <w:highlight w:val="none"/>
                <w:lang w:eastAsia="zh-CN"/>
              </w:rPr>
              <w:t>招标活动</w:t>
            </w:r>
            <w:r>
              <w:rPr>
                <w:rFonts w:hint="eastAsia" w:ascii="仿宋" w:hAnsi="仿宋" w:eastAsia="仿宋" w:cs="仿宋"/>
                <w:i w:val="0"/>
                <w:iCs w:val="0"/>
                <w:strike w:val="0"/>
                <w:color w:val="auto"/>
                <w:sz w:val="24"/>
                <w:highlight w:val="none"/>
              </w:rPr>
              <w:t>的，应当对所有联合体成员进行信用记录查询，联合体成员存在不良信用记录的，视同联合体存在不良信用记录。</w:t>
            </w:r>
          </w:p>
        </w:tc>
      </w:tr>
      <w:tr w14:paraId="17DA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B475402">
            <w:pPr>
              <w:pageBreakBefore w:val="0"/>
              <w:widowControl w:val="0"/>
              <w:kinsoku/>
              <w:wordWrap/>
              <w:overflowPunct/>
              <w:topLinePunct w:val="0"/>
              <w:bidi w:val="0"/>
              <w:spacing w:line="38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4</w:t>
            </w:r>
          </w:p>
        </w:tc>
        <w:tc>
          <w:tcPr>
            <w:tcW w:w="1024" w:type="dxa"/>
            <w:gridSpan w:val="2"/>
            <w:vAlign w:val="center"/>
          </w:tcPr>
          <w:p w14:paraId="363DF01C">
            <w:pPr>
              <w:pageBreakBefore w:val="0"/>
              <w:widowControl w:val="0"/>
              <w:kinsoku/>
              <w:wordWrap/>
              <w:overflowPunct/>
              <w:topLinePunct w:val="0"/>
              <w:bidi w:val="0"/>
              <w:snapToGrid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签字或盖章</w:t>
            </w:r>
          </w:p>
          <w:p w14:paraId="6D8B0F6F">
            <w:pPr>
              <w:pageBreakBefore w:val="0"/>
              <w:widowControl w:val="0"/>
              <w:kinsoku/>
              <w:wordWrap/>
              <w:overflowPunct/>
              <w:topLinePunct w:val="0"/>
              <w:bidi w:val="0"/>
              <w:snapToGrid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要求</w:t>
            </w:r>
          </w:p>
        </w:tc>
        <w:tc>
          <w:tcPr>
            <w:tcW w:w="7346" w:type="dxa"/>
            <w:vAlign w:val="center"/>
          </w:tcPr>
          <w:p w14:paraId="1235F027">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color w:val="auto"/>
                <w:sz w:val="24"/>
                <w:highlight w:val="none"/>
              </w:rPr>
              <w:t>1.招标文件“第六部分”提供的投标文件格式要求</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盖章、法定代表人印章的地方，</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均应使用CA数字证书加盖</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的单位电子印章、法定代表人个人电子印章</w:t>
            </w:r>
            <w:r>
              <w:rPr>
                <w:rFonts w:hint="eastAsia" w:ascii="仿宋" w:hAnsi="仿宋" w:eastAsia="仿宋" w:cs="仿宋"/>
                <w:i w:val="0"/>
                <w:iCs w:val="0"/>
                <w:strike w:val="0"/>
                <w:dstrike w:val="0"/>
                <w:color w:val="auto"/>
                <w:sz w:val="24"/>
                <w:highlight w:val="none"/>
              </w:rPr>
              <w:t>。联合体投标的，除联合体协议书格式之外的仅由联合体牵头人加盖单位电子印章、法定代表人个人电子印章即可；</w:t>
            </w:r>
          </w:p>
          <w:p w14:paraId="45CCECB0">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 并加盖投标单位电子印章；</w:t>
            </w:r>
          </w:p>
        </w:tc>
      </w:tr>
      <w:tr w14:paraId="01BC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049DD49A">
            <w:pPr>
              <w:pageBreakBefore w:val="0"/>
              <w:widowControl w:val="0"/>
              <w:kinsoku/>
              <w:wordWrap/>
              <w:overflowPunct/>
              <w:topLinePunct w:val="0"/>
              <w:bidi w:val="0"/>
              <w:spacing w:line="380" w:lineRule="exact"/>
              <w:ind w:left="0"/>
              <w:jc w:val="center"/>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5</w:t>
            </w:r>
          </w:p>
        </w:tc>
        <w:tc>
          <w:tcPr>
            <w:tcW w:w="8370" w:type="dxa"/>
            <w:gridSpan w:val="3"/>
            <w:vAlign w:val="center"/>
          </w:tcPr>
          <w:p w14:paraId="37EC379B">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39D01906">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1.本项目实行网上投标，采用电子投标文件。若</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参与投标，自行承担投标一切费用。</w:t>
            </w:r>
          </w:p>
          <w:p w14:paraId="41793570">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2.标前准备：</w:t>
            </w:r>
          </w:p>
          <w:p w14:paraId="0F64CEFD">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自行承担。</w:t>
            </w:r>
          </w:p>
          <w:p w14:paraId="25A3D068">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2.2投标人</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7A3816AD">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获取招标文件后立即办理。</w:t>
            </w:r>
          </w:p>
          <w:p w14:paraId="2F6B6337">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3.投标文件制作、递交、解密：</w:t>
            </w:r>
          </w:p>
          <w:p w14:paraId="26BABF3E">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7FA35645">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88163055</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13758514411</w:t>
            </w:r>
            <w:r>
              <w:rPr>
                <w:rFonts w:hint="eastAsia" w:ascii="仿宋" w:hAnsi="仿宋" w:eastAsia="仿宋" w:cs="仿宋"/>
                <w:i w:val="0"/>
                <w:iCs w:val="0"/>
                <w:color w:val="auto"/>
                <w:sz w:val="24"/>
                <w:highlight w:val="none"/>
              </w:rPr>
              <w:t>/15381628176</w:t>
            </w:r>
          </w:p>
          <w:p w14:paraId="4AF2C4B8">
            <w:pPr>
              <w:pageBreakBefore w:val="0"/>
              <w:widowControl w:val="0"/>
              <w:kinsoku/>
              <w:wordWrap/>
              <w:overflowPunct/>
              <w:topLinePunct w:val="0"/>
              <w:bidi w:val="0"/>
              <w:snapToGrid w:val="0"/>
              <w:spacing w:line="380" w:lineRule="exact"/>
              <w:ind w:left="0"/>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应在开标时间后</w:t>
            </w:r>
            <w:r>
              <w:rPr>
                <w:rFonts w:hint="eastAsia" w:ascii="仿宋" w:hAnsi="仿宋" w:eastAsia="仿宋" w:cs="仿宋"/>
                <w:i w:val="0"/>
                <w:iCs w:val="0"/>
                <w:color w:val="auto"/>
                <w:sz w:val="24"/>
                <w:highlight w:val="none"/>
                <w:lang w:val="en-US" w:eastAsia="zh-CN"/>
              </w:rPr>
              <w:t>60分钟</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以绍兴市阳光采购服务平台系统时间为准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内登录绍兴市阳光采购服务平台，使用电子投标文件制作工具完成投标文件解密，具体详见《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若投标人未按时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26ED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4170092C">
            <w:pPr>
              <w:pageBreakBefore w:val="0"/>
              <w:widowControl w:val="0"/>
              <w:kinsoku/>
              <w:wordWrap/>
              <w:overflowPunct/>
              <w:topLinePunct w:val="0"/>
              <w:bidi w:val="0"/>
              <w:spacing w:line="380" w:lineRule="exact"/>
              <w:ind w:left="0"/>
              <w:jc w:val="center"/>
              <w:textAlignment w:val="center"/>
              <w:rPr>
                <w:rFonts w:hint="eastAsia" w:ascii="仿宋" w:hAnsi="仿宋" w:eastAsia="仿宋" w:cs="仿宋"/>
                <w:i w:val="0"/>
                <w:iCs w:val="0"/>
                <w:strike w:val="0"/>
                <w:dstrike w:val="0"/>
                <w:color w:val="auto"/>
                <w:sz w:val="24"/>
                <w:highlight w:val="none"/>
                <w:lang w:eastAsia="zh-CN"/>
              </w:rPr>
            </w:pPr>
            <w:r>
              <w:rPr>
                <w:rFonts w:hint="eastAsia" w:ascii="仿宋" w:hAnsi="仿宋" w:eastAsia="仿宋" w:cs="仿宋"/>
                <w:i w:val="0"/>
                <w:iCs w:val="0"/>
                <w:strike w:val="0"/>
                <w:dstrike w:val="0"/>
                <w:color w:val="auto"/>
                <w:sz w:val="24"/>
                <w:highlight w:val="none"/>
              </w:rPr>
              <w:t>1</w:t>
            </w:r>
            <w:r>
              <w:rPr>
                <w:rFonts w:hint="eastAsia" w:ascii="仿宋" w:hAnsi="仿宋" w:eastAsia="仿宋" w:cs="仿宋"/>
                <w:i w:val="0"/>
                <w:iCs w:val="0"/>
                <w:strike w:val="0"/>
                <w:dstrike w:val="0"/>
                <w:color w:val="auto"/>
                <w:sz w:val="24"/>
                <w:highlight w:val="none"/>
                <w:lang w:val="en-US" w:eastAsia="zh-CN"/>
              </w:rPr>
              <w:t>6</w:t>
            </w:r>
          </w:p>
        </w:tc>
        <w:tc>
          <w:tcPr>
            <w:tcW w:w="8370" w:type="dxa"/>
            <w:gridSpan w:val="3"/>
            <w:vAlign w:val="center"/>
          </w:tcPr>
          <w:p w14:paraId="7F8F9ECB">
            <w:pPr>
              <w:pageBreakBefore w:val="0"/>
              <w:widowControl w:val="0"/>
              <w:kinsoku/>
              <w:wordWrap/>
              <w:overflowPunct/>
              <w:topLinePunct w:val="0"/>
              <w:bidi w:val="0"/>
              <w:spacing w:line="380" w:lineRule="exact"/>
              <w:ind w:left="0"/>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特别说明：</w:t>
            </w:r>
          </w:p>
          <w:p w14:paraId="63FEECA6">
            <w:pPr>
              <w:pageBreakBefore w:val="0"/>
              <w:widowControl w:val="0"/>
              <w:kinsoku/>
              <w:wordWrap/>
              <w:overflowPunct/>
              <w:topLinePunct w:val="0"/>
              <w:bidi w:val="0"/>
              <w:spacing w:line="380" w:lineRule="exact"/>
              <w:ind w:left="0"/>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snapToGrid w:val="0"/>
                <w:color w:val="auto"/>
                <w:kern w:val="28"/>
                <w:sz w:val="24"/>
                <w:highlight w:val="none"/>
              </w:rPr>
              <w:t>联合体投标的或者以分包方式履行合同的，联合体各方（</w:t>
            </w:r>
            <w:r>
              <w:rPr>
                <w:rFonts w:hint="eastAsia" w:ascii="仿宋" w:hAnsi="仿宋" w:eastAsia="仿宋" w:cs="仿宋"/>
                <w:i w:val="0"/>
                <w:iCs w:val="0"/>
                <w:strike w:val="0"/>
                <w:dstrike w:val="0"/>
                <w:snapToGrid w:val="0"/>
                <w:color w:val="auto"/>
                <w:kern w:val="28"/>
                <w:sz w:val="24"/>
                <w:highlight w:val="none"/>
                <w:lang w:eastAsia="zh-CN"/>
              </w:rPr>
              <w:t>投标人</w:t>
            </w:r>
            <w:r>
              <w:rPr>
                <w:rFonts w:hint="eastAsia" w:ascii="仿宋" w:hAnsi="仿宋" w:eastAsia="仿宋" w:cs="仿宋"/>
                <w:i w:val="0"/>
                <w:iCs w:val="0"/>
                <w:strike w:val="0"/>
                <w:dstrike w:val="0"/>
                <w:snapToGrid w:val="0"/>
                <w:color w:val="auto"/>
                <w:kern w:val="28"/>
                <w:sz w:val="24"/>
                <w:highlight w:val="none"/>
              </w:rPr>
              <w:t>与分包</w:t>
            </w:r>
            <w:r>
              <w:rPr>
                <w:rFonts w:hint="eastAsia" w:ascii="仿宋" w:hAnsi="仿宋" w:eastAsia="仿宋" w:cs="仿宋"/>
                <w:i w:val="0"/>
                <w:iCs w:val="0"/>
                <w:strike w:val="0"/>
                <w:dstrike w:val="0"/>
                <w:snapToGrid w:val="0"/>
                <w:color w:val="auto"/>
                <w:kern w:val="28"/>
                <w:sz w:val="24"/>
                <w:highlight w:val="none"/>
                <w:lang w:eastAsia="zh-CN"/>
              </w:rPr>
              <w:t>投标人</w:t>
            </w:r>
            <w:r>
              <w:rPr>
                <w:rFonts w:hint="eastAsia" w:ascii="仿宋" w:hAnsi="仿宋" w:eastAsia="仿宋" w:cs="仿宋"/>
                <w:i w:val="0"/>
                <w:iCs w:val="0"/>
                <w:strike w:val="0"/>
                <w:dstrike w:val="0"/>
                <w:snapToGrid w:val="0"/>
                <w:color w:val="auto"/>
                <w:kern w:val="28"/>
                <w:sz w:val="24"/>
                <w:highlight w:val="none"/>
              </w:rPr>
              <w:t>）分别提供与联合体协议（分包意向协议）中规定的分工内容相应的业绩证明材料，业绩数量以提供材料较少的一方为准</w:t>
            </w:r>
            <w:r>
              <w:rPr>
                <w:rFonts w:hint="eastAsia" w:ascii="仿宋" w:hAnsi="仿宋" w:eastAsia="仿宋" w:cs="仿宋"/>
                <w:b/>
                <w:i w:val="0"/>
                <w:iCs w:val="0"/>
                <w:strike w:val="0"/>
                <w:dstrike w:val="0"/>
                <w:color w:val="auto"/>
                <w:kern w:val="0"/>
                <w:sz w:val="24"/>
                <w:highlight w:val="none"/>
              </w:rPr>
              <w:t>。</w:t>
            </w:r>
          </w:p>
        </w:tc>
      </w:tr>
      <w:tr w14:paraId="56D3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0F40CF8D">
            <w:pPr>
              <w:keepNext/>
              <w:keepLines/>
              <w:pageBreakBefore w:val="0"/>
              <w:widowControl w:val="0"/>
              <w:tabs>
                <w:tab w:val="left" w:pos="900"/>
              </w:tabs>
              <w:kinsoku/>
              <w:wordWrap/>
              <w:overflowPunct/>
              <w:topLinePunct w:val="0"/>
              <w:bidi w:val="0"/>
              <w:spacing w:line="380" w:lineRule="exact"/>
              <w:ind w:left="0" w:hanging="720"/>
              <w:textAlignment w:val="center"/>
              <w:outlineLvl w:val="2"/>
              <w:rPr>
                <w:rFonts w:hint="eastAsia" w:ascii="仿宋" w:hAnsi="仿宋" w:eastAsia="仿宋" w:cs="仿宋"/>
                <w:i w:val="0"/>
                <w:iCs w:val="0"/>
                <w:strike w:val="0"/>
                <w:dstrike w:val="0"/>
                <w:color w:val="auto"/>
                <w:sz w:val="24"/>
                <w:highlight w:val="none"/>
              </w:rPr>
            </w:pPr>
          </w:p>
        </w:tc>
        <w:tc>
          <w:tcPr>
            <w:tcW w:w="8370" w:type="dxa"/>
            <w:gridSpan w:val="3"/>
            <w:vAlign w:val="center"/>
          </w:tcPr>
          <w:p w14:paraId="5BF8AACD">
            <w:pPr>
              <w:pageBreakBefore w:val="0"/>
              <w:widowControl w:val="0"/>
              <w:kinsoku/>
              <w:wordWrap/>
              <w:overflowPunct/>
              <w:topLinePunct w:val="0"/>
              <w:bidi w:val="0"/>
              <w:spacing w:line="380" w:lineRule="exact"/>
              <w:ind w:left="0"/>
              <w:textAlignment w:val="center"/>
              <w:rPr>
                <w:rFonts w:hint="eastAsia" w:ascii="仿宋" w:hAnsi="仿宋" w:eastAsia="仿宋" w:cs="仿宋"/>
                <w:i w:val="0"/>
                <w:iCs w:val="0"/>
                <w:strike w:val="0"/>
                <w:dstrike w:val="0"/>
                <w:snapToGrid w:val="0"/>
                <w:color w:val="auto"/>
                <w:kern w:val="28"/>
                <w:sz w:val="24"/>
                <w:highlight w:val="none"/>
              </w:rPr>
            </w:pP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snapToGrid w:val="0"/>
                <w:color w:val="auto"/>
                <w:kern w:val="28"/>
                <w:sz w:val="24"/>
                <w:highlight w:val="none"/>
              </w:rPr>
              <w:t>联合体投标的，联合体各方均需按招标文件第五部分评标标准要求提供资信证明文件，否则视为不符合相关要求。</w:t>
            </w:r>
          </w:p>
          <w:p w14:paraId="221D9F75">
            <w:pPr>
              <w:pageBreakBefore w:val="0"/>
              <w:widowControl w:val="0"/>
              <w:kinsoku/>
              <w:wordWrap/>
              <w:overflowPunct/>
              <w:topLinePunct w:val="0"/>
              <w:bidi w:val="0"/>
              <w:spacing w:line="380" w:lineRule="exact"/>
              <w:ind w:left="0"/>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i w:val="0"/>
                <w:iCs w:val="0"/>
                <w:color w:val="auto"/>
                <w:kern w:val="0"/>
                <w:sz w:val="24"/>
                <w:highlight w:val="none"/>
                <w:lang w:eastAsia="zh-CN"/>
              </w:rPr>
              <w:t>☑</w:t>
            </w:r>
            <w:r>
              <w:rPr>
                <w:rFonts w:hint="eastAsia" w:ascii="仿宋" w:hAnsi="仿宋" w:eastAsia="仿宋" w:cs="仿宋"/>
                <w:i w:val="0"/>
                <w:iCs w:val="0"/>
                <w:strike w:val="0"/>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1C05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7BA69B46">
            <w:pPr>
              <w:pageBreakBefore w:val="0"/>
              <w:widowControl w:val="0"/>
              <w:kinsoku/>
              <w:wordWrap/>
              <w:overflowPunct/>
              <w:topLinePunct w:val="0"/>
              <w:bidi w:val="0"/>
              <w:spacing w:line="38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7</w:t>
            </w:r>
          </w:p>
        </w:tc>
        <w:tc>
          <w:tcPr>
            <w:tcW w:w="8370" w:type="dxa"/>
            <w:gridSpan w:val="3"/>
            <w:vAlign w:val="center"/>
          </w:tcPr>
          <w:p w14:paraId="3F3BFB67">
            <w:pPr>
              <w:pageBreakBefore w:val="0"/>
              <w:widowControl w:val="0"/>
              <w:shd w:val="clear"/>
              <w:kinsoku/>
              <w:wordWrap/>
              <w:overflowPunct/>
              <w:topLinePunct w:val="0"/>
              <w:bidi w:val="0"/>
              <w:spacing w:line="38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color w:val="auto"/>
                <w:sz w:val="24"/>
                <w:szCs w:val="24"/>
                <w:highlight w:val="none"/>
                <w:lang w:val="en-US" w:eastAsia="zh-CN"/>
              </w:rPr>
              <w:t>招标</w:t>
            </w:r>
            <w:r>
              <w:rPr>
                <w:rFonts w:hint="eastAsia" w:ascii="仿宋" w:hAnsi="仿宋" w:eastAsia="仿宋" w:cs="仿宋"/>
                <w:b/>
                <w:color w:val="auto"/>
                <w:sz w:val="24"/>
                <w:szCs w:val="24"/>
                <w:highlight w:val="none"/>
              </w:rPr>
              <w:t>代理服务费：</w:t>
            </w:r>
          </w:p>
          <w:p w14:paraId="03F4F318">
            <w:pPr>
              <w:pageBreakBefore w:val="0"/>
              <w:widowControl w:val="0"/>
              <w:shd w:val="clear"/>
              <w:kinsoku/>
              <w:wordWrap/>
              <w:overflowPunct/>
              <w:topLinePunct w:val="0"/>
              <w:bidi w:val="0"/>
              <w:spacing w:line="380" w:lineRule="exact"/>
              <w:textAlignment w:val="center"/>
              <w:rPr>
                <w:rFonts w:hint="eastAsia" w:ascii="仿宋" w:hAnsi="仿宋" w:eastAsia="仿宋" w:cs="仿宋"/>
                <w:b w:val="0"/>
                <w:bCs/>
                <w:color w:val="auto"/>
                <w:sz w:val="24"/>
                <w:szCs w:val="24"/>
                <w:highlight w:val="none"/>
                <w:u w:val="none"/>
              </w:rPr>
            </w:pPr>
            <w:r>
              <w:rPr>
                <w:rFonts w:hint="eastAsia" w:ascii="仿宋" w:hAnsi="仿宋" w:eastAsia="仿宋" w:cs="仿宋"/>
                <w:b w:val="0"/>
                <w:bCs/>
                <w:color w:val="auto"/>
                <w:sz w:val="24"/>
                <w:szCs w:val="24"/>
                <w:highlight w:val="none"/>
                <w:u w:val="none"/>
              </w:rPr>
              <w:t>中标人须向招标代理机构按如下标准和规定交纳代理服务费：</w:t>
            </w:r>
          </w:p>
          <w:p w14:paraId="53EC217E">
            <w:pPr>
              <w:pageBreakBefore w:val="0"/>
              <w:widowControl w:val="0"/>
              <w:shd w:val="clear"/>
              <w:kinsoku/>
              <w:wordWrap/>
              <w:overflowPunct/>
              <w:topLinePunct w:val="0"/>
              <w:bidi w:val="0"/>
              <w:spacing w:line="380" w:lineRule="exact"/>
              <w:textAlignment w:val="center"/>
              <w:rPr>
                <w:rFonts w:hint="eastAsia" w:ascii="仿宋" w:hAnsi="仿宋" w:eastAsia="仿宋" w:cs="仿宋"/>
                <w:b w:val="0"/>
                <w:bCs/>
                <w:color w:val="auto"/>
                <w:sz w:val="24"/>
                <w:szCs w:val="24"/>
                <w:highlight w:val="none"/>
                <w:u w:val="none"/>
              </w:rPr>
            </w:pPr>
            <w:r>
              <w:rPr>
                <w:rFonts w:hint="eastAsia" w:ascii="仿宋" w:hAnsi="仿宋" w:eastAsia="仿宋" w:cs="仿宋"/>
                <w:b w:val="0"/>
                <w:bCs/>
                <w:color w:val="auto"/>
                <w:sz w:val="24"/>
                <w:szCs w:val="24"/>
                <w:highlight w:val="none"/>
                <w:u w:val="none"/>
                <w:lang w:val="en-US" w:eastAsia="zh-CN"/>
              </w:rPr>
              <w:t>1.1</w:t>
            </w:r>
            <w:r>
              <w:rPr>
                <w:rFonts w:hint="eastAsia" w:ascii="仿宋" w:hAnsi="仿宋" w:eastAsia="仿宋" w:cs="仿宋"/>
                <w:b w:val="0"/>
                <w:bCs/>
                <w:color w:val="auto"/>
                <w:sz w:val="24"/>
                <w:szCs w:val="24"/>
                <w:highlight w:val="none"/>
                <w:u w:val="none"/>
                <w:lang w:eastAsia="zh-CN"/>
              </w:rPr>
              <w:t>中标金额在100万以下部分为1.5%，100万元到500万元部分为</w:t>
            </w:r>
            <w:r>
              <w:rPr>
                <w:rFonts w:hint="eastAsia" w:ascii="仿宋" w:hAnsi="仿宋" w:eastAsia="仿宋" w:cs="仿宋"/>
                <w:b w:val="0"/>
                <w:bCs/>
                <w:color w:val="auto"/>
                <w:sz w:val="24"/>
                <w:szCs w:val="24"/>
                <w:highlight w:val="none"/>
                <w:u w:val="none"/>
                <w:lang w:val="en-US" w:eastAsia="zh-CN"/>
              </w:rPr>
              <w:t>1.1</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5</w:t>
            </w:r>
            <w:r>
              <w:rPr>
                <w:rFonts w:hint="eastAsia" w:ascii="仿宋" w:hAnsi="仿宋" w:eastAsia="仿宋" w:cs="仿宋"/>
                <w:b w:val="0"/>
                <w:bCs/>
                <w:color w:val="auto"/>
                <w:sz w:val="24"/>
                <w:szCs w:val="24"/>
                <w:highlight w:val="none"/>
                <w:u w:val="none"/>
                <w:lang w:eastAsia="zh-CN"/>
              </w:rPr>
              <w:t>00万元到</w:t>
            </w:r>
            <w:r>
              <w:rPr>
                <w:rFonts w:hint="eastAsia" w:ascii="仿宋" w:hAnsi="仿宋" w:eastAsia="仿宋" w:cs="仿宋"/>
                <w:b w:val="0"/>
                <w:bCs/>
                <w:color w:val="auto"/>
                <w:sz w:val="24"/>
                <w:szCs w:val="24"/>
                <w:highlight w:val="none"/>
                <w:u w:val="none"/>
                <w:lang w:val="en-US" w:eastAsia="zh-CN"/>
              </w:rPr>
              <w:t>10</w:t>
            </w:r>
            <w:r>
              <w:rPr>
                <w:rFonts w:hint="eastAsia" w:ascii="仿宋" w:hAnsi="仿宋" w:eastAsia="仿宋" w:cs="仿宋"/>
                <w:b w:val="0"/>
                <w:bCs/>
                <w:color w:val="auto"/>
                <w:sz w:val="24"/>
                <w:szCs w:val="24"/>
                <w:highlight w:val="none"/>
                <w:u w:val="none"/>
                <w:lang w:eastAsia="zh-CN"/>
              </w:rPr>
              <w:t>00万元部分为</w:t>
            </w:r>
            <w:r>
              <w:rPr>
                <w:rFonts w:hint="eastAsia" w:ascii="仿宋" w:hAnsi="仿宋" w:eastAsia="仿宋" w:cs="仿宋"/>
                <w:b w:val="0"/>
                <w:bCs/>
                <w:color w:val="auto"/>
                <w:sz w:val="24"/>
                <w:szCs w:val="24"/>
                <w:highlight w:val="none"/>
                <w:u w:val="none"/>
                <w:lang w:val="en-US" w:eastAsia="zh-CN"/>
              </w:rPr>
              <w:t>0.8</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1000万元到5000万元部分为0.5％</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的收费基准价格的70%×（1-11%）</w:t>
            </w:r>
            <w:r>
              <w:rPr>
                <w:rFonts w:hint="eastAsia" w:ascii="仿宋" w:hAnsi="仿宋" w:eastAsia="仿宋" w:cs="仿宋"/>
                <w:b w:val="0"/>
                <w:bCs/>
                <w:color w:val="auto"/>
                <w:sz w:val="24"/>
                <w:szCs w:val="24"/>
                <w:highlight w:val="none"/>
                <w:u w:val="none"/>
              </w:rPr>
              <w:t>执行，代理服务费少于5000元时，按5000元计取。</w:t>
            </w:r>
          </w:p>
          <w:p w14:paraId="39D161C5">
            <w:pPr>
              <w:pageBreakBefore w:val="0"/>
              <w:widowControl w:val="0"/>
              <w:shd w:val="clear" w:color="auto" w:fill="auto"/>
              <w:kinsoku/>
              <w:wordWrap/>
              <w:overflowPunct/>
              <w:topLinePunct w:val="0"/>
              <w:bidi w:val="0"/>
              <w:adjustRightInd/>
              <w:spacing w:line="380" w:lineRule="exact"/>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1.2</w:t>
            </w:r>
            <w:r>
              <w:rPr>
                <w:rFonts w:hint="eastAsia" w:ascii="仿宋" w:hAnsi="仿宋" w:eastAsia="仿宋" w:cs="仿宋"/>
                <w:color w:val="auto"/>
                <w:sz w:val="24"/>
                <w:szCs w:val="24"/>
                <w:highlight w:val="none"/>
                <w:u w:val="none"/>
              </w:rPr>
              <w:t>代理服务费的交纳方式：</w:t>
            </w:r>
          </w:p>
          <w:p w14:paraId="2F38D4EE">
            <w:pPr>
              <w:pageBreakBefore w:val="0"/>
              <w:widowControl w:val="0"/>
              <w:shd w:val="clear" w:color="auto" w:fill="auto"/>
              <w:kinsoku/>
              <w:wordWrap/>
              <w:overflowPunct/>
              <w:topLinePunct w:val="0"/>
              <w:bidi w:val="0"/>
              <w:adjustRightInd/>
              <w:spacing w:line="380" w:lineRule="exact"/>
              <w:rPr>
                <w:rFonts w:hint="eastAsia" w:ascii="仿宋" w:hAnsi="仿宋" w:eastAsia="仿宋" w:cs="仿宋"/>
                <w:color w:val="auto"/>
                <w:kern w:val="0"/>
                <w:sz w:val="24"/>
                <w:szCs w:val="24"/>
                <w:highlight w:val="none"/>
                <w:u w:val="none"/>
                <w:lang w:bidi="ar-SA"/>
              </w:rPr>
            </w:pPr>
            <w:r>
              <w:rPr>
                <w:rFonts w:hint="eastAsia" w:ascii="仿宋" w:hAnsi="仿宋" w:eastAsia="仿宋" w:cs="仿宋"/>
                <w:color w:val="auto"/>
                <w:kern w:val="0"/>
                <w:sz w:val="24"/>
                <w:szCs w:val="24"/>
                <w:highlight w:val="none"/>
                <w:u w:val="none"/>
                <w:lang w:bidi="ar-SA"/>
              </w:rPr>
              <w:t>用银行支票、汇票、电汇、现金等付款方式直接交纳代理服务费。</w:t>
            </w:r>
          </w:p>
          <w:p w14:paraId="3443AB3E">
            <w:pPr>
              <w:pageBreakBefore w:val="0"/>
              <w:widowControl w:val="0"/>
              <w:shd w:val="clear" w:color="auto" w:fill="auto"/>
              <w:kinsoku/>
              <w:wordWrap/>
              <w:overflowPunct/>
              <w:topLinePunct w:val="0"/>
              <w:bidi w:val="0"/>
              <w:adjustRightInd/>
              <w:spacing w:line="380" w:lineRule="exact"/>
              <w:rPr>
                <w:rFonts w:hint="eastAsia" w:ascii="仿宋" w:hAnsi="仿宋" w:eastAsia="仿宋" w:cs="仿宋"/>
                <w:color w:val="auto"/>
                <w:kern w:val="0"/>
                <w:sz w:val="24"/>
                <w:szCs w:val="24"/>
                <w:highlight w:val="none"/>
                <w:u w:val="none"/>
                <w:lang w:val="en-US" w:eastAsia="zh-CN" w:bidi="ar-SA"/>
              </w:rPr>
            </w:pPr>
            <w:r>
              <w:rPr>
                <w:rFonts w:hint="eastAsia" w:ascii="仿宋" w:hAnsi="仿宋" w:eastAsia="仿宋" w:cs="仿宋"/>
                <w:color w:val="auto"/>
                <w:kern w:val="0"/>
                <w:sz w:val="24"/>
                <w:szCs w:val="24"/>
                <w:highlight w:val="none"/>
                <w:u w:val="none"/>
                <w:lang w:bidi="ar-SA"/>
              </w:rPr>
              <w:t>公司名称：</w:t>
            </w:r>
            <w:r>
              <w:rPr>
                <w:rFonts w:hint="eastAsia" w:ascii="仿宋" w:hAnsi="仿宋" w:eastAsia="仿宋" w:cs="仿宋"/>
                <w:color w:val="auto"/>
                <w:kern w:val="0"/>
                <w:sz w:val="24"/>
                <w:szCs w:val="24"/>
                <w:highlight w:val="none"/>
                <w:u w:val="none"/>
                <w:lang w:eastAsia="zh-CN" w:bidi="ar-SA"/>
              </w:rPr>
              <w:t>浙江翔实建设项目管理有限公司</w:t>
            </w:r>
          </w:p>
          <w:p w14:paraId="118DE0EF">
            <w:pPr>
              <w:pageBreakBefore w:val="0"/>
              <w:widowControl w:val="0"/>
              <w:shd w:val="clear" w:color="auto" w:fill="auto"/>
              <w:kinsoku/>
              <w:wordWrap/>
              <w:overflowPunct/>
              <w:topLinePunct w:val="0"/>
              <w:bidi w:val="0"/>
              <w:adjustRightInd/>
              <w:spacing w:line="380" w:lineRule="exact"/>
              <w:rPr>
                <w:rFonts w:hint="eastAsia" w:ascii="仿宋" w:hAnsi="仿宋" w:eastAsia="仿宋" w:cs="仿宋"/>
                <w:color w:val="auto"/>
                <w:sz w:val="24"/>
                <w:szCs w:val="24"/>
                <w:highlight w:val="none"/>
                <w:u w:val="none"/>
                <w:lang w:bidi="ar-SA"/>
              </w:rPr>
            </w:pPr>
            <w:r>
              <w:rPr>
                <w:rFonts w:hint="eastAsia" w:ascii="仿宋" w:hAnsi="仿宋" w:eastAsia="仿宋" w:cs="仿宋"/>
                <w:color w:val="auto"/>
                <w:sz w:val="24"/>
                <w:szCs w:val="24"/>
                <w:highlight w:val="none"/>
                <w:u w:val="none"/>
                <w:lang w:bidi="ar-SA"/>
              </w:rPr>
              <w:t>账号:</w:t>
            </w:r>
            <w:r>
              <w:rPr>
                <w:rFonts w:hint="eastAsia" w:ascii="仿宋" w:hAnsi="仿宋" w:eastAsia="仿宋" w:cs="仿宋"/>
                <w:color w:val="auto"/>
                <w:sz w:val="24"/>
                <w:szCs w:val="24"/>
                <w:highlight w:val="none"/>
              </w:rPr>
              <w:t>33001653549053003519</w:t>
            </w:r>
          </w:p>
          <w:p w14:paraId="2A976109">
            <w:pPr>
              <w:pageBreakBefore w:val="0"/>
              <w:widowControl w:val="0"/>
              <w:shd w:val="clear" w:color="auto" w:fill="auto"/>
              <w:kinsoku/>
              <w:wordWrap/>
              <w:overflowPunct/>
              <w:topLinePunct w:val="0"/>
              <w:bidi w:val="0"/>
              <w:adjustRightInd/>
              <w:spacing w:line="3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开户行：建行绍兴越城支行</w:t>
            </w:r>
          </w:p>
          <w:p w14:paraId="3C6D4FA8">
            <w:pPr>
              <w:pageBreakBefore w:val="0"/>
              <w:widowControl w:val="0"/>
              <w:shd w:val="clear"/>
              <w:kinsoku/>
              <w:wordWrap/>
              <w:overflowPunct/>
              <w:topLinePunct w:val="0"/>
              <w:bidi w:val="0"/>
              <w:spacing w:line="380" w:lineRule="exact"/>
              <w:textAlignment w:val="center"/>
              <w:rPr>
                <w:rFonts w:hint="eastAsia" w:ascii="仿宋" w:hAnsi="仿宋" w:eastAsia="仿宋" w:cs="仿宋"/>
                <w:b w:val="0"/>
                <w:bCs/>
                <w:color w:val="auto"/>
                <w:sz w:val="24"/>
                <w:szCs w:val="24"/>
                <w:highlight w:val="none"/>
                <w:u w:val="none"/>
                <w:lang w:val="en-US" w:eastAsia="zh-CN"/>
              </w:rPr>
            </w:pPr>
            <w:r>
              <w:rPr>
                <w:rFonts w:hint="eastAsia" w:ascii="仿宋" w:hAnsi="仿宋" w:eastAsia="仿宋" w:cs="仿宋"/>
                <w:color w:val="auto"/>
                <w:sz w:val="24"/>
                <w:szCs w:val="24"/>
                <w:highlight w:val="none"/>
                <w:u w:val="none"/>
                <w:lang w:val="en-US" w:eastAsia="zh-CN"/>
              </w:rPr>
              <w:t>1</w:t>
            </w:r>
            <w:r>
              <w:rPr>
                <w:rFonts w:hint="eastAsia" w:ascii="仿宋" w:hAnsi="仿宋" w:eastAsia="仿宋" w:cs="仿宋"/>
                <w:b w:val="0"/>
                <w:bCs/>
                <w:color w:val="auto"/>
                <w:sz w:val="24"/>
                <w:szCs w:val="24"/>
                <w:highlight w:val="none"/>
                <w:u w:val="none"/>
                <w:lang w:val="en-US" w:eastAsia="zh-CN"/>
              </w:rPr>
              <w:t>.3代理服务费的交纳时间：领取中标通知书前交纳。</w:t>
            </w:r>
          </w:p>
          <w:p w14:paraId="21249667">
            <w:pPr>
              <w:pageBreakBefore w:val="0"/>
              <w:widowControl w:val="0"/>
              <w:shd w:val="clear"/>
              <w:kinsoku/>
              <w:wordWrap/>
              <w:overflowPunct/>
              <w:topLinePunct w:val="0"/>
              <w:bidi w:val="0"/>
              <w:spacing w:line="380" w:lineRule="exact"/>
              <w:textAlignment w:val="center"/>
              <w:rPr>
                <w:rFonts w:hint="eastAsia" w:ascii="仿宋" w:hAnsi="仿宋" w:eastAsia="仿宋" w:cs="仿宋"/>
                <w:highlight w:val="none"/>
              </w:rPr>
            </w:pPr>
            <w:r>
              <w:rPr>
                <w:rFonts w:hint="eastAsia" w:ascii="仿宋" w:hAnsi="仿宋" w:eastAsia="仿宋" w:cs="仿宋"/>
                <w:b/>
                <w:bCs w:val="0"/>
                <w:color w:val="auto"/>
                <w:sz w:val="24"/>
                <w:szCs w:val="24"/>
                <w:highlight w:val="none"/>
                <w:u w:val="none"/>
                <w:lang w:val="en-US" w:eastAsia="zh-CN"/>
              </w:rPr>
              <w:t>2.系统使用费：</w:t>
            </w:r>
            <w:r>
              <w:rPr>
                <w:rFonts w:hint="eastAsia" w:ascii="仿宋" w:hAnsi="仿宋" w:eastAsia="仿宋" w:cs="仿宋"/>
                <w:b w:val="0"/>
                <w:bCs/>
                <w:color w:val="auto"/>
                <w:sz w:val="24"/>
                <w:szCs w:val="24"/>
                <w:highlight w:val="none"/>
                <w:u w:val="none"/>
                <w:lang w:val="en-US" w:eastAsia="zh-CN"/>
              </w:rPr>
              <w:t>平台系统使用费收取按照绍兴市阳光采购服务平台公示的收费标准执行（https://ygcg.sxjypt.com/detail?articleId=347），本项目成交系统使用费为每标段1500元。中标人在系统使用费订单生成后五日内未完成支付的，招标人有权取消其中标资格。</w:t>
            </w:r>
          </w:p>
        </w:tc>
      </w:tr>
      <w:tr w14:paraId="5C0C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D6B6B3">
            <w:pPr>
              <w:pageBreakBefore w:val="0"/>
              <w:widowControl w:val="0"/>
              <w:kinsoku/>
              <w:wordWrap/>
              <w:overflowPunct/>
              <w:topLinePunct w:val="0"/>
              <w:bidi w:val="0"/>
              <w:spacing w:line="380" w:lineRule="exact"/>
              <w:ind w:left="0"/>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18</w:t>
            </w:r>
          </w:p>
        </w:tc>
        <w:tc>
          <w:tcPr>
            <w:tcW w:w="8370" w:type="dxa"/>
            <w:gridSpan w:val="3"/>
            <w:vAlign w:val="center"/>
          </w:tcPr>
          <w:p w14:paraId="4342B882">
            <w:pPr>
              <w:pageBreakBefore w:val="0"/>
              <w:widowControl w:val="0"/>
              <w:kinsoku/>
              <w:wordWrap/>
              <w:overflowPunct/>
              <w:topLinePunct w:val="0"/>
              <w:bidi w:val="0"/>
              <w:spacing w:line="380" w:lineRule="exact"/>
              <w:ind w:left="0"/>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39FF9B65">
            <w:pPr>
              <w:pageBreakBefore w:val="0"/>
              <w:widowControl w:val="0"/>
              <w:kinsoku/>
              <w:wordWrap/>
              <w:overflowPunct/>
              <w:topLinePunct w:val="0"/>
              <w:bidi w:val="0"/>
              <w:spacing w:line="380" w:lineRule="exact"/>
              <w:ind w:left="0"/>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如遇两家（含）以上已签到</w:t>
            </w:r>
            <w:r>
              <w:rPr>
                <w:rFonts w:hint="eastAsia" w:ascii="仿宋" w:hAnsi="仿宋" w:eastAsia="仿宋" w:cs="仿宋"/>
                <w:b/>
                <w:i w:val="0"/>
                <w:iCs w:val="0"/>
                <w:color w:val="auto"/>
                <w:sz w:val="24"/>
                <w:highlight w:val="none"/>
                <w:u w:val="none"/>
                <w:lang w:eastAsia="zh-CN"/>
              </w:rPr>
              <w:t>投标人</w:t>
            </w:r>
            <w:r>
              <w:rPr>
                <w:rFonts w:hint="eastAsia" w:ascii="仿宋" w:hAnsi="仿宋" w:eastAsia="仿宋" w:cs="仿宋"/>
                <w:b/>
                <w:i w:val="0"/>
                <w:iCs w:val="0"/>
                <w:color w:val="auto"/>
                <w:sz w:val="24"/>
                <w:highlight w:val="none"/>
                <w:u w:val="none"/>
              </w:rPr>
              <w:t>的IP地址相同，系统自动触发预警，并提示"响应无效"的当场拒收此类响应文件。</w:t>
            </w:r>
          </w:p>
        </w:tc>
      </w:tr>
      <w:tr w14:paraId="63D0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4"/>
            <w:vAlign w:val="center"/>
          </w:tcPr>
          <w:p w14:paraId="0784C1B8">
            <w:pPr>
              <w:pageBreakBefore w:val="0"/>
              <w:widowControl w:val="0"/>
              <w:kinsoku/>
              <w:wordWrap/>
              <w:overflowPunct/>
              <w:topLinePunct w:val="0"/>
              <w:bidi w:val="0"/>
              <w:spacing w:line="38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招标人</w:t>
            </w:r>
            <w:r>
              <w:rPr>
                <w:rFonts w:hint="eastAsia" w:ascii="仿宋" w:hAnsi="仿宋" w:eastAsia="仿宋" w:cs="仿宋"/>
                <w:i w:val="0"/>
                <w:iCs w:val="0"/>
                <w:color w:val="auto"/>
                <w:sz w:val="24"/>
                <w:highlight w:val="none"/>
              </w:rPr>
              <w:t>。</w:t>
            </w:r>
          </w:p>
        </w:tc>
      </w:tr>
      <w:tr w14:paraId="6C69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4"/>
            <w:vAlign w:val="center"/>
          </w:tcPr>
          <w:p w14:paraId="013A0C70">
            <w:pPr>
              <w:pageBreakBefore w:val="0"/>
              <w:widowControl w:val="0"/>
              <w:kinsoku/>
              <w:wordWrap/>
              <w:overflowPunct/>
              <w:topLinePunct w:val="0"/>
              <w:bidi w:val="0"/>
              <w:spacing w:line="380" w:lineRule="exact"/>
              <w:ind w:left="0"/>
              <w:textAlignment w:val="center"/>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放弃中标资格或因质疑、投诉被取消中标资格或不能履行合同的，本项目</w:t>
            </w:r>
            <w:r>
              <w:rPr>
                <w:rFonts w:hint="eastAsia" w:ascii="仿宋" w:hAnsi="仿宋" w:eastAsia="仿宋" w:cs="仿宋"/>
                <w:b/>
                <w:i w:val="0"/>
                <w:iCs w:val="0"/>
                <w:color w:val="auto"/>
                <w:sz w:val="24"/>
                <w:highlight w:val="none"/>
                <w:u w:val="none"/>
                <w:lang w:val="en-US" w:eastAsia="zh-CN"/>
              </w:rPr>
              <w:t>重新组织采购</w:t>
            </w:r>
            <w:r>
              <w:rPr>
                <w:rFonts w:hint="eastAsia" w:ascii="仿宋" w:hAnsi="仿宋" w:eastAsia="仿宋" w:cs="仿宋"/>
                <w:b/>
                <w:i w:val="0"/>
                <w:iCs w:val="0"/>
                <w:color w:val="auto"/>
                <w:sz w:val="24"/>
                <w:highlight w:val="none"/>
                <w:u w:val="none"/>
              </w:rPr>
              <w:t>。</w:t>
            </w:r>
          </w:p>
        </w:tc>
      </w:tr>
      <w:bookmarkEnd w:id="9"/>
    </w:tbl>
    <w:p w14:paraId="1143AC2E">
      <w:pPr>
        <w:jc w:val="center"/>
        <w:rPr>
          <w:rFonts w:hint="eastAsia" w:ascii="仿宋" w:hAnsi="仿宋" w:eastAsia="仿宋" w:cs="仿宋"/>
          <w:b/>
          <w:i w:val="0"/>
          <w:iCs w:val="0"/>
          <w:color w:val="auto"/>
          <w:sz w:val="32"/>
          <w:szCs w:val="32"/>
          <w:highlight w:val="none"/>
        </w:rPr>
      </w:pPr>
      <w:bookmarkStart w:id="18" w:name="_Hlt68057669"/>
      <w:bookmarkEnd w:id="18"/>
      <w:bookmarkStart w:id="19" w:name="_Hlt74730295"/>
      <w:bookmarkEnd w:id="19"/>
      <w:bookmarkStart w:id="20" w:name="_Hlt68073093"/>
      <w:bookmarkEnd w:id="20"/>
      <w:bookmarkStart w:id="21" w:name="_Hlt68072990"/>
      <w:bookmarkEnd w:id="21"/>
      <w:bookmarkStart w:id="22" w:name="_Hlt75236290"/>
      <w:bookmarkEnd w:id="22"/>
      <w:bookmarkStart w:id="23" w:name="_Hlt68072998"/>
      <w:bookmarkEnd w:id="23"/>
      <w:bookmarkStart w:id="24" w:name="_Hlt68403820"/>
      <w:bookmarkEnd w:id="24"/>
      <w:bookmarkStart w:id="25" w:name="_Hlt75236011"/>
      <w:bookmarkEnd w:id="25"/>
      <w:bookmarkStart w:id="26" w:name="_Hlt75236101"/>
      <w:bookmarkEnd w:id="26"/>
      <w:bookmarkStart w:id="27" w:name="_Hlt74729768"/>
      <w:bookmarkEnd w:id="27"/>
      <w:bookmarkStart w:id="28" w:name="_Hlt74714665"/>
      <w:bookmarkEnd w:id="28"/>
      <w:bookmarkStart w:id="29" w:name="_Hlt74707468"/>
      <w:bookmarkEnd w:id="29"/>
      <w:bookmarkStart w:id="30" w:name="_Toc164416483"/>
      <w:bookmarkStart w:id="31" w:name="第三部分"/>
    </w:p>
    <w:p w14:paraId="0C1F0D15">
      <w:pPr>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br w:type="page"/>
      </w:r>
    </w:p>
    <w:p w14:paraId="6C3B3CD7">
      <w:pPr>
        <w:jc w:val="center"/>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一、总</w:t>
      </w:r>
      <w:r>
        <w:rPr>
          <w:rFonts w:hint="eastAsia" w:ascii="仿宋" w:hAnsi="仿宋" w:eastAsia="仿宋" w:cs="仿宋"/>
          <w:b/>
          <w:i w:val="0"/>
          <w:iCs w:val="0"/>
          <w:color w:val="auto"/>
          <w:sz w:val="32"/>
          <w:szCs w:val="32"/>
          <w:highlight w:val="none"/>
          <w:lang w:val="en-US" w:eastAsia="zh-CN"/>
        </w:rPr>
        <w:t xml:space="preserve"> </w:t>
      </w:r>
      <w:r>
        <w:rPr>
          <w:rFonts w:hint="eastAsia" w:ascii="仿宋" w:hAnsi="仿宋" w:eastAsia="仿宋" w:cs="仿宋"/>
          <w:b/>
          <w:i w:val="0"/>
          <w:iCs w:val="0"/>
          <w:color w:val="auto"/>
          <w:sz w:val="32"/>
          <w:szCs w:val="32"/>
          <w:highlight w:val="none"/>
        </w:rPr>
        <w:t>则</w:t>
      </w:r>
    </w:p>
    <w:p w14:paraId="1154ED49">
      <w:pPr>
        <w:snapToGrid w:val="0"/>
        <w:spacing w:line="440" w:lineRule="exact"/>
        <w:jc w:val="left"/>
        <w:outlineLvl w:val="1"/>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1.适用范围</w:t>
      </w:r>
    </w:p>
    <w:p w14:paraId="40FFE072">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5498616D">
      <w:pPr>
        <w:adjustRightInd/>
        <w:spacing w:line="440" w:lineRule="exact"/>
        <w:outlineLvl w:val="0"/>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2.定义</w:t>
      </w:r>
    </w:p>
    <w:p w14:paraId="403D2B84">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”系指招标公告中载明的本项目的</w:t>
      </w:r>
      <w:r>
        <w:rPr>
          <w:rFonts w:hint="eastAsia" w:ascii="仿宋" w:hAnsi="仿宋" w:eastAsia="仿宋" w:cs="仿宋"/>
          <w:i w:val="0"/>
          <w:iCs w:val="0"/>
          <w:color w:val="auto"/>
          <w:sz w:val="24"/>
          <w:highlight w:val="none"/>
          <w:lang w:val="en-US" w:eastAsia="zh-CN"/>
        </w:rPr>
        <w:t>招标人</w:t>
      </w:r>
      <w:r>
        <w:rPr>
          <w:rFonts w:hint="eastAsia" w:ascii="仿宋" w:hAnsi="仿宋" w:eastAsia="仿宋" w:cs="仿宋"/>
          <w:i w:val="0"/>
          <w:iCs w:val="0"/>
          <w:color w:val="auto"/>
          <w:sz w:val="24"/>
          <w:highlight w:val="none"/>
        </w:rPr>
        <w:t>。</w:t>
      </w:r>
    </w:p>
    <w:p w14:paraId="3F393C29">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”系指招标公告中载明的本项目的</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w:t>
      </w:r>
    </w:p>
    <w:p w14:paraId="1132BED3">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”“投标单位”系指是指响应招标、参加投标竞争的法人、其他组织或者自然人。</w:t>
      </w:r>
    </w:p>
    <w:p w14:paraId="56824326">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1DF865F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”系指数据电文中以电子形式所含、所附用于识别签名人身份并表明签</w:t>
      </w:r>
      <w:r>
        <w:rPr>
          <w:rFonts w:hint="eastAsia" w:ascii="仿宋" w:hAnsi="仿宋" w:eastAsia="仿宋" w:cs="仿宋"/>
          <w:i w:val="0"/>
          <w:iCs w:val="0"/>
          <w:color w:val="auto"/>
          <w:sz w:val="24"/>
          <w:highlight w:val="none"/>
          <w:lang w:val="en-US"/>
        </w:rPr>
        <w:t>名</w:t>
      </w:r>
      <w:r>
        <w:rPr>
          <w:rFonts w:hint="eastAsia"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hint="eastAsia" w:ascii="仿宋" w:hAnsi="仿宋" w:eastAsia="仿宋" w:cs="仿宋"/>
          <w:i w:val="0"/>
          <w:iCs w:val="0"/>
          <w:color w:val="auto"/>
          <w:sz w:val="24"/>
          <w:highlight w:val="none"/>
        </w:rPr>
        <w:t>）。</w:t>
      </w:r>
    </w:p>
    <w:p w14:paraId="1267B0A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hint="eastAsia" w:ascii="仿宋" w:hAnsi="仿宋" w:eastAsia="仿宋" w:cs="仿宋"/>
          <w:i w:val="0"/>
          <w:iCs w:val="0"/>
          <w:color w:val="auto"/>
          <w:sz w:val="24"/>
          <w:highlight w:val="none"/>
        </w:rPr>
        <w:t>“电子交易平台”系指本项目</w:t>
      </w:r>
      <w:r>
        <w:rPr>
          <w:rFonts w:hint="eastAsia" w:ascii="仿宋" w:hAnsi="仿宋" w:eastAsia="仿宋" w:cs="仿宋"/>
          <w:i w:val="0"/>
          <w:iCs w:val="0"/>
          <w:color w:val="auto"/>
          <w:sz w:val="24"/>
          <w:highlight w:val="none"/>
          <w:lang w:val="en-US" w:eastAsia="zh-CN"/>
        </w:rPr>
        <w:t>招标</w:t>
      </w:r>
      <w:r>
        <w:rPr>
          <w:rFonts w:hint="eastAsia" w:ascii="仿宋" w:hAnsi="仿宋" w:eastAsia="仿宋" w:cs="仿宋"/>
          <w:i w:val="0"/>
          <w:iCs w:val="0"/>
          <w:color w:val="auto"/>
          <w:sz w:val="24"/>
          <w:highlight w:val="none"/>
        </w:rPr>
        <w:t>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w:t>
      </w:r>
    </w:p>
    <w:p w14:paraId="230113A8">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rPr>
        <w:t>“★”系指实质性指标要求条款，“▲”系指主要性能指标要求条款。如任意一条打“★”的指标出现负偏离视为实质性不响应招标文件要求，作无效投标处理；如任意一条打“▲”的指标出现负偏离按评分标准作扣分处理。“☑”系指适用本项目的要求，“☐”系指不适用本项目的要求。</w:t>
      </w:r>
    </w:p>
    <w:p w14:paraId="0F57083B">
      <w:pPr>
        <w:spacing w:line="440" w:lineRule="exact"/>
        <w:rPr>
          <w:rFonts w:hint="eastAsia" w:ascii="仿宋" w:hAnsi="仿宋" w:eastAsia="仿宋" w:cs="仿宋"/>
          <w:b/>
          <w:bCs/>
          <w:i w:val="0"/>
          <w:iCs w:val="0"/>
          <w:color w:val="auto"/>
          <w:kern w:val="2"/>
          <w:sz w:val="24"/>
          <w:highlight w:val="none"/>
          <w:u w:val="none"/>
          <w:lang w:eastAsia="zh-CN"/>
        </w:rPr>
      </w:pPr>
      <w:r>
        <w:rPr>
          <w:rFonts w:hint="eastAsia" w:ascii="仿宋" w:hAnsi="仿宋" w:eastAsia="仿宋" w:cs="仿宋"/>
          <w:b/>
          <w:i w:val="0"/>
          <w:iCs w:val="0"/>
          <w:color w:val="auto"/>
          <w:sz w:val="24"/>
          <w:highlight w:val="none"/>
        </w:rPr>
        <w:t>3.项目需要落实的</w:t>
      </w:r>
      <w:r>
        <w:rPr>
          <w:rFonts w:hint="eastAsia" w:ascii="仿宋" w:hAnsi="仿宋" w:eastAsia="仿宋" w:cs="仿宋"/>
          <w:b/>
          <w:i w:val="0"/>
          <w:iCs w:val="0"/>
          <w:color w:val="auto"/>
          <w:sz w:val="24"/>
          <w:highlight w:val="none"/>
          <w:lang w:eastAsia="zh-CN"/>
        </w:rPr>
        <w:t>招标政策：</w:t>
      </w:r>
      <w:r>
        <w:rPr>
          <w:rFonts w:hint="eastAsia" w:ascii="仿宋" w:hAnsi="仿宋" w:eastAsia="仿宋" w:cs="仿宋"/>
          <w:b/>
          <w:bCs/>
          <w:i w:val="0"/>
          <w:iCs w:val="0"/>
          <w:color w:val="auto"/>
          <w:kern w:val="2"/>
          <w:sz w:val="24"/>
          <w:highlight w:val="none"/>
          <w:u w:val="none"/>
          <w:lang w:val="en-US" w:eastAsia="zh-CN"/>
        </w:rPr>
        <w:t>无</w:t>
      </w:r>
    </w:p>
    <w:p w14:paraId="58BAE4E2">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★4.特别说明：</w:t>
      </w:r>
    </w:p>
    <w:p w14:paraId="00D4271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应仔细阅读招标文件的所有内容，按照招标文件的要求提交投标文件，并对所提供的全部资料的真实性承担法律责任。</w:t>
      </w:r>
    </w:p>
    <w:p w14:paraId="1D92D262">
      <w:pPr>
        <w:pStyle w:val="131"/>
        <w:snapToGrid w:val="0"/>
        <w:spacing w:before="0" w:line="440" w:lineRule="exact"/>
        <w:ind w:firstLine="640"/>
        <w:rPr>
          <w:rFonts w:hint="eastAsia" w:ascii="仿宋" w:hAnsi="仿宋" w:eastAsia="仿宋" w:cs="仿宋"/>
          <w:i w:val="0"/>
          <w:iCs w:val="0"/>
          <w:color w:val="auto"/>
          <w:sz w:val="32"/>
          <w:szCs w:val="32"/>
          <w:highlight w:val="none"/>
        </w:rPr>
      </w:pPr>
    </w:p>
    <w:p w14:paraId="6AD17B14">
      <w:pPr>
        <w:adjustRightInd/>
        <w:spacing w:line="360" w:lineRule="auto"/>
        <w:jc w:val="center"/>
        <w:outlineLvl w:val="0"/>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7AD16E7B">
      <w:pPr>
        <w:snapToGrid/>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招标方</w:t>
      </w:r>
      <w:r>
        <w:rPr>
          <w:rFonts w:hint="eastAsia" w:ascii="仿宋" w:hAnsi="仿宋" w:eastAsia="仿宋" w:cs="仿宋"/>
          <w:b/>
          <w:i w:val="0"/>
          <w:iCs w:val="0"/>
          <w:color w:val="auto"/>
          <w:sz w:val="24"/>
          <w:highlight w:val="none"/>
        </w:rPr>
        <w:t>式</w:t>
      </w:r>
    </w:p>
    <w:p w14:paraId="063867F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1.1本次招标采用公开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279DC15A">
      <w:pPr>
        <w:spacing w:line="440" w:lineRule="exact"/>
        <w:ind w:firstLine="480" w:firstLineChars="200"/>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1.</w:t>
      </w:r>
      <w:r>
        <w:rPr>
          <w:rFonts w:hint="eastAsia" w:ascii="仿宋" w:hAnsi="仿宋" w:eastAsia="仿宋" w:cs="仿宋"/>
          <w:i w:val="0"/>
          <w:iCs w:val="0"/>
          <w:strike/>
          <w:color w:val="auto"/>
          <w:sz w:val="24"/>
          <w:highlight w:val="none"/>
          <w:lang w:val="en-US" w:eastAsia="zh-CN"/>
        </w:rPr>
        <w:t>2</w:t>
      </w:r>
      <w:r>
        <w:rPr>
          <w:rFonts w:hint="eastAsia" w:ascii="仿宋" w:hAnsi="仿宋" w:eastAsia="仿宋" w:cs="仿宋"/>
          <w:i w:val="0"/>
          <w:iCs w:val="0"/>
          <w:strike/>
          <w:color w:val="auto"/>
          <w:sz w:val="24"/>
          <w:highlight w:val="none"/>
        </w:rPr>
        <w:t>本次招标设定限价，即招标公告中公布的各标项预算金额或最高限价（各标项之间的预算金额不能互相调整）。</w:t>
      </w:r>
    </w:p>
    <w:p w14:paraId="61A928E2">
      <w:pPr>
        <w:snapToGrid/>
        <w:spacing w:line="440" w:lineRule="exact"/>
        <w:ind w:firstLine="0" w:firstLineChars="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2.授权委托</w:t>
      </w:r>
    </w:p>
    <w:p w14:paraId="5E390A32">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的法定代表人或其授权代表或个体工商户不需要参加现场投标和开标。</w:t>
      </w:r>
    </w:p>
    <w:p w14:paraId="718AE329">
      <w:pPr>
        <w:snapToGrid/>
        <w:spacing w:line="240" w:lineRule="auto"/>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3.投标费用</w:t>
      </w:r>
    </w:p>
    <w:p w14:paraId="3BFB0B59">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对上述费用不负任何责任。</w:t>
      </w:r>
    </w:p>
    <w:p w14:paraId="360000DA">
      <w:pPr>
        <w:snapToGrid/>
        <w:spacing w:line="240" w:lineRule="auto"/>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4.招标文件的澄清</w:t>
      </w:r>
      <w:r>
        <w:rPr>
          <w:rFonts w:hint="eastAsia" w:ascii="仿宋" w:hAnsi="仿宋" w:eastAsia="仿宋" w:cs="仿宋"/>
          <w:b/>
          <w:i w:val="0"/>
          <w:iCs w:val="0"/>
          <w:color w:val="auto"/>
          <w:sz w:val="24"/>
          <w:highlight w:val="none"/>
          <w:lang w:val="en-US" w:eastAsia="zh-CN"/>
        </w:rPr>
        <w:t>与</w:t>
      </w:r>
      <w:r>
        <w:rPr>
          <w:rFonts w:hint="eastAsia" w:ascii="仿宋" w:hAnsi="仿宋" w:eastAsia="仿宋" w:cs="仿宋"/>
          <w:b/>
          <w:i w:val="0"/>
          <w:iCs w:val="0"/>
          <w:color w:val="auto"/>
          <w:sz w:val="24"/>
          <w:highlight w:val="none"/>
        </w:rPr>
        <w:t>修改</w:t>
      </w:r>
    </w:p>
    <w:p w14:paraId="1958BD73">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4.1招标文件包括本招标文件及所有的招标答疑记录（澄清、修改）和发出的补充通知。</w:t>
      </w:r>
    </w:p>
    <w:p w14:paraId="27FA5066">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4.2招标文件的澄清</w:t>
      </w:r>
    </w:p>
    <w:p w14:paraId="7A853E94">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hint="eastAsia"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招标人或招标代理机构</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招标人或招标代理机构</w:t>
      </w:r>
      <w:r>
        <w:rPr>
          <w:rFonts w:hint="eastAsia"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hint="eastAsia" w:ascii="仿宋" w:hAnsi="仿宋" w:eastAsia="仿宋" w:cs="仿宋"/>
          <w:i w:val="0"/>
          <w:iCs w:val="0"/>
          <w:color w:val="auto"/>
          <w:sz w:val="24"/>
          <w:highlight w:val="none"/>
        </w:rPr>
        <w:t>予以答复。招标文件澄清的内容对所有</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均有约束力</w:t>
      </w:r>
    </w:p>
    <w:p w14:paraId="3A8AEC2D">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4.3招标文件的修改</w:t>
      </w:r>
    </w:p>
    <w:p w14:paraId="40A214D4">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hint="eastAsia"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hint="eastAsia"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hint="eastAsia" w:ascii="仿宋" w:hAnsi="仿宋" w:eastAsia="仿宋" w:cs="仿宋"/>
          <w:i w:val="0"/>
          <w:iCs w:val="0"/>
          <w:color w:val="auto"/>
          <w:sz w:val="24"/>
          <w:highlight w:val="none"/>
        </w:rPr>
        <w:t>中没有注明更改投标截止时间的视为截止时间不变。招标文件修改的</w:t>
      </w:r>
      <w:r>
        <w:rPr>
          <w:rFonts w:hint="eastAsia" w:ascii="仿宋" w:hAnsi="仿宋" w:eastAsia="仿宋" w:cs="仿宋"/>
          <w:i w:val="0"/>
          <w:iCs w:val="0"/>
          <w:color w:val="auto"/>
          <w:sz w:val="24"/>
          <w:highlight w:val="none"/>
          <w:lang w:val="en-US" w:eastAsia="zh-CN"/>
        </w:rPr>
        <w:t>内容</w:t>
      </w:r>
      <w:r>
        <w:rPr>
          <w:rFonts w:hint="eastAsia"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均有约束力。</w:t>
      </w:r>
    </w:p>
    <w:p w14:paraId="73F89A34">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lang w:val="en-US" w:eastAsia="zh-CN"/>
        </w:rPr>
        <w:t>澄清或</w:t>
      </w:r>
      <w:r>
        <w:rPr>
          <w:rFonts w:hint="eastAsia" w:ascii="仿宋" w:hAnsi="仿宋" w:eastAsia="仿宋" w:cs="仿宋"/>
          <w:i w:val="0"/>
          <w:iCs w:val="0"/>
          <w:color w:val="auto"/>
          <w:sz w:val="24"/>
          <w:highlight w:val="none"/>
        </w:rPr>
        <w:t>修改的内容可能影响投标文件编制的，</w:t>
      </w:r>
      <w:r>
        <w:rPr>
          <w:rFonts w:hint="eastAsia" w:ascii="仿宋" w:hAnsi="仿宋" w:eastAsia="仿宋" w:cs="仿宋"/>
          <w:i w:val="0"/>
          <w:iCs w:val="0"/>
          <w:color w:val="auto"/>
          <w:sz w:val="24"/>
          <w:highlight w:val="none"/>
          <w:lang w:val="en-US" w:eastAsia="zh-CN"/>
        </w:rPr>
        <w:t>澄清或</w:t>
      </w:r>
      <w:r>
        <w:rPr>
          <w:rFonts w:hint="eastAsia" w:ascii="仿宋" w:hAnsi="仿宋" w:eastAsia="仿宋" w:cs="仿宋"/>
          <w:i w:val="0"/>
          <w:iCs w:val="0"/>
          <w:color w:val="auto"/>
          <w:sz w:val="24"/>
          <w:highlight w:val="none"/>
        </w:rPr>
        <w:t>修改发出时间应在投标截止时间</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35860857">
      <w:pPr>
        <w:spacing w:line="240" w:lineRule="auto"/>
        <w:ind w:firstLine="0" w:firstLineChars="0"/>
        <w:jc w:val="left"/>
        <w:rPr>
          <w:rFonts w:hint="eastAsia" w:ascii="仿宋" w:hAnsi="仿宋" w:eastAsia="仿宋" w:cs="仿宋"/>
          <w:b/>
          <w:bCs/>
          <w:i w:val="0"/>
          <w:iCs w:val="0"/>
          <w:strike w:val="0"/>
          <w:dstrike w:val="0"/>
          <w:color w:val="auto"/>
          <w:kern w:val="2"/>
          <w:sz w:val="24"/>
          <w:highlight w:val="none"/>
          <w:u w:val="none"/>
          <w:lang w:val="en-US" w:eastAsia="zh-CN"/>
        </w:rPr>
      </w:pPr>
      <w:r>
        <w:rPr>
          <w:rFonts w:hint="eastAsia" w:ascii="仿宋" w:hAnsi="仿宋" w:eastAsia="仿宋" w:cs="仿宋"/>
          <w:b/>
          <w:i w:val="0"/>
          <w:iCs w:val="0"/>
          <w:strike w:val="0"/>
          <w:dstrike w:val="0"/>
          <w:color w:val="auto"/>
          <w:sz w:val="24"/>
          <w:highlight w:val="none"/>
        </w:rPr>
        <w:t>5.参考品牌</w:t>
      </w:r>
    </w:p>
    <w:p w14:paraId="75FE1ED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dstrike w:val="0"/>
          <w:color w:val="auto"/>
          <w:sz w:val="24"/>
          <w:highlight w:val="none"/>
          <w:lang w:val="en-US" w:eastAsia="zh-CN"/>
        </w:rPr>
      </w:pPr>
      <w:r>
        <w:rPr>
          <w:rFonts w:hint="eastAsia" w:ascii="仿宋" w:hAnsi="仿宋" w:eastAsia="仿宋" w:cs="仿宋"/>
          <w:i w:val="0"/>
          <w:iCs w:val="0"/>
          <w:strike w:val="0"/>
          <w:dstrike w:val="0"/>
          <w:color w:val="auto"/>
          <w:sz w:val="24"/>
          <w:highlight w:val="none"/>
          <w:lang w:val="en-US" w:eastAsia="zh-CN"/>
        </w:rPr>
        <w:t>本招标文件如涉及各类品牌、型号，则所述品牌、型号是结合实际现有情况的推荐性参考方案，投标方也可根据招标文件的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43442189">
      <w:pPr>
        <w:pStyle w:val="25"/>
        <w:rPr>
          <w:rFonts w:hint="eastAsia" w:ascii="仿宋" w:hAnsi="仿宋" w:eastAsia="仿宋" w:cs="仿宋"/>
          <w:i w:val="0"/>
          <w:iCs w:val="0"/>
          <w:color w:val="auto"/>
          <w:highlight w:val="none"/>
          <w:lang w:val="en-US"/>
        </w:rPr>
      </w:pPr>
    </w:p>
    <w:p w14:paraId="01544AA1">
      <w:pPr>
        <w:adjustRightInd/>
        <w:spacing w:line="360" w:lineRule="auto"/>
        <w:jc w:val="center"/>
        <w:outlineLvl w:val="0"/>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705D5254">
      <w:pPr>
        <w:snapToGrid w:val="0"/>
        <w:spacing w:line="440" w:lineRule="exact"/>
        <w:jc w:val="left"/>
        <w:rPr>
          <w:rFonts w:hint="eastAsia"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1.投标文件的语言、计量单位、形式及效力</w:t>
      </w:r>
    </w:p>
    <w:p w14:paraId="5E047087">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761BF09A">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1.2投标文件以及</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就有关投标事宜的所有来往函电，均应以中文书写（技术术语除外）。</w:t>
      </w:r>
    </w:p>
    <w:p w14:paraId="28236F6D">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1.3投标计量单位，除招标文件中有特殊要求外，应采用中华人民共和国法定计量单位，货币单位：人民币元。</w:t>
      </w:r>
    </w:p>
    <w:p w14:paraId="76A4F3EF">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1.4不按招标文件的要求提供的投标文件可能导致被拒绝。</w:t>
      </w:r>
    </w:p>
    <w:p w14:paraId="270E2F3C">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1.5投标文件的形式和效力</w:t>
      </w:r>
    </w:p>
    <w:p w14:paraId="0BB649D3">
      <w:pPr>
        <w:snapToGrid w:val="0"/>
        <w:spacing w:line="440" w:lineRule="exact"/>
        <w:ind w:firstLine="720" w:firstLineChars="300"/>
        <w:jc w:val="left"/>
        <w:rPr>
          <w:rFonts w:hint="eastAsia" w:ascii="仿宋" w:hAnsi="仿宋" w:eastAsia="仿宋" w:cs="仿宋"/>
          <w:b w:val="0"/>
          <w:bCs/>
          <w:i w:val="0"/>
          <w:iCs w:val="0"/>
          <w:color w:val="auto"/>
          <w:sz w:val="24"/>
          <w:highlight w:val="none"/>
        </w:rPr>
      </w:pPr>
      <w:r>
        <w:rPr>
          <w:rFonts w:hint="eastAsia" w:ascii="仿宋" w:hAnsi="仿宋" w:eastAsia="仿宋" w:cs="仿宋"/>
          <w:b w:val="0"/>
          <w:bCs/>
          <w:i w:val="0"/>
          <w:iCs w:val="0"/>
          <w:color w:val="auto"/>
          <w:sz w:val="24"/>
          <w:highlight w:val="none"/>
        </w:rPr>
        <w:t>1.5.1</w:t>
      </w:r>
      <w:r>
        <w:rPr>
          <w:rFonts w:hint="eastAsia" w:ascii="仿宋" w:hAnsi="仿宋" w:eastAsia="仿宋" w:cs="仿宋"/>
          <w:b/>
          <w:bCs w:val="0"/>
          <w:i w:val="0"/>
          <w:iCs w:val="0"/>
          <w:color w:val="auto"/>
          <w:sz w:val="24"/>
          <w:highlight w:val="none"/>
        </w:rPr>
        <w:t>投标文件为电子投标文件，电子投标文件按《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3A36B58C">
      <w:pPr>
        <w:snapToGrid w:val="0"/>
        <w:spacing w:line="440" w:lineRule="exact"/>
        <w:ind w:firstLine="720" w:firstLineChars="300"/>
        <w:jc w:val="left"/>
        <w:rPr>
          <w:rFonts w:hint="eastAsia" w:ascii="仿宋" w:hAnsi="仿宋" w:eastAsia="仿宋" w:cs="仿宋"/>
          <w:b w:val="0"/>
          <w:bCs/>
          <w:i w:val="0"/>
          <w:iCs w:val="0"/>
          <w:color w:val="auto"/>
          <w:sz w:val="24"/>
          <w:highlight w:val="none"/>
          <w:u w:val="none"/>
        </w:rPr>
      </w:pPr>
      <w:r>
        <w:rPr>
          <w:rFonts w:hint="eastAsia" w:ascii="仿宋" w:hAnsi="仿宋" w:eastAsia="仿宋" w:cs="仿宋"/>
          <w:b w:val="0"/>
          <w:bCs/>
          <w:i w:val="0"/>
          <w:iCs w:val="0"/>
          <w:color w:val="auto"/>
          <w:sz w:val="24"/>
          <w:highlight w:val="none"/>
          <w:u w:val="none"/>
        </w:rPr>
        <w:t>1.5.2投标文件的效力：</w:t>
      </w:r>
    </w:p>
    <w:p w14:paraId="076F0C4D">
      <w:pPr>
        <w:snapToGrid w:val="0"/>
        <w:spacing w:line="440" w:lineRule="exact"/>
        <w:ind w:firstLine="723" w:firstLineChars="300"/>
        <w:jc w:val="left"/>
        <w:rPr>
          <w:rFonts w:hint="eastAsia"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15项内容</w:t>
      </w:r>
      <w:r>
        <w:rPr>
          <w:rFonts w:hint="eastAsia" w:ascii="仿宋" w:hAnsi="仿宋" w:eastAsia="仿宋" w:cs="仿宋"/>
          <w:b/>
          <w:bCs w:val="0"/>
          <w:i w:val="0"/>
          <w:iCs w:val="0"/>
          <w:color w:val="auto"/>
          <w:sz w:val="24"/>
          <w:highlight w:val="none"/>
          <w:u w:val="none"/>
        </w:rPr>
        <w:t>。</w:t>
      </w:r>
    </w:p>
    <w:p w14:paraId="6C3DD48F">
      <w:pPr>
        <w:pStyle w:val="34"/>
        <w:spacing w:line="440" w:lineRule="exact"/>
        <w:rPr>
          <w:rFonts w:hint="eastAsia" w:ascii="仿宋" w:hAnsi="仿宋" w:eastAsia="仿宋" w:cs="仿宋"/>
          <w:b/>
          <w:bCs w:val="0"/>
          <w:i w:val="0"/>
          <w:iCs w:val="0"/>
          <w:color w:val="auto"/>
          <w:sz w:val="24"/>
          <w:szCs w:val="24"/>
          <w:highlight w:val="none"/>
          <w:lang w:eastAsia="zh-CN"/>
        </w:rPr>
      </w:pPr>
      <w:r>
        <w:rPr>
          <w:rFonts w:hint="eastAsia" w:ascii="仿宋" w:hAnsi="仿宋" w:eastAsia="仿宋" w:cs="仿宋"/>
          <w:b/>
          <w:i w:val="0"/>
          <w:iCs w:val="0"/>
          <w:color w:val="auto"/>
          <w:sz w:val="24"/>
          <w:szCs w:val="24"/>
          <w:highlight w:val="none"/>
        </w:rPr>
        <w:t>2.投标文件的组成</w:t>
      </w:r>
    </w:p>
    <w:p w14:paraId="53F79099">
      <w:pPr>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投标文件由“资格文件”、“</w:t>
      </w:r>
      <w:r>
        <w:rPr>
          <w:rFonts w:hint="eastAsia" w:ascii="仿宋" w:hAnsi="仿宋" w:eastAsia="仿宋" w:cs="仿宋"/>
          <w:i w:val="0"/>
          <w:iCs w:val="0"/>
          <w:color w:val="auto"/>
          <w:sz w:val="24"/>
          <w:highlight w:val="none"/>
          <w:lang w:eastAsia="zh-CN"/>
        </w:rPr>
        <w:t>商务技术（资信）文件</w:t>
      </w:r>
      <w:r>
        <w:rPr>
          <w:rFonts w:hint="eastAsia" w:ascii="仿宋" w:hAnsi="仿宋" w:eastAsia="仿宋" w:cs="仿宋"/>
          <w:i w:val="0"/>
          <w:iCs w:val="0"/>
          <w:color w:val="auto"/>
          <w:sz w:val="24"/>
          <w:highlight w:val="none"/>
        </w:rPr>
        <w:t>资料”、“报价文件资料”三部分组成，其中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72AA3216">
      <w:pPr>
        <w:snapToGrid w:val="0"/>
        <w:spacing w:line="440" w:lineRule="exact"/>
        <w:ind w:firstLine="482" w:firstLineChars="200"/>
        <w:rPr>
          <w:rFonts w:hint="eastAsia" w:ascii="仿宋" w:hAnsi="仿宋" w:eastAsia="仿宋" w:cs="仿宋"/>
          <w:b/>
          <w:i w:val="0"/>
          <w:iCs w:val="0"/>
          <w:color w:val="auto"/>
          <w:sz w:val="24"/>
          <w:highlight w:val="none"/>
          <w:lang w:val="zh-CN"/>
        </w:rPr>
      </w:pPr>
      <w:r>
        <w:rPr>
          <w:rFonts w:hint="eastAsia"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val="zh-CN"/>
        </w:rPr>
        <w:t>.1资格文件：</w:t>
      </w:r>
    </w:p>
    <w:p w14:paraId="6275FE1E">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2.1.1符合参加采购活动应当具备的一般条件的承诺函；</w:t>
      </w:r>
    </w:p>
    <w:p w14:paraId="0A44C237">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2.1.2营业执照</w:t>
      </w:r>
    </w:p>
    <w:p w14:paraId="6CBDE96F">
      <w:pPr>
        <w:snapToGrid w:val="0"/>
        <w:spacing w:line="440" w:lineRule="exact"/>
        <w:ind w:firstLine="720" w:firstLineChars="3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2.1.</w:t>
      </w:r>
      <w:r>
        <w:rPr>
          <w:rFonts w:hint="eastAsia" w:ascii="仿宋" w:hAnsi="仿宋" w:eastAsia="仿宋" w:cs="仿宋"/>
          <w:i w:val="0"/>
          <w:iCs w:val="0"/>
          <w:strike w:val="0"/>
          <w:dstrike w:val="0"/>
          <w:color w:val="auto"/>
          <w:sz w:val="24"/>
          <w:highlight w:val="none"/>
          <w:lang w:val="en-US" w:eastAsia="zh-CN"/>
        </w:rPr>
        <w:t>3</w:t>
      </w:r>
      <w:r>
        <w:rPr>
          <w:rFonts w:hint="eastAsia" w:ascii="仿宋" w:hAnsi="仿宋" w:eastAsia="仿宋" w:cs="仿宋"/>
          <w:i w:val="0"/>
          <w:iCs w:val="0"/>
          <w:strike w:val="0"/>
          <w:dstrike w:val="0"/>
          <w:color w:val="auto"/>
          <w:sz w:val="24"/>
          <w:highlight w:val="none"/>
        </w:rPr>
        <w:t>联合协议（如果有)；</w:t>
      </w:r>
    </w:p>
    <w:p w14:paraId="1207F8D9">
      <w:pPr>
        <w:snapToGrid w:val="0"/>
        <w:spacing w:line="440" w:lineRule="exact"/>
        <w:ind w:firstLine="720" w:firstLineChars="300"/>
        <w:rPr>
          <w:rFonts w:hint="eastAsia" w:ascii="仿宋" w:hAnsi="仿宋" w:eastAsia="仿宋" w:cs="仿宋"/>
          <w:i w:val="0"/>
          <w:iCs w:val="0"/>
          <w:strike w:val="0"/>
          <w:dstrike w:val="0"/>
          <w:color w:val="auto"/>
          <w:highlight w:val="none"/>
        </w:rPr>
      </w:pPr>
      <w:r>
        <w:rPr>
          <w:rFonts w:hint="eastAsia" w:ascii="仿宋" w:hAnsi="仿宋" w:eastAsia="仿宋" w:cs="仿宋"/>
          <w:i w:val="0"/>
          <w:iCs w:val="0"/>
          <w:strike w:val="0"/>
          <w:dstrike w:val="0"/>
          <w:color w:val="auto"/>
          <w:sz w:val="24"/>
          <w:highlight w:val="none"/>
        </w:rPr>
        <w:t>2.1.</w:t>
      </w:r>
      <w:r>
        <w:rPr>
          <w:rFonts w:hint="eastAsia" w:ascii="仿宋" w:hAnsi="仿宋" w:eastAsia="仿宋" w:cs="仿宋"/>
          <w:i w:val="0"/>
          <w:iCs w:val="0"/>
          <w:strike w:val="0"/>
          <w:dstrike w:val="0"/>
          <w:color w:val="auto"/>
          <w:sz w:val="24"/>
          <w:highlight w:val="none"/>
          <w:lang w:val="en-US" w:eastAsia="zh-CN"/>
        </w:rPr>
        <w:t>4</w:t>
      </w:r>
      <w:r>
        <w:rPr>
          <w:rFonts w:hint="eastAsia" w:ascii="仿宋" w:hAnsi="仿宋" w:eastAsia="仿宋" w:cs="仿宋"/>
          <w:i w:val="0"/>
          <w:iCs w:val="0"/>
          <w:strike w:val="0"/>
          <w:dstrike w:val="0"/>
          <w:color w:val="auto"/>
          <w:sz w:val="24"/>
          <w:highlight w:val="none"/>
        </w:rPr>
        <w:t>分包意向协议</w:t>
      </w:r>
      <w:r>
        <w:rPr>
          <w:rFonts w:hint="eastAsia" w:ascii="仿宋" w:hAnsi="仿宋" w:eastAsia="仿宋" w:cs="仿宋"/>
          <w:i w:val="0"/>
          <w:iCs w:val="0"/>
          <w:strike w:val="0"/>
          <w:dstrike w:val="0"/>
          <w:snapToGrid w:val="0"/>
          <w:color w:val="auto"/>
          <w:kern w:val="28"/>
          <w:sz w:val="24"/>
          <w:szCs w:val="20"/>
          <w:highlight w:val="none"/>
        </w:rPr>
        <w:t>（如果有)</w:t>
      </w:r>
      <w:r>
        <w:rPr>
          <w:rFonts w:hint="eastAsia" w:ascii="仿宋" w:hAnsi="仿宋" w:eastAsia="仿宋" w:cs="仿宋"/>
          <w:i w:val="0"/>
          <w:iCs w:val="0"/>
          <w:strike w:val="0"/>
          <w:dstrike w:val="0"/>
          <w:color w:val="auto"/>
          <w:sz w:val="24"/>
          <w:highlight w:val="none"/>
        </w:rPr>
        <w:t>；</w:t>
      </w:r>
    </w:p>
    <w:p w14:paraId="7895352B">
      <w:pPr>
        <w:snapToGrid w:val="0"/>
        <w:spacing w:line="440" w:lineRule="exact"/>
        <w:ind w:firstLine="720" w:firstLineChars="300"/>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2.1.</w:t>
      </w:r>
      <w:r>
        <w:rPr>
          <w:rFonts w:hint="eastAsia" w:ascii="仿宋" w:hAnsi="仿宋" w:eastAsia="仿宋" w:cs="仿宋"/>
          <w:i w:val="0"/>
          <w:iCs w:val="0"/>
          <w:strike/>
          <w:color w:val="auto"/>
          <w:sz w:val="24"/>
          <w:highlight w:val="none"/>
          <w:lang w:val="en-US" w:eastAsia="zh-CN"/>
        </w:rPr>
        <w:t>5</w:t>
      </w:r>
      <w:r>
        <w:rPr>
          <w:rFonts w:hint="eastAsia" w:ascii="仿宋" w:hAnsi="仿宋" w:eastAsia="仿宋" w:cs="仿宋"/>
          <w:i w:val="0"/>
          <w:iCs w:val="0"/>
          <w:strike/>
          <w:color w:val="auto"/>
          <w:sz w:val="24"/>
          <w:highlight w:val="none"/>
        </w:rPr>
        <w:t>落实采购政策需满足的资格要求（如果有)；</w:t>
      </w:r>
    </w:p>
    <w:p w14:paraId="1366588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strike/>
          <w:dstrike w:val="0"/>
          <w:color w:val="auto"/>
          <w:sz w:val="24"/>
          <w:highlight w:val="none"/>
        </w:rPr>
        <w:t>2.1.</w:t>
      </w:r>
      <w:r>
        <w:rPr>
          <w:rFonts w:hint="eastAsia" w:ascii="仿宋" w:hAnsi="仿宋" w:eastAsia="仿宋" w:cs="仿宋"/>
          <w:i w:val="0"/>
          <w:iCs w:val="0"/>
          <w:strike/>
          <w:dstrike w:val="0"/>
          <w:color w:val="auto"/>
          <w:sz w:val="24"/>
          <w:highlight w:val="none"/>
          <w:lang w:val="en-US" w:eastAsia="zh-CN"/>
        </w:rPr>
        <w:t>6</w:t>
      </w:r>
      <w:r>
        <w:rPr>
          <w:rFonts w:hint="eastAsia" w:ascii="仿宋" w:hAnsi="仿宋" w:eastAsia="仿宋" w:cs="仿宋"/>
          <w:i w:val="0"/>
          <w:iCs w:val="0"/>
          <w:strike/>
          <w:dstrike w:val="0"/>
          <w:color w:val="auto"/>
          <w:sz w:val="24"/>
          <w:highlight w:val="none"/>
        </w:rPr>
        <w:t>本项目的特定资格要求（如果有)</w:t>
      </w:r>
      <w:r>
        <w:rPr>
          <w:rFonts w:hint="eastAsia" w:ascii="仿宋" w:hAnsi="仿宋" w:eastAsia="仿宋" w:cs="仿宋"/>
          <w:i w:val="0"/>
          <w:iCs w:val="0"/>
          <w:strike/>
          <w:dstrike w:val="0"/>
          <w:color w:val="auto"/>
          <w:sz w:val="24"/>
          <w:highlight w:val="none"/>
          <w:lang w:eastAsia="zh-CN"/>
        </w:rPr>
        <w:t>；</w:t>
      </w:r>
    </w:p>
    <w:p w14:paraId="087F1BF2">
      <w:pPr>
        <w:snapToGrid w:val="0"/>
        <w:spacing w:line="440" w:lineRule="exact"/>
        <w:ind w:firstLine="482" w:firstLineChars="200"/>
        <w:rPr>
          <w:rFonts w:hint="eastAsia" w:ascii="仿宋" w:hAnsi="仿宋" w:eastAsia="仿宋" w:cs="仿宋"/>
          <w:b/>
          <w:i w:val="0"/>
          <w:iCs w:val="0"/>
          <w:color w:val="auto"/>
          <w:sz w:val="24"/>
          <w:highlight w:val="none"/>
          <w:lang w:val="zh-CN"/>
        </w:rPr>
      </w:pPr>
      <w:r>
        <w:rPr>
          <w:rFonts w:hint="eastAsia" w:ascii="仿宋" w:hAnsi="仿宋" w:eastAsia="仿宋" w:cs="仿宋"/>
          <w:b/>
          <w:i w:val="0"/>
          <w:iCs w:val="0"/>
          <w:color w:val="auto"/>
          <w:sz w:val="24"/>
          <w:highlight w:val="none"/>
          <w:lang w:val="zh-CN"/>
        </w:rPr>
        <w:t>2.</w:t>
      </w:r>
      <w:r>
        <w:rPr>
          <w:rFonts w:hint="eastAsia"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eastAsia="zh-CN"/>
        </w:rPr>
        <w:t>商务技术（资信）文件</w:t>
      </w:r>
      <w:r>
        <w:rPr>
          <w:rFonts w:hint="eastAsia" w:ascii="仿宋" w:hAnsi="仿宋" w:eastAsia="仿宋" w:cs="仿宋"/>
          <w:b/>
          <w:i w:val="0"/>
          <w:iCs w:val="0"/>
          <w:color w:val="auto"/>
          <w:sz w:val="24"/>
          <w:highlight w:val="none"/>
          <w:lang w:val="zh-CN"/>
        </w:rPr>
        <w:t>：</w:t>
      </w:r>
    </w:p>
    <w:p w14:paraId="61A115A6">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2.2.1投标函；</w:t>
      </w:r>
    </w:p>
    <w:p w14:paraId="623D0D04">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2.2.2法定代表人授权委托书；</w:t>
      </w:r>
    </w:p>
    <w:p w14:paraId="11CD4F17">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w:t>
      </w:r>
      <w:r>
        <w:rPr>
          <w:rFonts w:hint="eastAsia" w:ascii="仿宋" w:hAnsi="仿宋" w:eastAsia="仿宋" w:cs="仿宋"/>
          <w:i w:val="0"/>
          <w:iCs w:val="0"/>
          <w:color w:val="auto"/>
          <w:sz w:val="24"/>
          <w:highlight w:val="none"/>
          <w:lang w:eastAsia="zh-CN"/>
        </w:rPr>
        <w:t>复制件；</w:t>
      </w:r>
    </w:p>
    <w:p w14:paraId="48CE09A4">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法定代表人身份证明书；</w:t>
      </w:r>
    </w:p>
    <w:p w14:paraId="2F4C980E">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26B74A51">
      <w:pPr>
        <w:snapToGrid w:val="0"/>
        <w:spacing w:line="440" w:lineRule="exact"/>
        <w:ind w:firstLine="720" w:firstLineChars="300"/>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投标人</w:t>
      </w:r>
      <w:r>
        <w:rPr>
          <w:rFonts w:hint="eastAsia" w:ascii="仿宋" w:hAnsi="仿宋" w:eastAsia="仿宋" w:cs="仿宋"/>
          <w:i w:val="0"/>
          <w:iCs w:val="0"/>
          <w:strike w:val="0"/>
          <w:color w:val="auto"/>
          <w:sz w:val="24"/>
          <w:highlight w:val="none"/>
        </w:rPr>
        <w:t>应对项目技术规范和服务要求中所提</w:t>
      </w:r>
      <w:r>
        <w:rPr>
          <w:rFonts w:hint="eastAsia" w:ascii="仿宋" w:hAnsi="仿宋" w:eastAsia="仿宋" w:cs="仿宋"/>
          <w:i w:val="0"/>
          <w:iCs w:val="0"/>
          <w:strike w:val="0"/>
          <w:color w:val="auto"/>
          <w:sz w:val="24"/>
          <w:highlight w:val="none"/>
          <w:lang w:eastAsia="zh-CN"/>
        </w:rPr>
        <w:t>出的</w:t>
      </w:r>
      <w:r>
        <w:rPr>
          <w:rFonts w:hint="eastAsia" w:ascii="仿宋" w:hAnsi="仿宋" w:eastAsia="仿宋" w:cs="仿宋"/>
          <w:i w:val="0"/>
          <w:iCs w:val="0"/>
          <w:strike w:val="0"/>
          <w:color w:val="auto"/>
          <w:sz w:val="24"/>
          <w:highlight w:val="none"/>
        </w:rPr>
        <w:t>各项要求进行答复、说明和解释。如果</w:t>
      </w:r>
      <w:r>
        <w:rPr>
          <w:rFonts w:hint="eastAsia" w:ascii="仿宋" w:hAnsi="仿宋" w:eastAsia="仿宋" w:cs="仿宋"/>
          <w:i w:val="0"/>
          <w:iCs w:val="0"/>
          <w:strike w:val="0"/>
          <w:color w:val="auto"/>
          <w:sz w:val="24"/>
          <w:highlight w:val="none"/>
          <w:lang w:eastAsia="zh-CN"/>
        </w:rPr>
        <w:t>投标人</w:t>
      </w:r>
      <w:r>
        <w:rPr>
          <w:rFonts w:hint="eastAsia" w:ascii="仿宋" w:hAnsi="仿宋" w:eastAsia="仿宋" w:cs="仿宋"/>
          <w:i w:val="0"/>
          <w:iCs w:val="0"/>
          <w:strike w:val="0"/>
          <w:color w:val="auto"/>
          <w:sz w:val="24"/>
          <w:highlight w:val="none"/>
        </w:rPr>
        <w:t>注明无偏离，评标结束后、签订合同前又认为其实际产品与投标技术需求不一致的，视为</w:t>
      </w:r>
      <w:r>
        <w:rPr>
          <w:rFonts w:hint="eastAsia" w:ascii="仿宋" w:hAnsi="仿宋" w:eastAsia="仿宋" w:cs="仿宋"/>
          <w:i w:val="0"/>
          <w:iCs w:val="0"/>
          <w:strike w:val="0"/>
          <w:color w:val="auto"/>
          <w:sz w:val="24"/>
          <w:highlight w:val="none"/>
          <w:lang w:eastAsia="zh-CN"/>
        </w:rPr>
        <w:t>投标人</w:t>
      </w:r>
      <w:r>
        <w:rPr>
          <w:rFonts w:hint="eastAsia" w:ascii="仿宋" w:hAnsi="仿宋" w:eastAsia="仿宋" w:cs="仿宋"/>
          <w:i w:val="0"/>
          <w:iCs w:val="0"/>
          <w:strike w:val="0"/>
          <w:color w:val="auto"/>
          <w:sz w:val="24"/>
          <w:highlight w:val="none"/>
        </w:rPr>
        <w:t>在投标有效期内对其投标文件进行了实质性修改。</w:t>
      </w:r>
    </w:p>
    <w:p w14:paraId="75E54C18">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6投标人</w:t>
      </w:r>
      <w:r>
        <w:rPr>
          <w:rFonts w:hint="eastAsia" w:ascii="仿宋" w:hAnsi="仿宋" w:eastAsia="仿宋" w:cs="仿宋"/>
          <w:i w:val="0"/>
          <w:iCs w:val="0"/>
          <w:color w:val="auto"/>
          <w:sz w:val="24"/>
          <w:highlight w:val="none"/>
        </w:rPr>
        <w:t>廉洁自律承诺书；</w:t>
      </w:r>
    </w:p>
    <w:p w14:paraId="1C1964FF">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7主要业绩证明</w:t>
      </w:r>
      <w:r>
        <w:rPr>
          <w:rFonts w:hint="eastAsia" w:ascii="仿宋" w:hAnsi="仿宋" w:eastAsia="仿宋" w:cs="仿宋"/>
          <w:i w:val="0"/>
          <w:iCs w:val="0"/>
          <w:color w:val="auto"/>
          <w:sz w:val="24"/>
          <w:highlight w:val="none"/>
          <w:lang w:eastAsia="zh-CN"/>
        </w:rPr>
        <w:t>；</w:t>
      </w:r>
    </w:p>
    <w:p w14:paraId="340DECFB">
      <w:pPr>
        <w:snapToGrid w:val="0"/>
        <w:spacing w:line="440" w:lineRule="exact"/>
        <w:ind w:firstLine="720" w:firstLineChars="300"/>
        <w:rPr>
          <w:rFonts w:hint="eastAsia" w:ascii="仿宋" w:hAnsi="仿宋" w:eastAsia="仿宋" w:cs="仿宋"/>
          <w:i w:val="0"/>
          <w:iCs w:val="0"/>
          <w:strike/>
          <w:color w:val="auto"/>
          <w:sz w:val="24"/>
          <w:highlight w:val="none"/>
        </w:rPr>
      </w:pPr>
      <w:r>
        <w:rPr>
          <w:rFonts w:hint="eastAsia" w:ascii="仿宋" w:hAnsi="仿宋" w:eastAsia="仿宋" w:cs="仿宋"/>
          <w:i w:val="0"/>
          <w:iCs w:val="0"/>
          <w:strike w:val="0"/>
          <w:color w:val="auto"/>
          <w:sz w:val="24"/>
          <w:highlight w:val="none"/>
          <w:lang w:eastAsia="zh-CN"/>
        </w:rPr>
        <w:t>业绩证明</w:t>
      </w:r>
      <w:r>
        <w:rPr>
          <w:rFonts w:hint="eastAsia" w:ascii="仿宋" w:hAnsi="仿宋" w:eastAsia="仿宋" w:cs="仿宋"/>
          <w:i w:val="0"/>
          <w:iCs w:val="0"/>
          <w:strike w:val="0"/>
          <w:color w:val="auto"/>
          <w:sz w:val="24"/>
          <w:highlight w:val="none"/>
        </w:rPr>
        <w:t>应有需方名称及联系电话，提供最终用户合同</w:t>
      </w:r>
      <w:r>
        <w:rPr>
          <w:rFonts w:hint="eastAsia" w:ascii="仿宋" w:hAnsi="仿宋" w:eastAsia="仿宋" w:cs="仿宋"/>
          <w:i w:val="0"/>
          <w:iCs w:val="0"/>
          <w:strike w:val="0"/>
          <w:color w:val="auto"/>
          <w:sz w:val="24"/>
          <w:highlight w:val="none"/>
          <w:lang w:eastAsia="zh-CN"/>
        </w:rPr>
        <w:t>复制件</w:t>
      </w:r>
      <w:r>
        <w:rPr>
          <w:rFonts w:hint="eastAsia" w:ascii="仿宋" w:hAnsi="仿宋" w:eastAsia="仿宋" w:cs="仿宋"/>
          <w:i w:val="0"/>
          <w:iCs w:val="0"/>
          <w:strike w:val="0"/>
          <w:color w:val="auto"/>
          <w:sz w:val="24"/>
          <w:highlight w:val="none"/>
        </w:rPr>
        <w:t>（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C935552">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hint="eastAsia"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8</w:t>
      </w:r>
      <w:r>
        <w:rPr>
          <w:rFonts w:hint="eastAsia" w:ascii="仿宋" w:hAnsi="仿宋" w:eastAsia="仿宋" w:cs="仿宋"/>
          <w:i w:val="0"/>
          <w:iCs w:val="0"/>
          <w:strike w:val="0"/>
          <w:dstrike w:val="0"/>
          <w:color w:val="auto"/>
          <w:sz w:val="24"/>
          <w:highlight w:val="none"/>
        </w:rPr>
        <w:t>技术解决方案</w:t>
      </w:r>
      <w:r>
        <w:rPr>
          <w:rFonts w:hint="eastAsia" w:ascii="仿宋" w:hAnsi="仿宋" w:eastAsia="仿宋" w:cs="仿宋"/>
          <w:i w:val="0"/>
          <w:iCs w:val="0"/>
          <w:strike w:val="0"/>
          <w:dstrike w:val="0"/>
          <w:color w:val="auto"/>
          <w:sz w:val="24"/>
          <w:highlight w:val="none"/>
          <w:lang w:eastAsia="zh-CN"/>
        </w:rPr>
        <w:t>；</w:t>
      </w:r>
    </w:p>
    <w:p w14:paraId="46705246">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hint="eastAsia" w:ascii="仿宋" w:hAnsi="仿宋" w:eastAsia="仿宋" w:cs="仿宋"/>
          <w:i w:val="0"/>
          <w:iCs w:val="0"/>
          <w:strike w:val="0"/>
          <w:dstrike w:val="0"/>
          <w:color w:val="auto"/>
          <w:sz w:val="24"/>
          <w:highlight w:val="none"/>
        </w:rPr>
        <w:t>2.2.</w:t>
      </w:r>
      <w:r>
        <w:rPr>
          <w:rFonts w:hint="eastAsia" w:ascii="仿宋" w:hAnsi="仿宋" w:eastAsia="仿宋" w:cs="仿宋"/>
          <w:i w:val="0"/>
          <w:iCs w:val="0"/>
          <w:strike w:val="0"/>
          <w:dstrike w:val="0"/>
          <w:color w:val="auto"/>
          <w:sz w:val="24"/>
          <w:highlight w:val="none"/>
          <w:lang w:val="en-US" w:eastAsia="zh-CN"/>
        </w:rPr>
        <w:t>9</w:t>
      </w:r>
      <w:r>
        <w:rPr>
          <w:rFonts w:hint="eastAsia" w:ascii="仿宋" w:hAnsi="仿宋" w:eastAsia="仿宋" w:cs="仿宋"/>
          <w:i w:val="0"/>
          <w:iCs w:val="0"/>
          <w:strike w:val="0"/>
          <w:dstrike w:val="0"/>
          <w:color w:val="auto"/>
          <w:sz w:val="24"/>
          <w:highlight w:val="none"/>
        </w:rPr>
        <w:t>组织实施方案</w:t>
      </w:r>
      <w:r>
        <w:rPr>
          <w:rFonts w:hint="eastAsia" w:ascii="仿宋" w:hAnsi="仿宋" w:eastAsia="仿宋" w:cs="仿宋"/>
          <w:i w:val="0"/>
          <w:iCs w:val="0"/>
          <w:strike w:val="0"/>
          <w:dstrike w:val="0"/>
          <w:color w:val="auto"/>
          <w:sz w:val="24"/>
          <w:highlight w:val="none"/>
          <w:lang w:eastAsia="zh-CN"/>
        </w:rPr>
        <w:t>；</w:t>
      </w:r>
    </w:p>
    <w:p w14:paraId="695DFBA3">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hint="eastAsia" w:ascii="仿宋" w:hAnsi="仿宋" w:eastAsia="仿宋" w:cs="仿宋"/>
          <w:i w:val="0"/>
          <w:iCs w:val="0"/>
          <w:strike w:val="0"/>
          <w:dstrike w:val="0"/>
          <w:color w:val="auto"/>
          <w:sz w:val="24"/>
          <w:highlight w:val="none"/>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val="0"/>
          <w:dstrike w:val="0"/>
          <w:color w:val="auto"/>
          <w:sz w:val="24"/>
          <w:highlight w:val="none"/>
          <w:lang w:eastAsia="zh-CN"/>
        </w:rPr>
        <w:t>；</w:t>
      </w:r>
    </w:p>
    <w:p w14:paraId="133375E9">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0售后服务方案；</w:t>
      </w:r>
    </w:p>
    <w:p w14:paraId="6EE6364E">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针对本项目的售后服务方案，包括售后服务机构及人员情况等。</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应以书面形式完整准确地表述售后服务承诺(范围、标准及期限等)、</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可能增加的服务承诺等。并明示服务承诺可能涉及的前提设定和费用，否则将被认为是无条件和免费的。承诺质保期内均提供免费上门服务。</w:t>
      </w:r>
    </w:p>
    <w:p w14:paraId="2B7A8F42">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售后服务</w:t>
      </w:r>
      <w:r>
        <w:rPr>
          <w:rFonts w:hint="eastAsia" w:ascii="仿宋" w:hAnsi="仿宋" w:eastAsia="仿宋" w:cs="仿宋"/>
          <w:i w:val="0"/>
          <w:iCs w:val="0"/>
          <w:color w:val="auto"/>
          <w:sz w:val="24"/>
          <w:highlight w:val="none"/>
          <w:lang w:val="en-US" w:eastAsia="zh-CN"/>
        </w:rPr>
        <w:t>能力</w:t>
      </w:r>
      <w:r>
        <w:rPr>
          <w:rFonts w:hint="eastAsia" w:ascii="仿宋" w:hAnsi="仿宋" w:eastAsia="仿宋" w:cs="仿宋"/>
          <w:i w:val="0"/>
          <w:iCs w:val="0"/>
          <w:color w:val="auto"/>
          <w:sz w:val="24"/>
          <w:highlight w:val="none"/>
        </w:rPr>
        <w:t>证明材料</w:t>
      </w:r>
      <w:r>
        <w:rPr>
          <w:rFonts w:hint="eastAsia" w:ascii="仿宋" w:hAnsi="仿宋" w:eastAsia="仿宋" w:cs="仿宋"/>
          <w:i w:val="0"/>
          <w:iCs w:val="0"/>
          <w:color w:val="auto"/>
          <w:sz w:val="24"/>
          <w:highlight w:val="none"/>
          <w:lang w:eastAsia="zh-CN"/>
        </w:rPr>
        <w:t>；</w:t>
      </w:r>
    </w:p>
    <w:p w14:paraId="3307F155">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合作单位营业执照或</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在设立的项目部、办公室、办事处等机构的证明材料或</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作出的成交后提供服务的承诺</w:t>
      </w:r>
      <w:r>
        <w:rPr>
          <w:rFonts w:hint="eastAsia" w:ascii="仿宋" w:hAnsi="仿宋" w:eastAsia="仿宋" w:cs="仿宋"/>
          <w:i w:val="0"/>
          <w:iCs w:val="0"/>
          <w:color w:val="auto"/>
          <w:sz w:val="24"/>
          <w:highlight w:val="none"/>
          <w:lang w:eastAsia="zh-CN"/>
        </w:rPr>
        <w:t>。</w:t>
      </w:r>
    </w:p>
    <w:p w14:paraId="65B2DA62">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hint="eastAsia"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2</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为完成本项目组建的项目小组名单</w:t>
      </w:r>
      <w:r>
        <w:rPr>
          <w:rFonts w:hint="eastAsia" w:ascii="仿宋" w:hAnsi="仿宋" w:eastAsia="仿宋" w:cs="仿宋"/>
          <w:i w:val="0"/>
          <w:iCs w:val="0"/>
          <w:strike w:val="0"/>
          <w:dstrike w:val="0"/>
          <w:color w:val="auto"/>
          <w:sz w:val="24"/>
          <w:highlight w:val="none"/>
          <w:lang w:eastAsia="zh-CN"/>
        </w:rPr>
        <w:t>；</w:t>
      </w:r>
    </w:p>
    <w:p w14:paraId="512CEAEA">
      <w:pPr>
        <w:snapToGrid w:val="0"/>
        <w:spacing w:line="440" w:lineRule="exact"/>
        <w:ind w:firstLine="720" w:firstLineChars="3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每个专业人员的情况和人员数应该明确表示，明确各阶段投入人数，在提交的投标文件中安排的人员，须为</w:t>
      </w:r>
      <w:r>
        <w:rPr>
          <w:rFonts w:hint="eastAsia" w:ascii="仿宋" w:hAnsi="仿宋" w:eastAsia="仿宋" w:cs="仿宋"/>
          <w:i w:val="0"/>
          <w:iCs w:val="0"/>
          <w:strike w:val="0"/>
          <w:dstrike w:val="0"/>
          <w:color w:val="auto"/>
          <w:sz w:val="24"/>
          <w:highlight w:val="none"/>
          <w:lang w:val="en-US" w:eastAsia="zh-CN"/>
        </w:rPr>
        <w:t>投标人</w:t>
      </w:r>
      <w:r>
        <w:rPr>
          <w:rFonts w:hint="eastAsia" w:ascii="仿宋" w:hAnsi="仿宋" w:eastAsia="仿宋" w:cs="仿宋"/>
          <w:i w:val="0"/>
          <w:iCs w:val="0"/>
          <w:strike w:val="0"/>
          <w:dstrike w:val="0"/>
          <w:color w:val="auto"/>
          <w:sz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17752D52">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优惠条件及特殊承诺（如</w:t>
      </w:r>
      <w:r>
        <w:rPr>
          <w:rFonts w:hint="eastAsia" w:ascii="仿宋" w:hAnsi="仿宋" w:eastAsia="仿宋" w:cs="仿宋"/>
          <w:i w:val="0"/>
          <w:iCs w:val="0"/>
          <w:color w:val="auto"/>
          <w:sz w:val="24"/>
          <w:highlight w:val="none"/>
          <w:lang w:val="en-US" w:eastAsia="zh-CN"/>
        </w:rPr>
        <w:t>果</w:t>
      </w:r>
      <w:r>
        <w:rPr>
          <w:rFonts w:hint="eastAsia"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3A1961F7">
      <w:pPr>
        <w:snapToGrid w:val="0"/>
        <w:spacing w:line="440" w:lineRule="exact"/>
        <w:ind w:firstLine="720" w:firstLineChars="3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承诺给予</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的各种优惠条件，包括设备价格、运输、保险、安装调试、付款条件、技术服务、售后服务等方面的优惠；当优惠条件涉及“报价单”中的各项费用时，必须与最后报价相统一；</w:t>
      </w:r>
    </w:p>
    <w:p w14:paraId="3EAC009C">
      <w:pPr>
        <w:snapToGrid w:val="0"/>
        <w:spacing w:line="440" w:lineRule="exact"/>
        <w:ind w:firstLine="720" w:firstLineChars="300"/>
        <w:rPr>
          <w:rFonts w:hint="eastAsia" w:ascii="仿宋" w:hAnsi="仿宋" w:eastAsia="仿宋" w:cs="仿宋"/>
          <w:i w:val="0"/>
          <w:iCs w:val="0"/>
          <w:strike w:val="0"/>
          <w:dstrike w:val="0"/>
          <w:color w:val="auto"/>
          <w:sz w:val="24"/>
          <w:highlight w:val="none"/>
          <w:lang w:eastAsia="zh-CN"/>
        </w:rPr>
      </w:pPr>
      <w:r>
        <w:rPr>
          <w:rFonts w:hint="eastAsia"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4</w:t>
      </w:r>
      <w:r>
        <w:rPr>
          <w:rFonts w:hint="eastAsia" w:ascii="仿宋" w:hAnsi="仿宋" w:eastAsia="仿宋" w:cs="仿宋"/>
          <w:i w:val="0"/>
          <w:iCs w:val="0"/>
          <w:strike w:val="0"/>
          <w:dstrike w:val="0"/>
          <w:color w:val="auto"/>
          <w:sz w:val="24"/>
          <w:highlight w:val="none"/>
        </w:rPr>
        <w:t>备品备件清单及供选择的配套零部件清单（如</w:t>
      </w:r>
      <w:r>
        <w:rPr>
          <w:rFonts w:hint="eastAsia" w:ascii="仿宋" w:hAnsi="仿宋" w:eastAsia="仿宋" w:cs="仿宋"/>
          <w:i w:val="0"/>
          <w:iCs w:val="0"/>
          <w:strike w:val="0"/>
          <w:dstrike w:val="0"/>
          <w:color w:val="auto"/>
          <w:sz w:val="24"/>
          <w:highlight w:val="none"/>
          <w:lang w:val="en-US" w:eastAsia="zh-CN"/>
        </w:rPr>
        <w:t>果</w:t>
      </w:r>
      <w:r>
        <w:rPr>
          <w:rFonts w:hint="eastAsia" w:ascii="仿宋" w:hAnsi="仿宋" w:eastAsia="仿宋" w:cs="仿宋"/>
          <w:i w:val="0"/>
          <w:iCs w:val="0"/>
          <w:strike w:val="0"/>
          <w:dstrike w:val="0"/>
          <w:color w:val="auto"/>
          <w:sz w:val="24"/>
          <w:highlight w:val="none"/>
        </w:rPr>
        <w:t>有）</w:t>
      </w:r>
      <w:r>
        <w:rPr>
          <w:rFonts w:hint="eastAsia" w:ascii="仿宋" w:hAnsi="仿宋" w:eastAsia="仿宋" w:cs="仿宋"/>
          <w:i w:val="0"/>
          <w:iCs w:val="0"/>
          <w:strike w:val="0"/>
          <w:dstrike w:val="0"/>
          <w:color w:val="auto"/>
          <w:sz w:val="24"/>
          <w:highlight w:val="none"/>
          <w:lang w:eastAsia="zh-CN"/>
        </w:rPr>
        <w:t>；</w:t>
      </w:r>
    </w:p>
    <w:p w14:paraId="6E2C1C00">
      <w:pPr>
        <w:snapToGrid w:val="0"/>
        <w:spacing w:line="440" w:lineRule="exact"/>
        <w:ind w:firstLine="720" w:firstLineChars="300"/>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dstrike w:val="0"/>
          <w:color w:val="auto"/>
          <w:sz w:val="24"/>
          <w:highlight w:val="none"/>
        </w:rPr>
        <w:t>含随机自带的备品备件和质保期后供</w:t>
      </w:r>
      <w:r>
        <w:rPr>
          <w:rFonts w:hint="eastAsia" w:ascii="仿宋" w:hAnsi="仿宋" w:eastAsia="仿宋" w:cs="仿宋"/>
          <w:i w:val="0"/>
          <w:iCs w:val="0"/>
          <w:strike w:val="0"/>
          <w:dstrike w:val="0"/>
          <w:color w:val="auto"/>
          <w:sz w:val="24"/>
          <w:highlight w:val="none"/>
          <w:lang w:eastAsia="zh-CN"/>
        </w:rPr>
        <w:t>招标人</w:t>
      </w:r>
      <w:r>
        <w:rPr>
          <w:rFonts w:hint="eastAsia" w:ascii="仿宋" w:hAnsi="仿宋" w:eastAsia="仿宋" w:cs="仿宋"/>
          <w:i w:val="0"/>
          <w:iCs w:val="0"/>
          <w:strike w:val="0"/>
          <w:dstrike w:val="0"/>
          <w:color w:val="auto"/>
          <w:sz w:val="24"/>
          <w:highlight w:val="none"/>
        </w:rPr>
        <w:t>选择的备品备件及配套零部件，明细备品备件及价格，且供货价格不高于成交价格；成交货物设备应提供易损部件的备件和整机备品；</w:t>
      </w:r>
    </w:p>
    <w:p w14:paraId="40964AE6">
      <w:pPr>
        <w:snapToGrid w:val="0"/>
        <w:spacing w:line="440" w:lineRule="exact"/>
        <w:ind w:firstLine="420" w:firstLineChars="175"/>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5</w:t>
      </w:r>
      <w:r>
        <w:rPr>
          <w:rFonts w:hint="eastAsia" w:ascii="仿宋" w:hAnsi="仿宋" w:eastAsia="仿宋" w:cs="仿宋"/>
          <w:i w:val="0"/>
          <w:iCs w:val="0"/>
          <w:strike w:val="0"/>
          <w:dstrike w:val="0"/>
          <w:color w:val="auto"/>
          <w:sz w:val="24"/>
          <w:highlight w:val="none"/>
        </w:rPr>
        <w:t>培训计划（如</w:t>
      </w:r>
      <w:r>
        <w:rPr>
          <w:rFonts w:hint="eastAsia" w:ascii="仿宋" w:hAnsi="仿宋" w:eastAsia="仿宋" w:cs="仿宋"/>
          <w:i w:val="0"/>
          <w:iCs w:val="0"/>
          <w:strike w:val="0"/>
          <w:dstrike w:val="0"/>
          <w:color w:val="auto"/>
          <w:sz w:val="24"/>
          <w:highlight w:val="none"/>
          <w:lang w:val="en-US" w:eastAsia="zh-CN"/>
        </w:rPr>
        <w:t>果</w:t>
      </w:r>
      <w:r>
        <w:rPr>
          <w:rFonts w:hint="eastAsia" w:ascii="仿宋" w:hAnsi="仿宋" w:eastAsia="仿宋" w:cs="仿宋"/>
          <w:i w:val="0"/>
          <w:iCs w:val="0"/>
          <w:strike w:val="0"/>
          <w:dstrike w:val="0"/>
          <w:color w:val="auto"/>
          <w:sz w:val="24"/>
          <w:highlight w:val="none"/>
        </w:rPr>
        <w:t>有）；</w:t>
      </w:r>
    </w:p>
    <w:p w14:paraId="6E3B0778">
      <w:pPr>
        <w:snapToGrid w:val="0"/>
        <w:spacing w:line="440" w:lineRule="exact"/>
        <w:ind w:firstLine="420" w:firstLineChars="175"/>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2.2.1</w:t>
      </w:r>
      <w:r>
        <w:rPr>
          <w:rFonts w:hint="eastAsia" w:ascii="仿宋" w:hAnsi="仿宋" w:eastAsia="仿宋" w:cs="仿宋"/>
          <w:i w:val="0"/>
          <w:iCs w:val="0"/>
          <w:strike w:val="0"/>
          <w:dstrike w:val="0"/>
          <w:color w:val="auto"/>
          <w:sz w:val="24"/>
          <w:highlight w:val="none"/>
          <w:lang w:val="en-US" w:eastAsia="zh-CN"/>
        </w:rPr>
        <w:t>6</w:t>
      </w:r>
      <w:r>
        <w:rPr>
          <w:rFonts w:hint="eastAsia" w:ascii="仿宋" w:hAnsi="仿宋" w:eastAsia="仿宋" w:cs="仿宋"/>
          <w:i w:val="0"/>
          <w:iCs w:val="0"/>
          <w:strike w:val="0"/>
          <w:dstrike w:val="0"/>
          <w:color w:val="auto"/>
          <w:sz w:val="24"/>
          <w:highlight w:val="none"/>
        </w:rPr>
        <w:t>验收方案；</w:t>
      </w:r>
    </w:p>
    <w:p w14:paraId="5578B82C">
      <w:pPr>
        <w:snapToGrid w:val="0"/>
        <w:spacing w:line="440" w:lineRule="exact"/>
        <w:ind w:firstLine="420" w:firstLineChars="175"/>
        <w:rPr>
          <w:rFonts w:hint="eastAsia" w:ascii="仿宋" w:hAnsi="仿宋" w:eastAsia="仿宋" w:cs="仿宋"/>
          <w:i w:val="0"/>
          <w:iCs w:val="0"/>
          <w:color w:val="auto"/>
          <w:sz w:val="24"/>
          <w:highlight w:val="none"/>
          <w:u w:val="wave"/>
        </w:rPr>
      </w:pPr>
      <w:r>
        <w:rPr>
          <w:rFonts w:hint="eastAsia"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投标人</w:t>
      </w:r>
      <w:r>
        <w:rPr>
          <w:rFonts w:hint="eastAsia" w:ascii="仿宋" w:hAnsi="仿宋" w:eastAsia="仿宋" w:cs="仿宋"/>
          <w:i w:val="0"/>
          <w:iCs w:val="0"/>
          <w:color w:val="auto"/>
          <w:sz w:val="24"/>
          <w:highlight w:val="none"/>
          <w:u w:val="wave"/>
        </w:rPr>
        <w:t>按评分标准和相对应标项相关要求制作；</w:t>
      </w:r>
    </w:p>
    <w:p w14:paraId="3E625FD6">
      <w:pPr>
        <w:snapToGrid w:val="0"/>
        <w:spacing w:line="440" w:lineRule="exact"/>
        <w:ind w:firstLine="420" w:firstLineChars="175"/>
        <w:rPr>
          <w:rFonts w:hint="eastAsia" w:ascii="仿宋" w:hAnsi="仿宋" w:eastAsia="仿宋" w:cs="仿宋"/>
          <w:i w:val="0"/>
          <w:iCs w:val="0"/>
          <w:color w:val="auto"/>
          <w:highlight w:val="none"/>
          <w:lang w:val="zh-CN"/>
        </w:rPr>
      </w:pPr>
      <w:r>
        <w:rPr>
          <w:rFonts w:hint="eastAsia"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kern w:val="0"/>
          <w:sz w:val="24"/>
          <w:highlight w:val="none"/>
          <w:lang w:val="zh-CN"/>
        </w:rPr>
        <w:t>认为需要的其他商务技术（资信）文件或说明</w:t>
      </w:r>
      <w:r>
        <w:rPr>
          <w:rFonts w:hint="eastAsia" w:ascii="仿宋" w:hAnsi="仿宋" w:eastAsia="仿宋" w:cs="仿宋"/>
          <w:i w:val="0"/>
          <w:iCs w:val="0"/>
          <w:color w:val="auto"/>
          <w:sz w:val="24"/>
          <w:highlight w:val="none"/>
        </w:rPr>
        <w:t>（格式自拟）。</w:t>
      </w:r>
    </w:p>
    <w:p w14:paraId="428094C7">
      <w:pPr>
        <w:snapToGrid w:val="0"/>
        <w:spacing w:line="440" w:lineRule="exact"/>
        <w:ind w:firstLine="422" w:firstLineChars="175"/>
        <w:rPr>
          <w:rFonts w:hint="eastAsia" w:ascii="仿宋" w:hAnsi="仿宋" w:eastAsia="仿宋" w:cs="仿宋"/>
          <w:b/>
          <w:i w:val="0"/>
          <w:iCs w:val="0"/>
          <w:color w:val="auto"/>
          <w:sz w:val="24"/>
          <w:highlight w:val="none"/>
          <w:lang w:val="zh-CN"/>
        </w:rPr>
      </w:pPr>
      <w:r>
        <w:rPr>
          <w:rFonts w:hint="eastAsia" w:ascii="仿宋" w:hAnsi="仿宋" w:eastAsia="仿宋" w:cs="仿宋"/>
          <w:b/>
          <w:i w:val="0"/>
          <w:iCs w:val="0"/>
          <w:color w:val="auto"/>
          <w:sz w:val="24"/>
          <w:highlight w:val="none"/>
          <w:lang w:val="zh-CN"/>
        </w:rPr>
        <w:t>2.3报价文件：</w:t>
      </w:r>
    </w:p>
    <w:p w14:paraId="209BE536">
      <w:pPr>
        <w:snapToGrid w:val="0"/>
        <w:spacing w:line="440" w:lineRule="exact"/>
        <w:ind w:firstLine="420" w:firstLineChars="175"/>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2.3.1开标一览表（报价表）；</w:t>
      </w:r>
    </w:p>
    <w:p w14:paraId="65478F09">
      <w:pPr>
        <w:snapToGrid w:val="0"/>
        <w:spacing w:line="440" w:lineRule="exact"/>
        <w:ind w:firstLine="0" w:firstLineChars="0"/>
        <w:rPr>
          <w:rFonts w:hint="eastAsia" w:ascii="仿宋" w:hAnsi="仿宋" w:eastAsia="仿宋" w:cs="仿宋"/>
          <w:b/>
          <w:bCs/>
          <w:i w:val="0"/>
          <w:iCs w:val="0"/>
          <w:color w:val="auto"/>
          <w:sz w:val="32"/>
          <w:highlight w:val="none"/>
        </w:rPr>
      </w:pPr>
      <w:r>
        <w:rPr>
          <w:rFonts w:hint="eastAsia" w:ascii="仿宋" w:hAnsi="仿宋" w:eastAsia="仿宋" w:cs="仿宋"/>
          <w:b/>
          <w:bCs/>
          <w:i w:val="0"/>
          <w:iCs w:val="0"/>
          <w:color w:val="auto"/>
          <w:sz w:val="24"/>
          <w:szCs w:val="20"/>
          <w:highlight w:val="none"/>
        </w:rPr>
        <w:t>3.投标报价</w:t>
      </w:r>
    </w:p>
    <w:p w14:paraId="71C52B54">
      <w:pPr>
        <w:pStyle w:val="62"/>
        <w:autoSpaceDE/>
        <w:autoSpaceDN/>
        <w:snapToGrid w:val="0"/>
        <w:spacing w:line="440" w:lineRule="exact"/>
        <w:ind w:firstLine="420" w:firstLineChars="175"/>
        <w:rPr>
          <w:rFonts w:hint="eastAsia" w:ascii="仿宋" w:hAnsi="仿宋" w:eastAsia="仿宋" w:cs="仿宋"/>
          <w:i w:val="0"/>
          <w:iCs w:val="0"/>
          <w:color w:val="auto"/>
          <w:highlight w:val="none"/>
          <w:lang w:val="en-US" w:eastAsia="zh-CN"/>
        </w:rPr>
      </w:pPr>
      <w:r>
        <w:rPr>
          <w:rFonts w:hint="eastAsia" w:ascii="仿宋" w:hAnsi="仿宋" w:eastAsia="仿宋" w:cs="仿宋"/>
          <w:i w:val="0"/>
          <w:iCs w:val="0"/>
          <w:color w:val="auto"/>
          <w:highlight w:val="none"/>
          <w:lang w:val="en-US"/>
        </w:rPr>
        <w:t>3.1</w:t>
      </w:r>
      <w:r>
        <w:rPr>
          <w:rFonts w:hint="eastAsia" w:ascii="仿宋" w:hAnsi="仿宋" w:eastAsia="仿宋" w:cs="仿宋"/>
          <w:i w:val="0"/>
          <w:iCs w:val="0"/>
          <w:color w:val="auto"/>
          <w:highlight w:val="none"/>
          <w:lang w:val="en-US" w:eastAsia="zh-CN"/>
        </w:rPr>
        <w:t>投标人</w:t>
      </w:r>
      <w:r>
        <w:rPr>
          <w:rFonts w:hint="eastAsia" w:ascii="仿宋" w:hAnsi="仿宋" w:eastAsia="仿宋" w:cs="仿宋"/>
          <w:i w:val="0"/>
          <w:iCs w:val="0"/>
          <w:color w:val="auto"/>
          <w:highlight w:val="none"/>
          <w:lang w:val="en-US"/>
        </w:rPr>
        <w:t>应按招标文件中《开标一览表》等附表要求填写</w:t>
      </w:r>
      <w:r>
        <w:rPr>
          <w:rFonts w:hint="eastAsia" w:ascii="仿宋" w:hAnsi="仿宋" w:eastAsia="仿宋" w:cs="仿宋"/>
          <w:i w:val="0"/>
          <w:iCs w:val="0"/>
          <w:color w:val="auto"/>
          <w:highlight w:val="none"/>
          <w:lang w:val="en-US" w:eastAsia="zh-CN"/>
        </w:rPr>
        <w:t>；</w:t>
      </w:r>
    </w:p>
    <w:p w14:paraId="791BF778">
      <w:pPr>
        <w:pStyle w:val="62"/>
        <w:autoSpaceDE/>
        <w:autoSpaceDN/>
        <w:snapToGrid w:val="0"/>
        <w:spacing w:line="440" w:lineRule="exact"/>
        <w:ind w:firstLine="420" w:firstLineChars="175"/>
        <w:rPr>
          <w:rFonts w:hint="eastAsia" w:ascii="仿宋" w:hAnsi="仿宋" w:eastAsia="仿宋" w:cs="仿宋"/>
          <w:i w:val="0"/>
          <w:iCs w:val="0"/>
          <w:color w:val="auto"/>
          <w:highlight w:val="none"/>
          <w:lang w:val="en-US" w:eastAsia="zh-CN"/>
        </w:rPr>
      </w:pPr>
      <w:r>
        <w:rPr>
          <w:rFonts w:hint="eastAsia" w:ascii="仿宋" w:hAnsi="仿宋" w:eastAsia="仿宋" w:cs="仿宋"/>
          <w:i w:val="0"/>
          <w:iCs w:val="0"/>
          <w:color w:val="auto"/>
          <w:highlight w:val="none"/>
          <w:lang w:val="en-US"/>
        </w:rPr>
        <w:t>3.2报价为</w:t>
      </w:r>
      <w:r>
        <w:rPr>
          <w:rFonts w:hint="eastAsia" w:ascii="仿宋" w:hAnsi="仿宋" w:eastAsia="仿宋" w:cs="仿宋"/>
          <w:i w:val="0"/>
          <w:iCs w:val="0"/>
          <w:color w:val="auto"/>
          <w:highlight w:val="none"/>
          <w:lang w:val="en-US" w:eastAsia="zh-CN"/>
        </w:rPr>
        <w:t>招标人</w:t>
      </w:r>
      <w:r>
        <w:rPr>
          <w:rFonts w:hint="eastAsia" w:ascii="仿宋" w:hAnsi="仿宋" w:eastAsia="仿宋" w:cs="仿宋"/>
          <w:i w:val="0"/>
          <w:iCs w:val="0"/>
          <w:color w:val="auto"/>
          <w:highlight w:val="none"/>
          <w:lang w:val="en-US"/>
        </w:rPr>
        <w:t>可以合格使用产品</w:t>
      </w:r>
      <w:r>
        <w:rPr>
          <w:rFonts w:hint="eastAsia" w:ascii="仿宋" w:hAnsi="仿宋" w:eastAsia="仿宋" w:cs="仿宋"/>
          <w:i w:val="0"/>
          <w:iCs w:val="0"/>
          <w:color w:val="auto"/>
          <w:highlight w:val="none"/>
          <w:lang w:val="en-US" w:eastAsia="zh-CN"/>
        </w:rPr>
        <w:t>或服务</w:t>
      </w:r>
      <w:r>
        <w:rPr>
          <w:rFonts w:hint="eastAsia" w:ascii="仿宋" w:hAnsi="仿宋" w:eastAsia="仿宋" w:cs="仿宋"/>
          <w:i w:val="0"/>
          <w:iCs w:val="0"/>
          <w:color w:val="auto"/>
          <w:highlight w:val="none"/>
          <w:lang w:val="en-US"/>
        </w:rPr>
        <w:t>的价格，包括货款、包装、运输、保险、货到就位以及安装、调试、培训、保修及产品知识产权等一切费用</w:t>
      </w:r>
      <w:r>
        <w:rPr>
          <w:rFonts w:hint="eastAsia" w:ascii="仿宋" w:hAnsi="仿宋" w:eastAsia="仿宋" w:cs="仿宋"/>
          <w:i w:val="0"/>
          <w:iCs w:val="0"/>
          <w:color w:val="auto"/>
          <w:highlight w:val="none"/>
          <w:lang w:val="en-US" w:eastAsia="zh-CN"/>
        </w:rPr>
        <w:t>；</w:t>
      </w:r>
    </w:p>
    <w:p w14:paraId="7939CE5A">
      <w:pPr>
        <w:pStyle w:val="62"/>
        <w:autoSpaceDE/>
        <w:autoSpaceDN/>
        <w:snapToGrid w:val="0"/>
        <w:spacing w:line="440" w:lineRule="exact"/>
        <w:ind w:firstLine="420" w:firstLineChars="175"/>
        <w:rPr>
          <w:rFonts w:hint="eastAsia" w:ascii="仿宋" w:hAnsi="仿宋" w:eastAsia="仿宋" w:cs="仿宋"/>
          <w:i w:val="0"/>
          <w:iCs w:val="0"/>
          <w:color w:val="auto"/>
          <w:highlight w:val="none"/>
          <w:lang w:val="en-US" w:eastAsia="zh-CN"/>
        </w:rPr>
      </w:pPr>
      <w:r>
        <w:rPr>
          <w:rFonts w:hint="eastAsia" w:ascii="仿宋" w:hAnsi="仿宋" w:eastAsia="仿宋" w:cs="仿宋"/>
          <w:i w:val="0"/>
          <w:iCs w:val="0"/>
          <w:color w:val="auto"/>
          <w:highlight w:val="none"/>
          <w:lang w:val="en-US"/>
        </w:rPr>
        <w:t>3.3招标文件未列明，而</w:t>
      </w:r>
      <w:r>
        <w:rPr>
          <w:rFonts w:hint="eastAsia" w:ascii="仿宋" w:hAnsi="仿宋" w:eastAsia="仿宋" w:cs="仿宋"/>
          <w:i w:val="0"/>
          <w:iCs w:val="0"/>
          <w:color w:val="auto"/>
          <w:highlight w:val="none"/>
          <w:lang w:val="en-US" w:eastAsia="zh-CN"/>
        </w:rPr>
        <w:t>投标人</w:t>
      </w:r>
      <w:r>
        <w:rPr>
          <w:rFonts w:hint="eastAsia" w:ascii="仿宋" w:hAnsi="仿宋" w:eastAsia="仿宋" w:cs="仿宋"/>
          <w:i w:val="0"/>
          <w:iCs w:val="0"/>
          <w:color w:val="auto"/>
          <w:highlight w:val="none"/>
          <w:lang w:val="en-US"/>
        </w:rPr>
        <w:t>认为必需的费用也需列入报价</w:t>
      </w:r>
      <w:r>
        <w:rPr>
          <w:rFonts w:hint="eastAsia" w:ascii="仿宋" w:hAnsi="仿宋" w:eastAsia="仿宋" w:cs="仿宋"/>
          <w:i w:val="0"/>
          <w:iCs w:val="0"/>
          <w:color w:val="auto"/>
          <w:highlight w:val="none"/>
          <w:lang w:val="en-US" w:eastAsia="zh-CN"/>
        </w:rPr>
        <w:t>；</w:t>
      </w:r>
    </w:p>
    <w:p w14:paraId="040DDC30">
      <w:pPr>
        <w:pStyle w:val="62"/>
        <w:autoSpaceDE/>
        <w:autoSpaceDN/>
        <w:snapToGrid w:val="0"/>
        <w:spacing w:line="440" w:lineRule="exact"/>
        <w:ind w:firstLine="420" w:firstLineChars="175"/>
        <w:rPr>
          <w:rFonts w:hint="eastAsia" w:ascii="仿宋" w:hAnsi="仿宋" w:eastAsia="仿宋" w:cs="仿宋"/>
          <w:b w:val="0"/>
          <w:bCs w:val="0"/>
          <w:i w:val="0"/>
          <w:iCs w:val="0"/>
          <w:color w:val="auto"/>
          <w:highlight w:val="none"/>
          <w:lang w:val="en-US" w:eastAsia="zh-CN"/>
        </w:rPr>
      </w:pPr>
      <w:r>
        <w:rPr>
          <w:rFonts w:hint="eastAsia" w:ascii="仿宋" w:hAnsi="仿宋" w:eastAsia="仿宋" w:cs="仿宋"/>
          <w:b w:val="0"/>
          <w:bCs w:val="0"/>
          <w:i w:val="0"/>
          <w:iCs w:val="0"/>
          <w:color w:val="auto"/>
          <w:highlight w:val="none"/>
          <w:lang w:val="en-US"/>
        </w:rPr>
        <w:t>3.4投标报价只允许有一个报价，有选择的报价将不予接受（除指定外）</w:t>
      </w:r>
      <w:r>
        <w:rPr>
          <w:rFonts w:hint="eastAsia" w:ascii="仿宋" w:hAnsi="仿宋" w:eastAsia="仿宋" w:cs="仿宋"/>
          <w:b w:val="0"/>
          <w:bCs w:val="0"/>
          <w:i w:val="0"/>
          <w:iCs w:val="0"/>
          <w:color w:val="auto"/>
          <w:highlight w:val="none"/>
          <w:lang w:val="en-US" w:eastAsia="zh-CN"/>
        </w:rPr>
        <w:t>；</w:t>
      </w:r>
    </w:p>
    <w:p w14:paraId="120BA069">
      <w:pPr>
        <w:pStyle w:val="131"/>
        <w:snapToGrid w:val="0"/>
        <w:spacing w:before="0" w:line="440" w:lineRule="exact"/>
        <w:ind w:firstLine="0" w:firstLineChars="0"/>
        <w:outlineLvl w:val="0"/>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4582EA97">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zh-CN"/>
        </w:rPr>
        <w:t>.1投标文件分为资格文件、商务技术（资信）文件、报价文件三部分。各投标人在编制投标文件时请按照招标文件第六部分规定的格式进行，混乱的编排导致投标文件被误读或</w:t>
      </w:r>
      <w:r>
        <w:rPr>
          <w:rFonts w:hint="eastAsia"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lang w:val="zh-CN"/>
        </w:rPr>
        <w:t>查找不到有效文件是投标人的风险。</w:t>
      </w:r>
    </w:p>
    <w:p w14:paraId="64BA8643">
      <w:pPr>
        <w:snapToGrid w:val="0"/>
        <w:spacing w:line="440" w:lineRule="exact"/>
        <w:ind w:firstLine="480" w:firstLineChars="200"/>
        <w:jc w:val="left"/>
        <w:rPr>
          <w:rFonts w:hint="eastAsia"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zh-CN"/>
        </w:rPr>
        <w:t>.2电子投标文件：投标人应根据《绍兴市阳光采购服务平台投标人电子投标文件制作工具使用手册》及本招标文件规定的格式和顺序编制电子投标文件并进行关联定位。</w:t>
      </w:r>
    </w:p>
    <w:p w14:paraId="1E340F94">
      <w:pPr>
        <w:snapToGrid w:val="0"/>
        <w:spacing w:line="440" w:lineRule="exact"/>
        <w:ind w:firstLine="480" w:firstLineChars="200"/>
        <w:jc w:val="left"/>
        <w:rPr>
          <w:rFonts w:hint="eastAsia"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格式要求进行签署、盖章。投标人的投标文件未按照招标文件要求签署、盖章的，其投标无效。</w:t>
      </w:r>
    </w:p>
    <w:p w14:paraId="405BA579">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为确保网上操作合法、有效和安全，投标人应当在投标截止时间前完成在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4AA4EC54">
      <w:pPr>
        <w:snapToGrid w:val="0"/>
        <w:spacing w:line="440" w:lineRule="exact"/>
        <w:ind w:firstLine="480" w:firstLineChars="200"/>
        <w:jc w:val="left"/>
        <w:rPr>
          <w:rFonts w:hint="eastAsia"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38088757">
      <w:pPr>
        <w:pStyle w:val="131"/>
        <w:spacing w:before="0" w:line="440" w:lineRule="exact"/>
        <w:ind w:firstLine="0" w:firstLineChars="0"/>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5.投标文件的提交、补充、修改、撤回</w:t>
      </w:r>
    </w:p>
    <w:p w14:paraId="1B4D9640">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50135F2">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5.2在投标截止时间前，除</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补充、修改或者撤回投标文件外，任何单位和个人不得解密或提取投标文件。</w:t>
      </w:r>
    </w:p>
    <w:p w14:paraId="3BDC9F88">
      <w:pPr>
        <w:spacing w:line="440" w:lineRule="exact"/>
        <w:rPr>
          <w:rFonts w:hint="eastAsia" w:ascii="仿宋" w:hAnsi="仿宋" w:eastAsia="仿宋" w:cs="仿宋"/>
          <w:b/>
          <w:i w:val="0"/>
          <w:iCs w:val="0"/>
          <w:color w:val="auto"/>
          <w:sz w:val="32"/>
          <w:highlight w:val="none"/>
        </w:rPr>
      </w:pPr>
      <w:r>
        <w:rPr>
          <w:rFonts w:hint="eastAsia" w:ascii="仿宋" w:hAnsi="仿宋" w:eastAsia="仿宋" w:cs="仿宋"/>
          <w:b/>
          <w:bCs/>
          <w:i w:val="0"/>
          <w:iCs w:val="0"/>
          <w:color w:val="auto"/>
          <w:sz w:val="24"/>
          <w:highlight w:val="none"/>
        </w:rPr>
        <w:t>6.投标有效期</w:t>
      </w:r>
    </w:p>
    <w:p w14:paraId="138DB4B3">
      <w:pPr>
        <w:snapToGrid w:val="0"/>
        <w:spacing w:line="440" w:lineRule="exact"/>
        <w:ind w:firstLine="480" w:firstLineChars="200"/>
        <w:jc w:val="left"/>
        <w:rPr>
          <w:rFonts w:hint="eastAsia" w:ascii="仿宋" w:hAnsi="仿宋" w:eastAsia="仿宋" w:cs="仿宋"/>
          <w:b/>
          <w:i w:val="0"/>
          <w:iCs w:val="0"/>
          <w:color w:val="auto"/>
          <w:sz w:val="32"/>
          <w:highlight w:val="none"/>
        </w:rPr>
      </w:pPr>
      <w:r>
        <w:rPr>
          <w:rFonts w:hint="eastAsia"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lang w:eastAsia="zh-CN"/>
        </w:rPr>
        <w:t>投标有效期详见本招标文件“</w:t>
      </w:r>
      <w:r>
        <w:rPr>
          <w:rFonts w:hint="eastAsia" w:ascii="仿宋" w:hAnsi="仿宋" w:eastAsia="仿宋" w:cs="仿宋"/>
          <w:i w:val="0"/>
          <w:iCs w:val="0"/>
          <w:color w:val="auto"/>
          <w:sz w:val="24"/>
          <w:highlight w:val="none"/>
        </w:rPr>
        <w:t>第二部分 投标须知</w:t>
      </w:r>
      <w:r>
        <w:rPr>
          <w:rFonts w:hint="eastAsia" w:ascii="仿宋" w:hAnsi="仿宋" w:eastAsia="仿宋" w:cs="仿宋"/>
          <w:i w:val="0"/>
          <w:iCs w:val="0"/>
          <w:color w:val="auto"/>
          <w:sz w:val="24"/>
          <w:highlight w:val="none"/>
          <w:lang w:eastAsia="zh-CN"/>
        </w:rPr>
        <w:t>”的“前附表”第</w:t>
      </w:r>
      <w:r>
        <w:rPr>
          <w:rFonts w:hint="eastAsia" w:ascii="仿宋" w:hAnsi="仿宋" w:eastAsia="仿宋" w:cs="仿宋"/>
          <w:i w:val="0"/>
          <w:iCs w:val="0"/>
          <w:color w:val="auto"/>
          <w:sz w:val="24"/>
          <w:highlight w:val="none"/>
          <w:lang w:val="en-US" w:eastAsia="zh-CN"/>
        </w:rPr>
        <w:t>3项内容</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的投标文件中承诺的投标有效期少于招标文件中载明的投标有效期的，投标无效。</w:t>
      </w:r>
    </w:p>
    <w:p w14:paraId="2E09A048">
      <w:pPr>
        <w:snapToGrid w:val="0"/>
        <w:spacing w:line="440" w:lineRule="exact"/>
        <w:ind w:firstLine="480" w:firstLineChars="200"/>
        <w:jc w:val="left"/>
        <w:rPr>
          <w:rFonts w:hint="eastAsia" w:ascii="仿宋" w:hAnsi="仿宋" w:eastAsia="仿宋" w:cs="仿宋"/>
          <w:b/>
          <w:i w:val="0"/>
          <w:iCs w:val="0"/>
          <w:color w:val="auto"/>
          <w:sz w:val="32"/>
          <w:highlight w:val="none"/>
        </w:rPr>
      </w:pPr>
      <w:r>
        <w:rPr>
          <w:rFonts w:hint="eastAsia" w:ascii="仿宋" w:hAnsi="仿宋" w:eastAsia="仿宋" w:cs="仿宋"/>
          <w:i w:val="0"/>
          <w:iCs w:val="0"/>
          <w:color w:val="auto"/>
          <w:sz w:val="24"/>
          <w:highlight w:val="none"/>
        </w:rPr>
        <w:t>6.2投标文件合格投递后，自投标截止日期起，在投标有效期内有效。</w:t>
      </w:r>
    </w:p>
    <w:p w14:paraId="4D60DA5E">
      <w:pPr>
        <w:pStyle w:val="131"/>
        <w:spacing w:before="0" w:line="440" w:lineRule="exact"/>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6.3在原定投标有效期满之前，如果出现特殊情况，</w:t>
      </w:r>
      <w:r>
        <w:rPr>
          <w:rFonts w:hint="eastAsia" w:ascii="仿宋" w:hAnsi="仿宋" w:eastAsia="仿宋" w:cs="仿宋"/>
          <w:i w:val="0"/>
          <w:iCs w:val="0"/>
          <w:color w:val="auto"/>
          <w:szCs w:val="24"/>
          <w:highlight w:val="none"/>
          <w:lang w:eastAsia="zh-CN"/>
        </w:rPr>
        <w:t>招标人</w:t>
      </w:r>
      <w:r>
        <w:rPr>
          <w:rFonts w:hint="eastAsia"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拒绝延长的，其投标无效。</w:t>
      </w:r>
    </w:p>
    <w:p w14:paraId="3B7A61B4">
      <w:pPr>
        <w:pStyle w:val="131"/>
        <w:spacing w:before="0" w:line="440" w:lineRule="exact"/>
        <w:ind w:firstLine="643"/>
        <w:rPr>
          <w:rFonts w:hint="eastAsia" w:ascii="仿宋" w:hAnsi="仿宋" w:eastAsia="仿宋" w:cs="仿宋"/>
          <w:b/>
          <w:i w:val="0"/>
          <w:iCs w:val="0"/>
          <w:color w:val="auto"/>
          <w:sz w:val="32"/>
          <w:highlight w:val="none"/>
        </w:rPr>
      </w:pPr>
    </w:p>
    <w:p w14:paraId="2344F1DA">
      <w:pPr>
        <w:spacing w:line="360" w:lineRule="auto"/>
        <w:jc w:val="center"/>
        <w:rPr>
          <w:rFonts w:hint="eastAsia" w:ascii="仿宋" w:hAnsi="仿宋" w:eastAsia="仿宋" w:cs="仿宋"/>
          <w:b/>
          <w:i w:val="0"/>
          <w:iCs w:val="0"/>
          <w:color w:val="auto"/>
          <w:sz w:val="32"/>
          <w:szCs w:val="32"/>
          <w:highlight w:val="none"/>
        </w:rPr>
      </w:pPr>
      <w:bookmarkStart w:id="32" w:name="_Toc91899903"/>
      <w:r>
        <w:rPr>
          <w:rFonts w:hint="eastAsia" w:ascii="仿宋" w:hAnsi="仿宋" w:eastAsia="仿宋" w:cs="仿宋"/>
          <w:b/>
          <w:i w:val="0"/>
          <w:iCs w:val="0"/>
          <w:color w:val="auto"/>
          <w:sz w:val="32"/>
          <w:szCs w:val="32"/>
          <w:highlight w:val="none"/>
        </w:rPr>
        <w:t>四、开标和评标</w:t>
      </w:r>
    </w:p>
    <w:p w14:paraId="3A7283A1">
      <w:pPr>
        <w:snapToGrid w:val="0"/>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1．电子招投标开标及评审程序</w:t>
      </w:r>
    </w:p>
    <w:p w14:paraId="10A45D2A">
      <w:pPr>
        <w:snapToGrid w:val="0"/>
        <w:spacing w:line="440" w:lineRule="exact"/>
        <w:ind w:firstLine="480" w:firstLineChars="200"/>
        <w:jc w:val="left"/>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1.1投标截止时间后，主持人宣布开标会开始。</w:t>
      </w:r>
      <w:r>
        <w:rPr>
          <w:rFonts w:hint="eastAsia" w:ascii="仿宋" w:hAnsi="仿宋" w:eastAsia="仿宋" w:cs="仿宋"/>
          <w:b/>
          <w:bCs/>
          <w:i w:val="0"/>
          <w:iCs w:val="0"/>
          <w:color w:val="auto"/>
          <w:sz w:val="24"/>
          <w:highlight w:val="none"/>
          <w:lang w:val="en-US" w:eastAsia="zh-CN"/>
        </w:rPr>
        <w:t>如有效投标人不足3家的，招标人将重新组织招标。</w:t>
      </w:r>
    </w:p>
    <w:p w14:paraId="0AA7FA4E">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登录</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Fonts w:hint="eastAsia" w:ascii="仿宋" w:hAnsi="仿宋" w:eastAsia="仿宋" w:cs="仿宋"/>
          <w:i w:val="0"/>
          <w:iCs w:val="0"/>
          <w:color w:val="auto"/>
          <w:sz w:val="24"/>
          <w:highlight w:val="none"/>
          <w:lang w:val="en-US" w:eastAsia="zh-CN"/>
        </w:rPr>
        <w:t>电子投标文件制作工具</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使用解密</w:t>
      </w:r>
      <w:r>
        <w:rPr>
          <w:rFonts w:hint="eastAsia" w:ascii="仿宋" w:hAnsi="仿宋" w:eastAsia="仿宋" w:cs="仿宋"/>
          <w:i w:val="0"/>
          <w:iCs w:val="0"/>
          <w:color w:val="auto"/>
          <w:sz w:val="24"/>
          <w:highlight w:val="none"/>
        </w:rPr>
        <w:t>功能对电子投标文件进行在线解密。在线解密电子投标文件时间为开标时间起</w:t>
      </w:r>
      <w:r>
        <w:rPr>
          <w:rFonts w:hint="eastAsia" w:ascii="仿宋" w:hAnsi="仿宋" w:eastAsia="仿宋" w:cs="仿宋"/>
          <w:i w:val="0"/>
          <w:iCs w:val="0"/>
          <w:color w:val="auto"/>
          <w:sz w:val="24"/>
          <w:highlight w:val="none"/>
          <w:lang w:eastAsia="zh-CN"/>
        </w:rPr>
        <w:t>6</w:t>
      </w:r>
      <w:r>
        <w:rPr>
          <w:rFonts w:hint="eastAsia" w:ascii="仿宋" w:hAnsi="仿宋" w:eastAsia="仿宋" w:cs="仿宋"/>
          <w:i w:val="0"/>
          <w:iCs w:val="0"/>
          <w:color w:val="auto"/>
          <w:sz w:val="24"/>
          <w:highlight w:val="none"/>
        </w:rPr>
        <w:t>0分钟内</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w:t>
      </w:r>
      <w:r>
        <w:rPr>
          <w:rFonts w:hint="eastAsia" w:ascii="仿宋" w:hAnsi="仿宋" w:eastAsia="仿宋" w:cs="仿宋"/>
          <w:i w:val="0"/>
          <w:iCs w:val="0"/>
          <w:color w:val="auto"/>
          <w:sz w:val="24"/>
          <w:highlight w:val="none"/>
          <w:lang w:eastAsia="zh-CN"/>
        </w:rPr>
        <w:t>系统</w:t>
      </w:r>
      <w:r>
        <w:rPr>
          <w:rFonts w:hint="eastAsia" w:ascii="仿宋" w:hAnsi="仿宋" w:eastAsia="仿宋" w:cs="仿宋"/>
          <w:i w:val="0"/>
          <w:iCs w:val="0"/>
          <w:color w:val="auto"/>
          <w:sz w:val="24"/>
          <w:highlight w:val="none"/>
          <w:lang w:val="en-US" w:eastAsia="zh-CN"/>
        </w:rPr>
        <w:t>时间为准）</w:t>
      </w:r>
      <w:r>
        <w:rPr>
          <w:rFonts w:hint="eastAsia" w:ascii="仿宋" w:hAnsi="仿宋" w:eastAsia="仿宋" w:cs="仿宋"/>
          <w:i w:val="0"/>
          <w:iCs w:val="0"/>
          <w:color w:val="auto"/>
          <w:sz w:val="24"/>
          <w:highlight w:val="none"/>
        </w:rPr>
        <w:t>。</w:t>
      </w:r>
    </w:p>
    <w:p w14:paraId="5684A468">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1.3评审小组对资格和商务技术</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响应文件进行评审。</w:t>
      </w:r>
    </w:p>
    <w:p w14:paraId="7B89F833">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1.4主持人宣布</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得分及无效（废）投标情形（如</w:t>
      </w:r>
      <w:r>
        <w:rPr>
          <w:rFonts w:hint="eastAsia" w:ascii="仿宋" w:hAnsi="仿宋" w:eastAsia="仿宋" w:cs="仿宋"/>
          <w:i w:val="0"/>
          <w:iCs w:val="0"/>
          <w:color w:val="auto"/>
          <w:sz w:val="24"/>
          <w:highlight w:val="none"/>
          <w:lang w:val="en-US" w:eastAsia="zh-CN"/>
        </w:rPr>
        <w:t>果</w:t>
      </w:r>
      <w:r>
        <w:rPr>
          <w:rFonts w:hint="eastAsia" w:ascii="仿宋" w:hAnsi="仿宋" w:eastAsia="仿宋" w:cs="仿宋"/>
          <w:i w:val="0"/>
          <w:iCs w:val="0"/>
          <w:color w:val="auto"/>
          <w:sz w:val="24"/>
          <w:highlight w:val="none"/>
        </w:rPr>
        <w:t>有），公布经</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评审符合招标文件要求的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名单及其</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得分。</w:t>
      </w:r>
    </w:p>
    <w:p w14:paraId="7923DFBE">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hint="eastAsia"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hint="eastAsia"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6BD6D5E9">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1.6评审小组对投标文件报价文件资料进行评审，核准投标报价及计算价格分，汇总</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分、价格分，根据得分排序确定中标候选人。</w:t>
      </w:r>
    </w:p>
    <w:p w14:paraId="114C0224">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1.7主持人公布评标结果。</w:t>
      </w:r>
    </w:p>
    <w:p w14:paraId="1ABA6800">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424E947E">
      <w:pPr>
        <w:snapToGrid w:val="0"/>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val="en-US" w:eastAsia="zh-CN"/>
        </w:rPr>
        <w:t>招标</w:t>
      </w:r>
      <w:r>
        <w:rPr>
          <w:rFonts w:hint="eastAsia" w:ascii="仿宋" w:hAnsi="仿宋" w:eastAsia="仿宋" w:cs="仿宋"/>
          <w:b/>
          <w:i w:val="0"/>
          <w:iCs w:val="0"/>
          <w:color w:val="auto"/>
          <w:sz w:val="24"/>
          <w:highlight w:val="none"/>
        </w:rPr>
        <w:t>过程中出现以下情形，导致电子交易平台无法正常运行，或者无法保证电子交易的公平、公正和安全时，</w:t>
      </w:r>
      <w:r>
        <w:rPr>
          <w:rFonts w:hint="eastAsia" w:ascii="仿宋" w:hAnsi="仿宋" w:eastAsia="仿宋" w:cs="仿宋"/>
          <w:b/>
          <w:i w:val="0"/>
          <w:iCs w:val="0"/>
          <w:color w:val="auto"/>
          <w:sz w:val="24"/>
          <w:highlight w:val="none"/>
          <w:lang w:eastAsia="zh-CN"/>
        </w:rPr>
        <w:t>招标人</w:t>
      </w:r>
      <w:r>
        <w:rPr>
          <w:rFonts w:hint="eastAsia" w:ascii="仿宋" w:hAnsi="仿宋" w:eastAsia="仿宋" w:cs="仿宋"/>
          <w:b/>
          <w:i w:val="0"/>
          <w:iCs w:val="0"/>
          <w:color w:val="auto"/>
          <w:sz w:val="24"/>
          <w:highlight w:val="none"/>
        </w:rPr>
        <w:t>可暂停或延期交易活动：</w:t>
      </w:r>
    </w:p>
    <w:p w14:paraId="0D1CAA4A">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p>
    <w:p w14:paraId="048C9E7E">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p>
    <w:p w14:paraId="393EB7B9">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2.3电子交易平台硬件技术故障；</w:t>
      </w:r>
    </w:p>
    <w:p w14:paraId="33E95ED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 xml:space="preserve">2.4电子交易平台系统软件异常； </w:t>
      </w:r>
    </w:p>
    <w:p w14:paraId="3B63CC3E">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2.5其他导致电子交易平台无法正常运行，影响交易活动正常开展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无法保证电子交易的公平、公正和安全的情况。</w:t>
      </w:r>
    </w:p>
    <w:p w14:paraId="2BEDEF4E">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w:t>
      </w:r>
      <w:r>
        <w:rPr>
          <w:rFonts w:hint="eastAsia" w:ascii="仿宋" w:hAnsi="仿宋" w:eastAsia="仿宋" w:cs="仿宋"/>
          <w:i w:val="0"/>
          <w:iCs w:val="0"/>
          <w:color w:val="auto"/>
          <w:sz w:val="24"/>
          <w:highlight w:val="none"/>
          <w:lang w:val="en-US" w:eastAsia="zh-CN"/>
        </w:rPr>
        <w:t>招标</w:t>
      </w:r>
      <w:r>
        <w:rPr>
          <w:rFonts w:hint="eastAsia" w:ascii="仿宋" w:hAnsi="仿宋" w:eastAsia="仿宋" w:cs="仿宋"/>
          <w:i w:val="0"/>
          <w:iCs w:val="0"/>
          <w:color w:val="auto"/>
          <w:sz w:val="24"/>
          <w:highlight w:val="none"/>
        </w:rPr>
        <w:t>公平、公正性的，</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w:t>
      </w:r>
      <w:r>
        <w:rPr>
          <w:rFonts w:hint="eastAsia" w:ascii="仿宋" w:hAnsi="仿宋" w:eastAsia="仿宋" w:cs="仿宋"/>
          <w:i w:val="0"/>
          <w:iCs w:val="0"/>
          <w:color w:val="auto"/>
          <w:sz w:val="24"/>
          <w:highlight w:val="none"/>
          <w:lang w:val="en-US" w:eastAsia="zh-CN"/>
        </w:rPr>
        <w:t>招标</w:t>
      </w:r>
      <w:r>
        <w:rPr>
          <w:rFonts w:hint="eastAsia" w:ascii="仿宋" w:hAnsi="仿宋" w:eastAsia="仿宋" w:cs="仿宋"/>
          <w:i w:val="0"/>
          <w:iCs w:val="0"/>
          <w:color w:val="auto"/>
          <w:sz w:val="24"/>
          <w:highlight w:val="none"/>
        </w:rPr>
        <w:t>公平、公正性的，应当重新</w:t>
      </w:r>
      <w:r>
        <w:rPr>
          <w:rFonts w:hint="eastAsia" w:ascii="仿宋" w:hAnsi="仿宋" w:eastAsia="仿宋" w:cs="仿宋"/>
          <w:i w:val="0"/>
          <w:iCs w:val="0"/>
          <w:color w:val="auto"/>
          <w:sz w:val="24"/>
          <w:highlight w:val="none"/>
          <w:lang w:val="en-US" w:eastAsia="zh-CN"/>
        </w:rPr>
        <w:t>组织招标</w:t>
      </w:r>
      <w:r>
        <w:rPr>
          <w:rFonts w:hint="eastAsia" w:ascii="仿宋" w:hAnsi="仿宋" w:eastAsia="仿宋" w:cs="仿宋"/>
          <w:i w:val="0"/>
          <w:iCs w:val="0"/>
          <w:color w:val="auto"/>
          <w:sz w:val="24"/>
          <w:highlight w:val="none"/>
        </w:rPr>
        <w:t>。</w:t>
      </w:r>
    </w:p>
    <w:p w14:paraId="54E381CA">
      <w:pPr>
        <w:snapToGrid w:val="0"/>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3．评标</w:t>
      </w:r>
    </w:p>
    <w:p w14:paraId="7AA8A587">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3.1评审小组由</w:t>
      </w:r>
      <w:r>
        <w:rPr>
          <w:rFonts w:hint="eastAsia" w:ascii="仿宋" w:hAnsi="仿宋" w:eastAsia="仿宋" w:cs="仿宋"/>
          <w:i w:val="0"/>
          <w:iCs w:val="0"/>
          <w:color w:val="auto"/>
          <w:sz w:val="24"/>
          <w:highlight w:val="none"/>
          <w:lang w:val="en-US" w:eastAsia="zh-CN"/>
        </w:rPr>
        <w:t>招标人</w:t>
      </w:r>
      <w:r>
        <w:rPr>
          <w:rFonts w:hint="eastAsia" w:ascii="仿宋" w:hAnsi="仿宋" w:eastAsia="仿宋" w:cs="仿宋"/>
          <w:i w:val="0"/>
          <w:iCs w:val="0"/>
          <w:color w:val="auto"/>
          <w:sz w:val="24"/>
          <w:highlight w:val="none"/>
        </w:rPr>
        <w:t>依法组建，负责评标活动。评审小组遵循公开、公平、公正、科学合理、竞争择优的原则。</w:t>
      </w:r>
    </w:p>
    <w:p w14:paraId="03E58CD9">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3.2评审小组由</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代表和有关方面的专家组成，成员人数为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人及以上单数。其中评审专家人数比例原则上应达到三分之二及以上。</w:t>
      </w:r>
    </w:p>
    <w:p w14:paraId="16DEB977">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3.3评审小组负责对</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资格的最终审定。</w:t>
      </w:r>
    </w:p>
    <w:p w14:paraId="16DB74F9">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3.4评审小组可以要求</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69F92CDC">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对投标、响应文件作出澄清、说明或者补正的，评审小组和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已经明确表示澄清说明或补正完毕的除外。</w:t>
      </w:r>
    </w:p>
    <w:p w14:paraId="0FC82450">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3.5评审小组组长组织评审人员独立评审。评审小组对拟认定为</w:t>
      </w:r>
      <w:r>
        <w:rPr>
          <w:rFonts w:hint="eastAsia" w:ascii="仿宋" w:hAnsi="仿宋" w:eastAsia="仿宋" w:cs="仿宋"/>
          <w:i w:val="0"/>
          <w:iCs w:val="0"/>
          <w:color w:val="auto"/>
          <w:sz w:val="24"/>
          <w:highlight w:val="none"/>
          <w:lang w:val="en-US" w:eastAsia="zh-CN"/>
        </w:rPr>
        <w:t>招标</w:t>
      </w:r>
      <w:r>
        <w:rPr>
          <w:rFonts w:hint="eastAsia" w:ascii="仿宋" w:hAnsi="仿宋" w:eastAsia="仿宋" w:cs="仿宋"/>
          <w:i w:val="0"/>
          <w:iCs w:val="0"/>
          <w:color w:val="auto"/>
          <w:sz w:val="24"/>
          <w:highlight w:val="none"/>
        </w:rPr>
        <w:t>响应文件无效、</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资格不符合的，应组织相关</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代表进行陈述、澄清或申辩；</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lang w:val="en-US" w:eastAsia="zh-CN"/>
        </w:rPr>
        <w:t>或招标代理机构</w:t>
      </w:r>
      <w:r>
        <w:rPr>
          <w:rFonts w:hint="eastAsia" w:ascii="仿宋" w:hAnsi="仿宋" w:eastAsia="仿宋" w:cs="仿宋"/>
          <w:i w:val="0"/>
          <w:iCs w:val="0"/>
          <w:color w:val="auto"/>
          <w:sz w:val="24"/>
          <w:highlight w:val="none"/>
        </w:rPr>
        <w:t>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w:t>
      </w:r>
      <w:r>
        <w:rPr>
          <w:rFonts w:hint="eastAsia" w:ascii="仿宋" w:hAnsi="仿宋" w:eastAsia="仿宋" w:cs="仿宋"/>
          <w:i w:val="0"/>
          <w:iCs w:val="0"/>
          <w:color w:val="auto"/>
          <w:sz w:val="24"/>
          <w:highlight w:val="none"/>
          <w:lang w:val="en-US" w:eastAsia="zh-CN"/>
        </w:rPr>
        <w:t>管人</w:t>
      </w:r>
      <w:r>
        <w:rPr>
          <w:rFonts w:hint="eastAsia" w:ascii="仿宋" w:hAnsi="仿宋" w:eastAsia="仿宋" w:cs="仿宋"/>
          <w:i w:val="0"/>
          <w:iCs w:val="0"/>
          <w:color w:val="auto"/>
          <w:sz w:val="24"/>
          <w:highlight w:val="none"/>
        </w:rPr>
        <w:t>员据实记录；评审人员的评审、修改记录应保留原件，随项目其他资料一并存档。</w:t>
      </w:r>
    </w:p>
    <w:p w14:paraId="20EBA694">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3.6评审小组对投标文件的判定，只依据投标文件和招标文件内容本身，不依据任何外来证明。</w:t>
      </w:r>
    </w:p>
    <w:p w14:paraId="216EC865">
      <w:pPr>
        <w:snapToGrid w:val="0"/>
        <w:spacing w:line="440" w:lineRule="exact"/>
        <w:ind w:firstLine="480" w:firstLineChars="200"/>
        <w:jc w:val="left"/>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3.7评审小组不向落标方解释落标的原因。</w:t>
      </w:r>
    </w:p>
    <w:p w14:paraId="793C0BED">
      <w:pPr>
        <w:snapToGrid w:val="0"/>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4．投标文件的初审鉴定</w:t>
      </w:r>
    </w:p>
    <w:p w14:paraId="3A9F6C4E">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4.1资格性审查</w:t>
      </w:r>
    </w:p>
    <w:p w14:paraId="399F11CB">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4.1.1依据法律、法规和招标文件规定，本项目由</w:t>
      </w:r>
      <w:r>
        <w:rPr>
          <w:rFonts w:hint="eastAsia" w:ascii="仿宋" w:hAnsi="仿宋" w:eastAsia="仿宋" w:cs="仿宋"/>
          <w:i w:val="0"/>
          <w:iCs w:val="0"/>
          <w:color w:val="auto"/>
          <w:sz w:val="24"/>
          <w:highlight w:val="none"/>
          <w:lang w:val="en-US" w:eastAsia="zh-CN"/>
        </w:rPr>
        <w:t>评审小组</w:t>
      </w:r>
      <w:r>
        <w:rPr>
          <w:rFonts w:hint="eastAsia" w:ascii="仿宋" w:hAnsi="仿宋" w:eastAsia="仿宋" w:cs="仿宋"/>
          <w:i w:val="0"/>
          <w:iCs w:val="0"/>
          <w:color w:val="auto"/>
          <w:sz w:val="24"/>
          <w:highlight w:val="none"/>
        </w:rPr>
        <w:t>组织资格审查，并出具资格审查报告。</w:t>
      </w:r>
    </w:p>
    <w:p w14:paraId="371CD92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4.2符合性审查</w:t>
      </w:r>
    </w:p>
    <w:p w14:paraId="233EDE63">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4.2.1评标时，评审小组将首先评定每份投标文件是否在实质上响应了招标文件要求。所谓实质上的响应，是指投标文件与招标文件的所有实质性条款、条件和要求相符，无显著差异或保留，或者对合同中约定的</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的权利和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的竞争地位产生不公正的影响。评审小组决定投标文件的响应性只根据投标文件本身的内容，而不寻求外部证据。</w:t>
      </w:r>
    </w:p>
    <w:p w14:paraId="3B6606FA">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4.3如果投标文件实质不响应招标文件的各项要求，评审小组将予以拒绝，并且不允许</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通过修改或撤销其不符合要求的差异或保留，使之成为具有实质性响应的投标。</w:t>
      </w:r>
    </w:p>
    <w:p w14:paraId="313C5F9B">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252E1E1A">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5.1投标文件中开标一览表（报价表）内容与投标文件中相应内容不一致的，以开标一览表（报价表）为准；</w:t>
      </w:r>
    </w:p>
    <w:p w14:paraId="11FB73BE">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5.2大写金额和小写金额不一致的，以大写金额为准；</w:t>
      </w:r>
    </w:p>
    <w:p w14:paraId="49F3D098">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5.3单价金额小数点或者百分比有明显错位的，以开标一览表的总价为准，并修改单价；</w:t>
      </w:r>
    </w:p>
    <w:p w14:paraId="53C3803C">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5.4总价金额与按单价汇总金额不一致的，以单价金额计算结果为准。</w:t>
      </w:r>
    </w:p>
    <w:p w14:paraId="0721F5F5">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不确认的，其投标无效。</w:t>
      </w:r>
    </w:p>
    <w:p w14:paraId="2C17F213">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6.投标文件的评审、比较和否决</w:t>
      </w:r>
    </w:p>
    <w:p w14:paraId="4BBA871B">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6.1评审小组将对在实质上响应招标文件要求的投标文件进行评估和比较。</w:t>
      </w:r>
    </w:p>
    <w:p w14:paraId="64CA9F0C">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6.2在评审过程中，评审小组可以书面形式要求</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70920A1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6.3在评标过程中，如发现与招标文件要求相偏离的，评审小组可对其偏离情形进行必要的核实。</w:t>
      </w:r>
    </w:p>
    <w:p w14:paraId="1712C42B">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6080D170">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6.5比较与评价。评审小组应当按照评标标准，对符合性审查合格的投标文件进行商务和技术评估，综合比较与评价。</w:t>
      </w:r>
    </w:p>
    <w:p w14:paraId="1374B0F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6.6汇总</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得分情况。评审小组各成员应当独立对每个</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商务技术（资信）文件</w:t>
      </w:r>
      <w:r>
        <w:rPr>
          <w:rFonts w:hint="eastAsia" w:ascii="仿宋" w:hAnsi="仿宋" w:eastAsia="仿宋" w:cs="仿宋"/>
          <w:i w:val="0"/>
          <w:iCs w:val="0"/>
          <w:color w:val="auto"/>
          <w:sz w:val="24"/>
          <w:highlight w:val="none"/>
        </w:rPr>
        <w:t>进行评价，并汇总</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得分情况。</w:t>
      </w:r>
    </w:p>
    <w:p w14:paraId="6E19C646">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6.7报价审核。对符合</w:t>
      </w:r>
      <w:r>
        <w:rPr>
          <w:rFonts w:hint="eastAsia" w:ascii="仿宋" w:hAnsi="仿宋" w:eastAsia="仿宋" w:cs="仿宋"/>
          <w:i w:val="0"/>
          <w:iCs w:val="0"/>
          <w:color w:val="auto"/>
          <w:sz w:val="24"/>
          <w:highlight w:val="none"/>
          <w:lang w:val="en-US" w:eastAsia="zh-CN"/>
        </w:rPr>
        <w:t>招标</w:t>
      </w:r>
      <w:r>
        <w:rPr>
          <w:rFonts w:hint="eastAsia" w:ascii="仿宋" w:hAnsi="仿宋" w:eastAsia="仿宋" w:cs="仿宋"/>
          <w:i w:val="0"/>
          <w:iCs w:val="0"/>
          <w:color w:val="auto"/>
          <w:sz w:val="24"/>
          <w:highlight w:val="none"/>
        </w:rPr>
        <w:t>需求且通过</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评审的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的报价的合理性、准确性等进行审查核实。</w:t>
      </w:r>
    </w:p>
    <w:p w14:paraId="4DAF1741">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6.7.1评审小组认为</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的投标人</w:t>
      </w:r>
      <w:r>
        <w:rPr>
          <w:rFonts w:hint="eastAsia"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434F480A">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6.8评审小组依据招标文件规定的评标标准和方法，对投标文件进行评审和比较后，向</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或</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提供书面</w:t>
      </w:r>
      <w:r>
        <w:rPr>
          <w:rFonts w:hint="eastAsia" w:ascii="仿宋" w:hAnsi="仿宋" w:eastAsia="仿宋" w:cs="仿宋"/>
          <w:i w:val="0"/>
          <w:iCs w:val="0"/>
          <w:color w:val="auto"/>
          <w:sz w:val="24"/>
          <w:highlight w:val="none"/>
          <w:lang w:eastAsia="zh-CN"/>
        </w:rPr>
        <w:t>评审报告</w:t>
      </w:r>
      <w:r>
        <w:rPr>
          <w:rFonts w:hint="eastAsia" w:ascii="仿宋" w:hAnsi="仿宋" w:eastAsia="仿宋" w:cs="仿宋"/>
          <w:i w:val="0"/>
          <w:iCs w:val="0"/>
          <w:color w:val="auto"/>
          <w:sz w:val="24"/>
          <w:highlight w:val="none"/>
        </w:rPr>
        <w:t>，并按得分高低排序推荐中标候选</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p>
    <w:p w14:paraId="6D92A2EB">
      <w:pPr>
        <w:pStyle w:val="14"/>
        <w:widowControl w:val="0"/>
        <w:tabs>
          <w:tab w:val="clear" w:pos="390"/>
          <w:tab w:val="clear" w:pos="454"/>
        </w:tabs>
        <w:spacing w:after="120" w:line="440" w:lineRule="exact"/>
        <w:ind w:left="0" w:firstLine="0"/>
        <w:rPr>
          <w:rFonts w:hint="eastAsia" w:ascii="仿宋" w:hAnsi="仿宋" w:eastAsia="仿宋" w:cs="仿宋"/>
          <w:b/>
          <w:i w:val="0"/>
          <w:iCs w:val="0"/>
          <w:color w:val="auto"/>
          <w:highlight w:val="none"/>
        </w:rPr>
      </w:pPr>
      <w:r>
        <w:rPr>
          <w:rFonts w:hint="eastAsia" w:ascii="仿宋" w:hAnsi="仿宋" w:eastAsia="仿宋" w:cs="仿宋"/>
          <w:b/>
          <w:i w:val="0"/>
          <w:iCs w:val="0"/>
          <w:color w:val="auto"/>
          <w:highlight w:val="none"/>
        </w:rPr>
        <w:t>7.投标文件的澄清</w:t>
      </w:r>
    </w:p>
    <w:p w14:paraId="1180AF09">
      <w:pPr>
        <w:pStyle w:val="14"/>
        <w:widowControl w:val="0"/>
        <w:tabs>
          <w:tab w:val="clear" w:pos="390"/>
          <w:tab w:val="clear" w:pos="454"/>
        </w:tabs>
        <w:spacing w:after="120" w:line="440" w:lineRule="exact"/>
        <w:ind w:left="0" w:firstLine="480" w:firstLineChars="200"/>
        <w:rPr>
          <w:rFonts w:hint="eastAsia"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hint="eastAsia" w:ascii="仿宋" w:hAnsi="仿宋" w:eastAsia="仿宋" w:cs="仿宋"/>
          <w:i w:val="0"/>
          <w:iCs w:val="0"/>
          <w:color w:val="auto"/>
          <w:sz w:val="24"/>
          <w:highlight w:val="none"/>
        </w:rPr>
        <w:t>评审小组</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21157BB3">
      <w:pPr>
        <w:rPr>
          <w:rFonts w:hint="eastAsia" w:ascii="仿宋" w:hAnsi="仿宋" w:eastAsia="仿宋" w:cs="仿宋"/>
          <w:b/>
          <w:i w:val="0"/>
          <w:iCs w:val="0"/>
          <w:color w:val="auto"/>
          <w:sz w:val="24"/>
          <w:szCs w:val="24"/>
          <w:highlight w:val="none"/>
          <w:lang w:eastAsia="zh-CN"/>
        </w:rPr>
      </w:pPr>
      <w:r>
        <w:rPr>
          <w:rFonts w:hint="eastAsia" w:ascii="仿宋" w:hAnsi="仿宋" w:eastAsia="仿宋" w:cs="仿宋"/>
          <w:b/>
          <w:i w:val="0"/>
          <w:iCs w:val="0"/>
          <w:color w:val="auto"/>
          <w:sz w:val="24"/>
          <w:szCs w:val="24"/>
          <w:highlight w:val="none"/>
        </w:rPr>
        <w:t>8.无效投标的情形</w:t>
      </w:r>
    </w:p>
    <w:p w14:paraId="6926DFB5">
      <w:pPr>
        <w:tabs>
          <w:tab w:val="left" w:pos="4085"/>
        </w:tabs>
        <w:snapToGrid w:val="0"/>
        <w:spacing w:line="440" w:lineRule="exact"/>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220E3BF2">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、签字或盖章的；</w:t>
      </w:r>
    </w:p>
    <w:p w14:paraId="3E5E2B53">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8.2单位负责人为同一人或者存在直接控股、管理关系的不同</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参加同一合同项下的</w:t>
      </w:r>
      <w:r>
        <w:rPr>
          <w:rFonts w:hint="eastAsia" w:ascii="仿宋" w:hAnsi="仿宋" w:eastAsia="仿宋" w:cs="仿宋"/>
          <w:b/>
          <w:i w:val="0"/>
          <w:iCs w:val="0"/>
          <w:color w:val="auto"/>
          <w:sz w:val="24"/>
          <w:highlight w:val="none"/>
          <w:lang w:val="en-US" w:eastAsia="zh-CN"/>
        </w:rPr>
        <w:t>招标</w:t>
      </w:r>
      <w:r>
        <w:rPr>
          <w:rFonts w:hint="eastAsia" w:ascii="仿宋" w:hAnsi="仿宋" w:eastAsia="仿宋" w:cs="仿宋"/>
          <w:b/>
          <w:i w:val="0"/>
          <w:iCs w:val="0"/>
          <w:color w:val="auto"/>
          <w:sz w:val="24"/>
          <w:highlight w:val="none"/>
        </w:rPr>
        <w:t>活动的（均无效）；</w:t>
      </w:r>
    </w:p>
    <w:p w14:paraId="128EEA2B">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8.3为</w:t>
      </w:r>
      <w:r>
        <w:rPr>
          <w:rFonts w:hint="eastAsia" w:ascii="仿宋" w:hAnsi="仿宋" w:eastAsia="仿宋" w:cs="仿宋"/>
          <w:b/>
          <w:i w:val="0"/>
          <w:iCs w:val="0"/>
          <w:color w:val="auto"/>
          <w:sz w:val="24"/>
          <w:highlight w:val="none"/>
          <w:lang w:val="en-US" w:eastAsia="zh-CN"/>
        </w:rPr>
        <w:t>招标</w:t>
      </w:r>
      <w:r>
        <w:rPr>
          <w:rFonts w:hint="eastAsia" w:ascii="仿宋" w:hAnsi="仿宋" w:eastAsia="仿宋" w:cs="仿宋"/>
          <w:b/>
          <w:i w:val="0"/>
          <w:iCs w:val="0"/>
          <w:color w:val="auto"/>
          <w:sz w:val="24"/>
          <w:highlight w:val="none"/>
        </w:rPr>
        <w:t>项目提供整体设计、规范编制或者项目管理、监理、检测等服务的</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参加该</w:t>
      </w:r>
      <w:r>
        <w:rPr>
          <w:rFonts w:hint="eastAsia" w:ascii="仿宋" w:hAnsi="仿宋" w:eastAsia="仿宋" w:cs="仿宋"/>
          <w:b/>
          <w:i w:val="0"/>
          <w:iCs w:val="0"/>
          <w:color w:val="auto"/>
          <w:sz w:val="24"/>
          <w:highlight w:val="none"/>
          <w:lang w:val="en-US" w:eastAsia="zh-CN"/>
        </w:rPr>
        <w:t>招标</w:t>
      </w:r>
      <w:r>
        <w:rPr>
          <w:rFonts w:hint="eastAsia" w:ascii="仿宋" w:hAnsi="仿宋" w:eastAsia="仿宋" w:cs="仿宋"/>
          <w:b/>
          <w:i w:val="0"/>
          <w:iCs w:val="0"/>
          <w:color w:val="auto"/>
          <w:sz w:val="24"/>
          <w:highlight w:val="none"/>
        </w:rPr>
        <w:t>项目的其他</w:t>
      </w:r>
      <w:r>
        <w:rPr>
          <w:rFonts w:hint="eastAsia" w:ascii="仿宋" w:hAnsi="仿宋" w:eastAsia="仿宋" w:cs="仿宋"/>
          <w:b/>
          <w:i w:val="0"/>
          <w:iCs w:val="0"/>
          <w:color w:val="auto"/>
          <w:sz w:val="24"/>
          <w:highlight w:val="none"/>
          <w:lang w:val="en-US" w:eastAsia="zh-CN"/>
        </w:rPr>
        <w:t>招标</w:t>
      </w:r>
      <w:r>
        <w:rPr>
          <w:rFonts w:hint="eastAsia" w:ascii="仿宋" w:hAnsi="仿宋" w:eastAsia="仿宋" w:cs="仿宋"/>
          <w:b/>
          <w:i w:val="0"/>
          <w:iCs w:val="0"/>
          <w:color w:val="auto"/>
          <w:sz w:val="24"/>
          <w:highlight w:val="none"/>
        </w:rPr>
        <w:t>活动的；</w:t>
      </w:r>
    </w:p>
    <w:p w14:paraId="39E15695">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不具备招标文件中规定的资格要求；</w:t>
      </w:r>
    </w:p>
    <w:p w14:paraId="26881B8A">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hint="eastAsia" w:ascii="仿宋" w:hAnsi="仿宋" w:eastAsia="仿宋" w:cs="仿宋"/>
          <w:b/>
          <w:i w:val="0"/>
          <w:iCs w:val="0"/>
          <w:color w:val="auto"/>
          <w:sz w:val="24"/>
          <w:highlight w:val="none"/>
        </w:rPr>
        <w:t>《法定代表人身份证明书》与提供的身份证</w:t>
      </w:r>
      <w:r>
        <w:rPr>
          <w:rFonts w:hint="eastAsia" w:ascii="仿宋" w:hAnsi="仿宋" w:eastAsia="仿宋" w:cs="仿宋"/>
          <w:b/>
          <w:i w:val="0"/>
          <w:iCs w:val="0"/>
          <w:color w:val="auto"/>
          <w:sz w:val="24"/>
          <w:highlight w:val="none"/>
          <w:lang w:eastAsia="zh-CN"/>
        </w:rPr>
        <w:t>复制件</w:t>
      </w:r>
      <w:r>
        <w:rPr>
          <w:rFonts w:hint="eastAsia" w:ascii="仿宋" w:hAnsi="仿宋" w:eastAsia="仿宋" w:cs="仿宋"/>
          <w:b/>
          <w:i w:val="0"/>
          <w:iCs w:val="0"/>
          <w:color w:val="auto"/>
          <w:sz w:val="24"/>
          <w:highlight w:val="none"/>
        </w:rPr>
        <w:t>信息不符的；《法定代表人授权委托书》与提供的身份证</w:t>
      </w:r>
      <w:r>
        <w:rPr>
          <w:rFonts w:hint="eastAsia" w:ascii="仿宋" w:hAnsi="仿宋" w:eastAsia="仿宋" w:cs="仿宋"/>
          <w:b/>
          <w:i w:val="0"/>
          <w:iCs w:val="0"/>
          <w:color w:val="auto"/>
          <w:sz w:val="24"/>
          <w:highlight w:val="none"/>
          <w:lang w:eastAsia="zh-CN"/>
        </w:rPr>
        <w:t>复制件</w:t>
      </w:r>
      <w:r>
        <w:rPr>
          <w:rFonts w:hint="eastAsia" w:ascii="仿宋" w:hAnsi="仿宋" w:eastAsia="仿宋" w:cs="仿宋"/>
          <w:b/>
          <w:i w:val="0"/>
          <w:iCs w:val="0"/>
          <w:color w:val="auto"/>
          <w:sz w:val="24"/>
          <w:highlight w:val="none"/>
        </w:rPr>
        <w:t>信息不符的；</w:t>
      </w:r>
    </w:p>
    <w:p w14:paraId="3C710200">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hint="eastAsia"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”和“签字或盖章”缺一不可）的；</w:t>
      </w:r>
    </w:p>
    <w:p w14:paraId="6E55DB96">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hint="eastAsia"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或填写不全的；</w:t>
      </w:r>
    </w:p>
    <w:p w14:paraId="38297BC8">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hint="eastAsia" w:ascii="仿宋" w:hAnsi="仿宋" w:eastAsia="仿宋" w:cs="仿宋"/>
          <w:b/>
          <w:i w:val="0"/>
          <w:iCs w:val="0"/>
          <w:color w:val="auto"/>
          <w:sz w:val="24"/>
          <w:highlight w:val="none"/>
        </w:rPr>
        <w:t>报价一经涂改，未在涂改处加盖投标单位公章或者未经法定代表人或其授权代表签字或盖章的；</w:t>
      </w:r>
    </w:p>
    <w:p w14:paraId="762F0EC0">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hint="eastAsia" w:ascii="仿宋" w:hAnsi="仿宋" w:eastAsia="仿宋" w:cs="仿宋"/>
          <w:b/>
          <w:i w:val="0"/>
          <w:iCs w:val="0"/>
          <w:color w:val="auto"/>
          <w:sz w:val="24"/>
          <w:highlight w:val="none"/>
        </w:rPr>
        <w:t>未按招标文件规定的格式填写，或对招标服务或技术或产品等要求未详细应答或应答内容不全、有缺失的,经评审小组认定为无法评审的；</w:t>
      </w:r>
    </w:p>
    <w:p w14:paraId="3FFD1F17">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hint="eastAsia" w:ascii="仿宋" w:hAnsi="仿宋" w:eastAsia="仿宋" w:cs="仿宋"/>
          <w:b/>
          <w:i w:val="0"/>
          <w:iCs w:val="0"/>
          <w:color w:val="auto"/>
          <w:sz w:val="24"/>
          <w:highlight w:val="none"/>
        </w:rPr>
        <w:t>出现同一标的物或本次招标产品(服务)内的主要产品(重要组成部分)出现</w:t>
      </w:r>
      <w:r>
        <w:rPr>
          <w:rFonts w:hint="eastAsia" w:ascii="仿宋" w:hAnsi="仿宋" w:eastAsia="仿宋" w:cs="仿宋"/>
          <w:b/>
          <w:i w:val="0"/>
          <w:iCs w:val="0"/>
          <w:color w:val="auto"/>
          <w:sz w:val="24"/>
          <w:highlight w:val="none"/>
          <w:lang w:eastAsia="zh-CN"/>
        </w:rPr>
        <w:t>商务技术（资信）文件</w:t>
      </w:r>
      <w:r>
        <w:rPr>
          <w:rFonts w:hint="eastAsia" w:ascii="仿宋" w:hAnsi="仿宋" w:eastAsia="仿宋" w:cs="仿宋"/>
          <w:b/>
          <w:i w:val="0"/>
          <w:iCs w:val="0"/>
          <w:color w:val="auto"/>
          <w:sz w:val="24"/>
          <w:highlight w:val="none"/>
        </w:rPr>
        <w:t>资料、报价文件资料描述不一致或前后描述不一致，经评审小组认定后为无法评审的；</w:t>
      </w:r>
    </w:p>
    <w:p w14:paraId="5205C6E2">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商务</w:t>
      </w:r>
      <w:r>
        <w:rPr>
          <w:rFonts w:hint="eastAsia" w:ascii="仿宋" w:hAnsi="仿宋" w:eastAsia="仿宋" w:cs="仿宋"/>
          <w:b/>
          <w:i w:val="0"/>
          <w:iCs w:val="0"/>
          <w:color w:val="auto"/>
          <w:sz w:val="24"/>
          <w:highlight w:val="none"/>
        </w:rPr>
        <w:t>技术偏离表》不真实填写或弄虚作假的；</w:t>
      </w:r>
    </w:p>
    <w:p w14:paraId="6DD3C296">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hint="eastAsia" w:ascii="仿宋" w:hAnsi="仿宋" w:eastAsia="仿宋" w:cs="仿宋"/>
          <w:b/>
          <w:i w:val="0"/>
          <w:iCs w:val="0"/>
          <w:color w:val="auto"/>
          <w:sz w:val="24"/>
          <w:highlight w:val="none"/>
        </w:rPr>
        <w:t>投标文件含有</w:t>
      </w:r>
      <w:r>
        <w:rPr>
          <w:rFonts w:hint="eastAsia" w:ascii="仿宋" w:hAnsi="仿宋" w:eastAsia="仿宋" w:cs="仿宋"/>
          <w:b/>
          <w:i w:val="0"/>
          <w:iCs w:val="0"/>
          <w:color w:val="auto"/>
          <w:sz w:val="24"/>
          <w:highlight w:val="none"/>
          <w:lang w:eastAsia="zh-CN"/>
        </w:rPr>
        <w:t>招标人</w:t>
      </w:r>
      <w:r>
        <w:rPr>
          <w:rFonts w:hint="eastAsia" w:ascii="仿宋" w:hAnsi="仿宋" w:eastAsia="仿宋" w:cs="仿宋"/>
          <w:b/>
          <w:i w:val="0"/>
          <w:iCs w:val="0"/>
          <w:color w:val="auto"/>
          <w:sz w:val="24"/>
          <w:highlight w:val="none"/>
        </w:rPr>
        <w:t>不能接受的附加条件；</w:t>
      </w:r>
    </w:p>
    <w:p w14:paraId="6893A4AA">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评审小组认为</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5AF20D41">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rPr>
        <w:t>报价超过招标文件中规定的预算金额或最高限价的；</w:t>
      </w:r>
    </w:p>
    <w:p w14:paraId="2FE31806">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hint="eastAsia" w:ascii="仿宋" w:hAnsi="仿宋" w:eastAsia="仿宋" w:cs="仿宋"/>
          <w:b/>
          <w:i w:val="0"/>
          <w:iCs w:val="0"/>
          <w:color w:val="auto"/>
          <w:sz w:val="24"/>
          <w:highlight w:val="none"/>
        </w:rPr>
        <w:t>投标文件“</w:t>
      </w:r>
      <w:r>
        <w:rPr>
          <w:rFonts w:hint="eastAsia" w:ascii="仿宋" w:hAnsi="仿宋" w:eastAsia="仿宋" w:cs="仿宋"/>
          <w:b/>
          <w:i w:val="0"/>
          <w:iCs w:val="0"/>
          <w:color w:val="auto"/>
          <w:sz w:val="24"/>
          <w:highlight w:val="none"/>
          <w:lang w:eastAsia="zh-CN"/>
        </w:rPr>
        <w:t>商务技术（资信）文件</w:t>
      </w:r>
      <w:r>
        <w:rPr>
          <w:rFonts w:hint="eastAsia" w:ascii="仿宋" w:hAnsi="仿宋" w:eastAsia="仿宋" w:cs="仿宋"/>
          <w:b/>
          <w:i w:val="0"/>
          <w:iCs w:val="0"/>
          <w:color w:val="auto"/>
          <w:sz w:val="24"/>
          <w:highlight w:val="none"/>
        </w:rPr>
        <w:t>资料”部分中出现《开标一览表》相关内容的；</w:t>
      </w:r>
    </w:p>
    <w:p w14:paraId="03E83B8D">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hint="eastAsia" w:ascii="仿宋" w:hAnsi="仿宋" w:eastAsia="仿宋" w:cs="仿宋"/>
          <w:b/>
          <w:i w:val="0"/>
          <w:iCs w:val="0"/>
          <w:color w:val="auto"/>
          <w:sz w:val="24"/>
          <w:highlight w:val="none"/>
        </w:rPr>
        <w:t>《开标一览表》填写不完整或字迹不能辨认或有漏项的，经评审小组认定属于重大偏差的；</w:t>
      </w:r>
    </w:p>
    <w:p w14:paraId="7353DD19">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7</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对根据修正原则修正后的报价不确认的；</w:t>
      </w:r>
    </w:p>
    <w:p w14:paraId="33A01786">
      <w:pPr>
        <w:snapToGrid w:val="0"/>
        <w:spacing w:line="440" w:lineRule="exact"/>
        <w:ind w:firstLine="482" w:firstLineChars="200"/>
        <w:jc w:val="left"/>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提供虚假材料投标的；</w:t>
      </w:r>
    </w:p>
    <w:p w14:paraId="34D3FF4A">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hint="eastAsia"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投标人</w:t>
      </w:r>
      <w:r>
        <w:rPr>
          <w:rFonts w:hint="eastAsia" w:ascii="仿宋" w:hAnsi="仿宋" w:eastAsia="仿宋" w:cs="仿宋"/>
          <w:b/>
          <w:i w:val="0"/>
          <w:iCs w:val="0"/>
          <w:color w:val="auto"/>
          <w:sz w:val="24"/>
          <w:highlight w:val="none"/>
        </w:rPr>
        <w:t>串通投标，其投标无效：</w:t>
      </w:r>
    </w:p>
    <w:p w14:paraId="7BB64D26">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hint="eastAsia" w:ascii="仿宋" w:hAnsi="仿宋" w:eastAsia="仿宋" w:cs="仿宋"/>
          <w:i w:val="0"/>
          <w:iCs w:val="0"/>
          <w:color w:val="auto"/>
          <w:sz w:val="24"/>
          <w:highlight w:val="none"/>
        </w:rPr>
        <w:t>；</w:t>
      </w:r>
    </w:p>
    <w:p w14:paraId="22381863">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eastAsia"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使用同一单位或者个人的IP地址、设备下载</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i w:val="0"/>
          <w:iCs w:val="0"/>
          <w:color w:val="auto"/>
          <w:sz w:val="24"/>
          <w:highlight w:val="none"/>
        </w:rPr>
        <w:t>文件或者制作、提交投标文件的；</w:t>
      </w:r>
    </w:p>
    <w:p w14:paraId="0A00ABDC">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hint="eastAsia" w:ascii="仿宋" w:hAnsi="仿宋" w:eastAsia="仿宋" w:cs="仿宋"/>
          <w:i w:val="0"/>
          <w:iCs w:val="0"/>
          <w:color w:val="auto"/>
          <w:sz w:val="24"/>
          <w:highlight w:val="none"/>
        </w:rPr>
        <w:t>；</w:t>
      </w:r>
    </w:p>
    <w:p w14:paraId="0EB38EF8">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的投标文件载明的项目管理成员或者联系人员为同一人；</w:t>
      </w:r>
    </w:p>
    <w:p w14:paraId="0907D669">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hint="eastAsia" w:ascii="仿宋" w:hAnsi="仿宋" w:eastAsia="仿宋" w:cs="仿宋"/>
          <w:i w:val="0"/>
          <w:iCs w:val="0"/>
          <w:color w:val="auto"/>
          <w:sz w:val="24"/>
          <w:highlight w:val="none"/>
        </w:rPr>
        <w:t>规律性差异；</w:t>
      </w:r>
    </w:p>
    <w:p w14:paraId="0B782631">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hint="eastAsia"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的投标文件相互混装；</w:t>
      </w:r>
    </w:p>
    <w:p w14:paraId="36EB6DD8">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eastAsia"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的保证金从同一单位或者个人的账户转出；</w:t>
      </w:r>
    </w:p>
    <w:p w14:paraId="4CC32BD9">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eastAsia" w:ascii="仿宋" w:hAnsi="仿宋" w:eastAsia="仿宋" w:cs="仿宋"/>
          <w:i w:val="0"/>
          <w:iCs w:val="0"/>
          <w:color w:val="auto"/>
          <w:sz w:val="24"/>
          <w:highlight w:val="none"/>
        </w:rPr>
        <w:t>以他人名义参与响应或者以其他方式弄虚作假，骗取中标的；</w:t>
      </w:r>
    </w:p>
    <w:p w14:paraId="73BF5EE2">
      <w:pPr>
        <w:tabs>
          <w:tab w:val="left" w:pos="3870"/>
          <w:tab w:val="left" w:pos="4085"/>
        </w:tabs>
        <w:snapToGrid w:val="0"/>
        <w:spacing w:line="440" w:lineRule="exact"/>
        <w:ind w:firstLine="720" w:firstLineChars="3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eastAsia" w:ascii="仿宋" w:hAnsi="仿宋" w:eastAsia="仿宋" w:cs="仿宋"/>
          <w:i w:val="0"/>
          <w:iCs w:val="0"/>
          <w:color w:val="auto"/>
          <w:sz w:val="24"/>
          <w:highlight w:val="none"/>
        </w:rPr>
        <w:t>经评审小组评定认为可以判定无效的其他情形。</w:t>
      </w:r>
    </w:p>
    <w:p w14:paraId="4E0BEB86">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hint="eastAsia" w:ascii="仿宋" w:hAnsi="仿宋" w:eastAsia="仿宋" w:cs="仿宋"/>
          <w:b/>
          <w:i w:val="0"/>
          <w:iCs w:val="0"/>
          <w:color w:val="auto"/>
          <w:sz w:val="24"/>
          <w:highlight w:val="none"/>
        </w:rPr>
        <w:t>有下列情形之一的，属于恶意串通，其投标无效：</w:t>
      </w:r>
    </w:p>
    <w:p w14:paraId="6EB1F6EB">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.1</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直接或者间接从</w:t>
      </w:r>
      <w:r>
        <w:rPr>
          <w:rFonts w:hint="eastAsia" w:ascii="仿宋" w:hAnsi="仿宋" w:eastAsia="仿宋" w:cs="仿宋"/>
          <w:b w:val="0"/>
          <w:bCs w:val="0"/>
          <w:i w:val="0"/>
          <w:iCs w:val="0"/>
          <w:color w:val="auto"/>
          <w:sz w:val="24"/>
          <w:highlight w:val="none"/>
          <w:lang w:eastAsia="zh-CN"/>
        </w:rPr>
        <w:t>招标人</w:t>
      </w:r>
      <w:r>
        <w:rPr>
          <w:rFonts w:hint="eastAsia" w:ascii="仿宋" w:hAnsi="仿宋" w:eastAsia="仿宋" w:cs="仿宋"/>
          <w:b w:val="0"/>
          <w:bCs w:val="0"/>
          <w:i w:val="0"/>
          <w:iCs w:val="0"/>
          <w:color w:val="auto"/>
          <w:sz w:val="24"/>
          <w:highlight w:val="none"/>
        </w:rPr>
        <w:t>或者</w:t>
      </w:r>
      <w:r>
        <w:rPr>
          <w:rFonts w:hint="eastAsia" w:ascii="仿宋" w:hAnsi="仿宋" w:eastAsia="仿宋" w:cs="仿宋"/>
          <w:b w:val="0"/>
          <w:bCs w:val="0"/>
          <w:i w:val="0"/>
          <w:iCs w:val="0"/>
          <w:color w:val="auto"/>
          <w:sz w:val="24"/>
          <w:highlight w:val="none"/>
          <w:lang w:eastAsia="zh-CN"/>
        </w:rPr>
        <w:t>招标代理机构</w:t>
      </w:r>
      <w:r>
        <w:rPr>
          <w:rFonts w:hint="eastAsia" w:ascii="仿宋" w:hAnsi="仿宋" w:eastAsia="仿宋" w:cs="仿宋"/>
          <w:b w:val="0"/>
          <w:bCs w:val="0"/>
          <w:i w:val="0"/>
          <w:iCs w:val="0"/>
          <w:color w:val="auto"/>
          <w:sz w:val="24"/>
          <w:highlight w:val="none"/>
        </w:rPr>
        <w:t>处获得其他</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的相关情况并修改其投标文件或者响应文件；</w:t>
      </w:r>
    </w:p>
    <w:p w14:paraId="6B4DFA83">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.2</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按照</w:t>
      </w:r>
      <w:r>
        <w:rPr>
          <w:rFonts w:hint="eastAsia" w:ascii="仿宋" w:hAnsi="仿宋" w:eastAsia="仿宋" w:cs="仿宋"/>
          <w:b w:val="0"/>
          <w:bCs w:val="0"/>
          <w:i w:val="0"/>
          <w:iCs w:val="0"/>
          <w:color w:val="auto"/>
          <w:sz w:val="24"/>
          <w:highlight w:val="none"/>
          <w:lang w:eastAsia="zh-CN"/>
        </w:rPr>
        <w:t>招标人</w:t>
      </w:r>
      <w:r>
        <w:rPr>
          <w:rFonts w:hint="eastAsia" w:ascii="仿宋" w:hAnsi="仿宋" w:eastAsia="仿宋" w:cs="仿宋"/>
          <w:b w:val="0"/>
          <w:bCs w:val="0"/>
          <w:i w:val="0"/>
          <w:iCs w:val="0"/>
          <w:color w:val="auto"/>
          <w:sz w:val="24"/>
          <w:highlight w:val="none"/>
        </w:rPr>
        <w:t>或者</w:t>
      </w:r>
      <w:r>
        <w:rPr>
          <w:rFonts w:hint="eastAsia" w:ascii="仿宋" w:hAnsi="仿宋" w:eastAsia="仿宋" w:cs="仿宋"/>
          <w:b w:val="0"/>
          <w:bCs w:val="0"/>
          <w:i w:val="0"/>
          <w:iCs w:val="0"/>
          <w:color w:val="auto"/>
          <w:sz w:val="24"/>
          <w:highlight w:val="none"/>
          <w:lang w:eastAsia="zh-CN"/>
        </w:rPr>
        <w:t>招标代理机构</w:t>
      </w:r>
      <w:r>
        <w:rPr>
          <w:rFonts w:hint="eastAsia" w:ascii="仿宋" w:hAnsi="仿宋" w:eastAsia="仿宋" w:cs="仿宋"/>
          <w:b w:val="0"/>
          <w:bCs w:val="0"/>
          <w:i w:val="0"/>
          <w:iCs w:val="0"/>
          <w:color w:val="auto"/>
          <w:sz w:val="24"/>
          <w:highlight w:val="none"/>
        </w:rPr>
        <w:t>的授意撤换、修改投标文件或者响应文件；</w:t>
      </w:r>
    </w:p>
    <w:p w14:paraId="4011E87B">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.3</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之间协商报价、技术方案等投标文件或者响应文件的实质性内容；</w:t>
      </w:r>
    </w:p>
    <w:p w14:paraId="169D1525">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.4属于同一集团、协会、商会等组织成员的</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按照该组织要求协同参加</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b w:val="0"/>
          <w:bCs w:val="0"/>
          <w:i w:val="0"/>
          <w:iCs w:val="0"/>
          <w:color w:val="auto"/>
          <w:sz w:val="24"/>
          <w:highlight w:val="none"/>
        </w:rPr>
        <w:t>活动；</w:t>
      </w:r>
    </w:p>
    <w:p w14:paraId="63741E2D">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.5</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之间事先约定由某一特定</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中标、成交；</w:t>
      </w:r>
    </w:p>
    <w:p w14:paraId="1D1E480E">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.6</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之间商定部分</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放弃参加</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b w:val="0"/>
          <w:bCs w:val="0"/>
          <w:i w:val="0"/>
          <w:iCs w:val="0"/>
          <w:color w:val="auto"/>
          <w:sz w:val="24"/>
          <w:highlight w:val="none"/>
        </w:rPr>
        <w:t>活动或者放弃中标、成交；</w:t>
      </w:r>
    </w:p>
    <w:p w14:paraId="4A04CF3A">
      <w:pPr>
        <w:tabs>
          <w:tab w:val="left" w:pos="3870"/>
          <w:tab w:val="left" w:pos="4085"/>
        </w:tabs>
        <w:snapToGrid w:val="0"/>
        <w:spacing w:line="440" w:lineRule="exact"/>
        <w:ind w:firstLine="720" w:firstLineChars="300"/>
        <w:jc w:val="left"/>
        <w:rPr>
          <w:rFonts w:hint="eastAsia" w:ascii="仿宋" w:hAnsi="仿宋" w:eastAsia="仿宋" w:cs="仿宋"/>
          <w:b w:val="0"/>
          <w:bCs w:val="0"/>
          <w:i w:val="0"/>
          <w:iCs w:val="0"/>
          <w:color w:val="auto"/>
          <w:sz w:val="24"/>
          <w:highlight w:val="none"/>
        </w:rPr>
      </w:pPr>
      <w:r>
        <w:rPr>
          <w:rFonts w:hint="eastAsia"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hint="eastAsia" w:ascii="仿宋" w:hAnsi="仿宋" w:eastAsia="仿宋" w:cs="仿宋"/>
          <w:b w:val="0"/>
          <w:bCs w:val="0"/>
          <w:i w:val="0"/>
          <w:iCs w:val="0"/>
          <w:color w:val="auto"/>
          <w:sz w:val="24"/>
          <w:highlight w:val="none"/>
        </w:rPr>
        <w:t>.7</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与</w:t>
      </w:r>
      <w:r>
        <w:rPr>
          <w:rFonts w:hint="eastAsia" w:ascii="仿宋" w:hAnsi="仿宋" w:eastAsia="仿宋" w:cs="仿宋"/>
          <w:b w:val="0"/>
          <w:bCs w:val="0"/>
          <w:i w:val="0"/>
          <w:iCs w:val="0"/>
          <w:color w:val="auto"/>
          <w:sz w:val="24"/>
          <w:highlight w:val="none"/>
          <w:lang w:eastAsia="zh-CN"/>
        </w:rPr>
        <w:t>招标人</w:t>
      </w:r>
      <w:r>
        <w:rPr>
          <w:rFonts w:hint="eastAsia" w:ascii="仿宋" w:hAnsi="仿宋" w:eastAsia="仿宋" w:cs="仿宋"/>
          <w:b w:val="0"/>
          <w:bCs w:val="0"/>
          <w:i w:val="0"/>
          <w:iCs w:val="0"/>
          <w:color w:val="auto"/>
          <w:sz w:val="24"/>
          <w:highlight w:val="none"/>
        </w:rPr>
        <w:t>或者</w:t>
      </w:r>
      <w:r>
        <w:rPr>
          <w:rFonts w:hint="eastAsia" w:ascii="仿宋" w:hAnsi="仿宋" w:eastAsia="仿宋" w:cs="仿宋"/>
          <w:b w:val="0"/>
          <w:bCs w:val="0"/>
          <w:i w:val="0"/>
          <w:iCs w:val="0"/>
          <w:color w:val="auto"/>
          <w:sz w:val="24"/>
          <w:highlight w:val="none"/>
          <w:lang w:eastAsia="zh-CN"/>
        </w:rPr>
        <w:t>招标代理机构</w:t>
      </w:r>
      <w:r>
        <w:rPr>
          <w:rFonts w:hint="eastAsia" w:ascii="仿宋" w:hAnsi="仿宋" w:eastAsia="仿宋" w:cs="仿宋"/>
          <w:b w:val="0"/>
          <w:bCs w:val="0"/>
          <w:i w:val="0"/>
          <w:iCs w:val="0"/>
          <w:color w:val="auto"/>
          <w:sz w:val="24"/>
          <w:highlight w:val="none"/>
        </w:rPr>
        <w:t>之间、</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相互之间，为谋求特定</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中标、成交或者排斥其他</w:t>
      </w:r>
      <w:r>
        <w:rPr>
          <w:rFonts w:hint="eastAsia" w:ascii="仿宋" w:hAnsi="仿宋" w:eastAsia="仿宋" w:cs="仿宋"/>
          <w:b w:val="0"/>
          <w:bCs w:val="0"/>
          <w:i w:val="0"/>
          <w:iCs w:val="0"/>
          <w:color w:val="auto"/>
          <w:sz w:val="24"/>
          <w:highlight w:val="none"/>
          <w:lang w:eastAsia="zh-CN"/>
        </w:rPr>
        <w:t>投标人</w:t>
      </w:r>
      <w:r>
        <w:rPr>
          <w:rFonts w:hint="eastAsia" w:ascii="仿宋" w:hAnsi="仿宋" w:eastAsia="仿宋" w:cs="仿宋"/>
          <w:b w:val="0"/>
          <w:bCs w:val="0"/>
          <w:i w:val="0"/>
          <w:iCs w:val="0"/>
          <w:color w:val="auto"/>
          <w:sz w:val="24"/>
          <w:highlight w:val="none"/>
        </w:rPr>
        <w:t>的其他串通行为。</w:t>
      </w:r>
    </w:p>
    <w:p w14:paraId="6E195977">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评审小组认定有重大偏差或实质性不响应招标文件要求的；</w:t>
      </w:r>
    </w:p>
    <w:p w14:paraId="0244DA6C">
      <w:pPr>
        <w:snapToGrid w:val="0"/>
        <w:spacing w:line="440" w:lineRule="exact"/>
        <w:ind w:firstLine="482" w:firstLineChars="200"/>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hint="eastAsia" w:ascii="仿宋" w:hAnsi="仿宋" w:eastAsia="仿宋" w:cs="仿宋"/>
          <w:b/>
          <w:i w:val="0"/>
          <w:iCs w:val="0"/>
          <w:color w:val="auto"/>
          <w:sz w:val="24"/>
          <w:highlight w:val="none"/>
        </w:rPr>
        <w:t>投标文件出现不是唯一的、有选择性投标报价的；</w:t>
      </w:r>
    </w:p>
    <w:p w14:paraId="4D5E0D3C">
      <w:pPr>
        <w:snapToGrid w:val="0"/>
        <w:spacing w:line="440" w:lineRule="exact"/>
        <w:ind w:firstLine="482" w:firstLineChars="200"/>
        <w:jc w:val="left"/>
        <w:rPr>
          <w:rFonts w:hint="eastAsia" w:ascii="仿宋" w:hAnsi="仿宋" w:eastAsia="仿宋" w:cs="仿宋"/>
          <w:i w:val="0"/>
          <w:iCs w:val="0"/>
          <w:color w:val="auto"/>
          <w:highlight w:val="none"/>
        </w:rPr>
      </w:pPr>
      <w:r>
        <w:rPr>
          <w:rFonts w:hint="eastAsia"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其他违反法律、法规的情形。</w:t>
      </w:r>
    </w:p>
    <w:p w14:paraId="44E8DB36">
      <w:pPr>
        <w:snapToGrid w:val="0"/>
        <w:spacing w:line="440" w:lineRule="exact"/>
        <w:rPr>
          <w:rFonts w:hint="eastAsia" w:ascii="仿宋" w:hAnsi="仿宋" w:eastAsia="仿宋" w:cs="仿宋"/>
          <w:b/>
          <w:i w:val="0"/>
          <w:iCs w:val="0"/>
          <w:color w:val="auto"/>
          <w:kern w:val="0"/>
          <w:sz w:val="24"/>
          <w:highlight w:val="none"/>
        </w:rPr>
      </w:pPr>
      <w:r>
        <w:rPr>
          <w:rFonts w:hint="eastAsia" w:ascii="仿宋" w:hAnsi="仿宋" w:eastAsia="仿宋" w:cs="仿宋"/>
          <w:b/>
          <w:i w:val="0"/>
          <w:iCs w:val="0"/>
          <w:color w:val="auto"/>
          <w:kern w:val="0"/>
          <w:sz w:val="24"/>
          <w:highlight w:val="none"/>
        </w:rPr>
        <w:t>9.评标过程保密</w:t>
      </w:r>
    </w:p>
    <w:p w14:paraId="1602180E">
      <w:pPr>
        <w:snapToGrid w:val="0"/>
        <w:spacing w:line="440" w:lineRule="exact"/>
        <w:ind w:firstLine="480" w:firstLineChars="200"/>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i w:val="0"/>
          <w:iCs w:val="0"/>
          <w:color w:val="auto"/>
          <w:sz w:val="24"/>
          <w:highlight w:val="none"/>
        </w:rPr>
        <w:t>响应文件评审和比较、中标</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推荐等评审有关的情况和评审文件的，以及涉及国家秘密和商业秘密等信息，评审小组成员、</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和</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12453483">
      <w:pPr>
        <w:snapToGrid w:val="0"/>
        <w:spacing w:line="440" w:lineRule="exact"/>
        <w:ind w:firstLine="480" w:firstLineChars="200"/>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9.2在评标期间，</w:t>
      </w:r>
      <w:r>
        <w:rPr>
          <w:rFonts w:hint="eastAsia" w:ascii="仿宋" w:hAnsi="仿宋" w:eastAsia="仿宋" w:cs="仿宋"/>
          <w:i w:val="0"/>
          <w:iCs w:val="0"/>
          <w:color w:val="auto"/>
          <w:kern w:val="0"/>
          <w:sz w:val="24"/>
          <w:highlight w:val="none"/>
          <w:lang w:eastAsia="zh-CN"/>
        </w:rPr>
        <w:t>投标人</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招标人</w:t>
      </w:r>
      <w:r>
        <w:rPr>
          <w:rFonts w:hint="eastAsia" w:ascii="仿宋" w:hAnsi="仿宋" w:eastAsia="仿宋" w:cs="仿宋"/>
          <w:i w:val="0"/>
          <w:iCs w:val="0"/>
          <w:color w:val="auto"/>
          <w:kern w:val="0"/>
          <w:sz w:val="24"/>
          <w:highlight w:val="none"/>
        </w:rPr>
        <w:t>或</w:t>
      </w:r>
      <w:r>
        <w:rPr>
          <w:rFonts w:hint="eastAsia" w:ascii="仿宋" w:hAnsi="仿宋" w:eastAsia="仿宋" w:cs="仿宋"/>
          <w:i w:val="0"/>
          <w:iCs w:val="0"/>
          <w:color w:val="auto"/>
          <w:sz w:val="24"/>
          <w:highlight w:val="none"/>
        </w:rPr>
        <w:t>评审小组</w:t>
      </w:r>
      <w:r>
        <w:rPr>
          <w:rFonts w:hint="eastAsia" w:ascii="仿宋" w:hAnsi="仿宋" w:eastAsia="仿宋" w:cs="仿宋"/>
          <w:i w:val="0"/>
          <w:iCs w:val="0"/>
          <w:color w:val="auto"/>
          <w:kern w:val="0"/>
          <w:sz w:val="24"/>
          <w:highlight w:val="none"/>
        </w:rPr>
        <w:t>的任何活动，都将导致投标被拒绝，并由其承担相应的法律责任。</w:t>
      </w:r>
    </w:p>
    <w:p w14:paraId="7DFDB230">
      <w:pPr>
        <w:snapToGrid w:val="0"/>
        <w:spacing w:line="360" w:lineRule="auto"/>
        <w:ind w:firstLine="482" w:firstLineChars="150"/>
        <w:jc w:val="center"/>
        <w:rPr>
          <w:rFonts w:hint="eastAsia" w:ascii="仿宋" w:hAnsi="仿宋" w:eastAsia="仿宋" w:cs="仿宋"/>
          <w:b/>
          <w:i w:val="0"/>
          <w:iCs w:val="0"/>
          <w:color w:val="auto"/>
          <w:sz w:val="32"/>
          <w:highlight w:val="none"/>
        </w:rPr>
      </w:pPr>
    </w:p>
    <w:bookmarkEnd w:id="32"/>
    <w:p w14:paraId="4A51AF25">
      <w:pPr>
        <w:pStyle w:val="34"/>
        <w:spacing w:line="360" w:lineRule="auto"/>
        <w:ind w:firstLine="726"/>
        <w:jc w:val="center"/>
        <w:rPr>
          <w:rFonts w:hint="eastAsia" w:ascii="仿宋" w:hAnsi="仿宋" w:eastAsia="仿宋" w:cs="仿宋"/>
          <w:b/>
          <w:i w:val="0"/>
          <w:iCs w:val="0"/>
          <w:color w:val="auto"/>
          <w:sz w:val="32"/>
          <w:szCs w:val="32"/>
          <w:highlight w:val="none"/>
        </w:rPr>
      </w:pPr>
      <w:bookmarkStart w:id="33" w:name="_Toc81372953"/>
      <w:bookmarkStart w:id="34" w:name="_Toc81372776"/>
      <w:bookmarkStart w:id="35" w:name="_Toc84325929"/>
      <w:r>
        <w:rPr>
          <w:rFonts w:hint="eastAsia" w:ascii="仿宋" w:hAnsi="仿宋" w:eastAsia="仿宋" w:cs="仿宋"/>
          <w:b/>
          <w:i w:val="0"/>
          <w:iCs w:val="0"/>
          <w:color w:val="auto"/>
          <w:sz w:val="32"/>
          <w:szCs w:val="32"/>
          <w:highlight w:val="none"/>
        </w:rPr>
        <w:t>五、授予合同</w:t>
      </w:r>
    </w:p>
    <w:bookmarkEnd w:id="33"/>
    <w:bookmarkEnd w:id="34"/>
    <w:bookmarkEnd w:id="35"/>
    <w:p w14:paraId="1C2F1C26">
      <w:pPr>
        <w:pStyle w:val="14"/>
        <w:tabs>
          <w:tab w:val="clear" w:pos="390"/>
          <w:tab w:val="clear" w:pos="454"/>
        </w:tabs>
        <w:spacing w:after="120" w:line="440" w:lineRule="exact"/>
        <w:ind w:left="0" w:firstLine="0"/>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1.中标条件</w:t>
      </w:r>
    </w:p>
    <w:p w14:paraId="7AD0257A">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1.1投标文件基本符合招标文件要求；</w:t>
      </w:r>
    </w:p>
    <w:p w14:paraId="70E40CC3">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有很好的执行合同的能力；</w:t>
      </w:r>
    </w:p>
    <w:p w14:paraId="6DEE73EE">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最为有利，最大限度满足招标文件的要求；</w:t>
      </w:r>
    </w:p>
    <w:p w14:paraId="35EB643C">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能够提供质量技术、商务经济占综合优势的系统及服务。</w:t>
      </w:r>
    </w:p>
    <w:p w14:paraId="56BFF675">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将把中标通知书授予最佳投标者，但最低价不是中标的绝对保证。</w:t>
      </w:r>
    </w:p>
    <w:p w14:paraId="33773039">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4DF10277">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应当自收到</w:t>
      </w:r>
      <w:r>
        <w:rPr>
          <w:rFonts w:hint="eastAsia" w:ascii="仿宋" w:hAnsi="仿宋" w:eastAsia="仿宋" w:cs="仿宋"/>
          <w:i w:val="0"/>
          <w:iCs w:val="0"/>
          <w:color w:val="auto"/>
          <w:sz w:val="24"/>
          <w:highlight w:val="none"/>
          <w:lang w:eastAsia="zh-CN"/>
        </w:rPr>
        <w:t>评审报告</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按评审报告推荐的排名顺序确定中标候选人</w:t>
      </w:r>
      <w:r>
        <w:rPr>
          <w:rFonts w:hint="eastAsia" w:ascii="仿宋" w:hAnsi="仿宋" w:eastAsia="仿宋" w:cs="仿宋"/>
          <w:i w:val="0"/>
          <w:iCs w:val="0"/>
          <w:color w:val="auto"/>
          <w:sz w:val="24"/>
          <w:highlight w:val="none"/>
          <w:lang w:val="en-US" w:eastAsia="zh-CN"/>
        </w:rPr>
        <w:t>，并</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26CABA11">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3．中标确认</w:t>
      </w:r>
      <w:r>
        <w:rPr>
          <w:rFonts w:hint="eastAsia" w:ascii="仿宋" w:hAnsi="仿宋" w:eastAsia="仿宋" w:cs="仿宋"/>
          <w:b/>
          <w:i w:val="0"/>
          <w:iCs w:val="0"/>
          <w:color w:val="auto"/>
          <w:sz w:val="24"/>
          <w:highlight w:val="none"/>
          <w:lang w:val="en-US" w:eastAsia="zh-CN"/>
        </w:rPr>
        <w:t>及</w:t>
      </w:r>
      <w:r>
        <w:rPr>
          <w:rFonts w:hint="eastAsia" w:ascii="仿宋" w:hAnsi="仿宋" w:eastAsia="仿宋" w:cs="仿宋"/>
          <w:b/>
          <w:i w:val="0"/>
          <w:iCs w:val="0"/>
          <w:color w:val="auto"/>
          <w:sz w:val="24"/>
          <w:highlight w:val="none"/>
        </w:rPr>
        <w:t>通知</w:t>
      </w:r>
    </w:p>
    <w:p w14:paraId="2EF529FF">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人。</w:t>
      </w:r>
    </w:p>
    <w:p w14:paraId="466BCE62">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发出中标通知书并发布中标结果公告。中标</w:t>
      </w:r>
      <w:r>
        <w:rPr>
          <w:rFonts w:hint="eastAsia" w:ascii="仿宋" w:hAnsi="仿宋" w:eastAsia="仿宋" w:cs="仿宋"/>
          <w:i w:val="0"/>
          <w:iCs w:val="0"/>
          <w:color w:val="auto"/>
          <w:sz w:val="24"/>
          <w:highlight w:val="none"/>
          <w:lang w:eastAsia="zh-CN"/>
        </w:rPr>
        <w:t>人</w:t>
      </w:r>
      <w:r>
        <w:rPr>
          <w:rFonts w:hint="eastAsia" w:ascii="仿宋" w:hAnsi="仿宋" w:eastAsia="仿宋" w:cs="仿宋"/>
          <w:i w:val="0"/>
          <w:iCs w:val="0"/>
          <w:color w:val="auto"/>
          <w:sz w:val="24"/>
          <w:highlight w:val="none"/>
        </w:rPr>
        <w:t>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5BAE996">
      <w:pPr>
        <w:snapToGrid w:val="0"/>
        <w:spacing w:line="440" w:lineRule="exact"/>
        <w:ind w:firstLine="480" w:firstLineChars="200"/>
        <w:rPr>
          <w:rFonts w:hint="eastAsia"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应在确认中标</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前再次对资格条件和相关证件材料进一步查验核实。在发出中标通知书前，中标</w:t>
      </w:r>
      <w:r>
        <w:rPr>
          <w:rFonts w:hint="eastAsia" w:ascii="仿宋" w:hAnsi="仿宋" w:eastAsia="仿宋" w:cs="仿宋"/>
          <w:i w:val="0"/>
          <w:iCs w:val="0"/>
          <w:color w:val="auto"/>
          <w:sz w:val="24"/>
          <w:highlight w:val="none"/>
          <w:lang w:eastAsia="zh-CN"/>
        </w:rPr>
        <w:t>人</w:t>
      </w:r>
      <w:r>
        <w:rPr>
          <w:rFonts w:hint="eastAsia" w:ascii="仿宋" w:hAnsi="仿宋" w:eastAsia="仿宋" w:cs="仿宋"/>
          <w:i w:val="0"/>
          <w:iCs w:val="0"/>
          <w:color w:val="auto"/>
          <w:sz w:val="24"/>
          <w:highlight w:val="none"/>
        </w:rPr>
        <w:t>如有违反有关法律法规和本项目要求行为的，则取消该</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27197EA3">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4招标人或</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对中标结果不作任何说明和解释，也不回答任何提问。</w:t>
      </w:r>
    </w:p>
    <w:p w14:paraId="5F3CD31E">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4．履约保证金</w:t>
      </w:r>
    </w:p>
    <w:p w14:paraId="03B96590">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4.1</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在签订合同时，按规定可向中标人收取</w:t>
      </w:r>
      <w:r>
        <w:rPr>
          <w:rFonts w:hint="eastAsia" w:ascii="仿宋" w:hAnsi="仿宋" w:eastAsia="仿宋" w:cs="仿宋"/>
          <w:i w:val="0"/>
          <w:iCs w:val="0"/>
          <w:color w:val="auto"/>
          <w:sz w:val="24"/>
          <w:highlight w:val="none"/>
          <w:lang w:val="en-US" w:eastAsia="zh-CN"/>
        </w:rPr>
        <w:t>20万元</w:t>
      </w:r>
      <w:r>
        <w:rPr>
          <w:rFonts w:hint="eastAsia" w:ascii="仿宋" w:hAnsi="仿宋" w:eastAsia="仿宋" w:cs="仿宋"/>
          <w:i w:val="0"/>
          <w:iCs w:val="0"/>
          <w:color w:val="auto"/>
          <w:sz w:val="24"/>
          <w:highlight w:val="none"/>
        </w:rPr>
        <w:t>的履约保证金。</w:t>
      </w:r>
    </w:p>
    <w:p w14:paraId="2D70FC25">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4.2项目验收结束后，</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应及时退还履约保证金。</w:t>
      </w:r>
    </w:p>
    <w:p w14:paraId="3FD074B2">
      <w:pPr>
        <w:snapToGrid w:val="0"/>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4.3形式：现金、支票、汇票、转账、银行保函、数字保函、融资担保公司保函或者保险机构保证、保险、保单。</w:t>
      </w:r>
    </w:p>
    <w:p w14:paraId="70DB1197">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5．合同签订</w:t>
      </w:r>
    </w:p>
    <w:p w14:paraId="48EA84BD">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应当在中标通知书发出之日起30天内与</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签订合同</w:t>
      </w:r>
      <w:r>
        <w:rPr>
          <w:rFonts w:hint="eastAsia" w:ascii="仿宋" w:hAnsi="仿宋" w:eastAsia="仿宋" w:cs="仿宋"/>
          <w:i w:val="0"/>
          <w:iCs w:val="0"/>
          <w:color w:val="auto"/>
          <w:sz w:val="24"/>
          <w:highlight w:val="none"/>
          <w:lang w:eastAsia="zh-CN"/>
        </w:rPr>
        <w:t>。</w:t>
      </w:r>
    </w:p>
    <w:p w14:paraId="6A106E63">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5.2如中标人为联合体的，由联合体成员各方法定代表人或其授权代表与</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代表签订合同。</w:t>
      </w:r>
    </w:p>
    <w:p w14:paraId="12C3378F">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6.验收</w:t>
      </w:r>
    </w:p>
    <w:p w14:paraId="6FB5B58B">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组织对</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履约的验收。如果发现与</w:t>
      </w:r>
      <w:r>
        <w:rPr>
          <w:rFonts w:hint="eastAsia" w:ascii="仿宋" w:hAnsi="仿宋" w:eastAsia="仿宋" w:cs="仿宋"/>
          <w:i w:val="0"/>
          <w:iCs w:val="0"/>
          <w:color w:val="auto"/>
          <w:sz w:val="24"/>
          <w:highlight w:val="none"/>
          <w:lang w:eastAsia="zh-CN"/>
        </w:rPr>
        <w:t>合同</w:t>
      </w:r>
      <w:r>
        <w:rPr>
          <w:rFonts w:hint="eastAsia" w:ascii="仿宋" w:hAnsi="仿宋" w:eastAsia="仿宋" w:cs="仿宋"/>
          <w:i w:val="0"/>
          <w:iCs w:val="0"/>
          <w:color w:val="auto"/>
          <w:sz w:val="24"/>
          <w:highlight w:val="none"/>
        </w:rPr>
        <w:t>要求不符，</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须承担由此发生的一切损失和费用，并承担相应的法律责任。</w:t>
      </w:r>
    </w:p>
    <w:p w14:paraId="19F42FDE">
      <w:pPr>
        <w:snapToGrid w:val="0"/>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6.2</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可以邀请参加本项目的其他</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或者第三方机构的意见作为验收书的参考资料一并存档。</w:t>
      </w:r>
    </w:p>
    <w:p w14:paraId="3F287252">
      <w:pPr>
        <w:snapToGrid w:val="0"/>
        <w:spacing w:line="440" w:lineRule="exact"/>
        <w:ind w:firstLine="480" w:firstLineChars="200"/>
        <w:rPr>
          <w:rFonts w:hint="eastAsia" w:ascii="仿宋" w:hAnsi="仿宋" w:eastAsia="仿宋" w:cs="仿宋"/>
          <w:i w:val="0"/>
          <w:iCs w:val="0"/>
          <w:color w:val="auto"/>
          <w:sz w:val="24"/>
          <w:highlight w:val="none"/>
        </w:rPr>
      </w:pPr>
    </w:p>
    <w:p w14:paraId="0E696D4E">
      <w:pPr>
        <w:adjustRightInd/>
        <w:spacing w:line="336" w:lineRule="auto"/>
        <w:jc w:val="center"/>
        <w:outlineLvl w:val="0"/>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hint="eastAsia" w:ascii="仿宋" w:hAnsi="仿宋" w:eastAsia="仿宋" w:cs="仿宋"/>
          <w:b/>
          <w:bCs/>
          <w:i w:val="0"/>
          <w:iCs w:val="0"/>
          <w:color w:val="auto"/>
          <w:sz w:val="32"/>
          <w:szCs w:val="20"/>
          <w:highlight w:val="none"/>
        </w:rPr>
        <w:t>质疑与投诉</w:t>
      </w:r>
    </w:p>
    <w:p w14:paraId="7D3CC7EC">
      <w:pPr>
        <w:spacing w:line="440" w:lineRule="exact"/>
        <w:rPr>
          <w:rFonts w:hint="eastAsia" w:ascii="仿宋" w:hAnsi="仿宋" w:eastAsia="仿宋" w:cs="仿宋"/>
          <w:b/>
          <w:i w:val="0"/>
          <w:iCs w:val="0"/>
          <w:color w:val="auto"/>
          <w:sz w:val="32"/>
          <w:szCs w:val="32"/>
          <w:highlight w:val="none"/>
        </w:rPr>
      </w:pPr>
      <w:r>
        <w:rPr>
          <w:rFonts w:hint="eastAsia" w:ascii="仿宋" w:hAnsi="仿宋" w:eastAsia="仿宋" w:cs="仿宋"/>
          <w:b/>
          <w:bCs/>
          <w:i w:val="0"/>
          <w:iCs w:val="0"/>
          <w:color w:val="auto"/>
          <w:sz w:val="24"/>
          <w:szCs w:val="20"/>
          <w:highlight w:val="none"/>
        </w:rPr>
        <w:t>1.</w:t>
      </w:r>
      <w:r>
        <w:rPr>
          <w:rFonts w:hint="eastAsia" w:ascii="仿宋" w:hAnsi="仿宋" w:eastAsia="仿宋" w:cs="仿宋"/>
          <w:b/>
          <w:bCs/>
          <w:i w:val="0"/>
          <w:iCs w:val="0"/>
          <w:color w:val="auto"/>
          <w:sz w:val="24"/>
          <w:highlight w:val="none"/>
          <w:lang w:eastAsia="zh-CN"/>
        </w:rPr>
        <w:t>投标人</w:t>
      </w:r>
      <w:r>
        <w:rPr>
          <w:rFonts w:hint="eastAsia" w:ascii="仿宋" w:hAnsi="仿宋" w:eastAsia="仿宋" w:cs="仿宋"/>
          <w:b/>
          <w:bCs/>
          <w:i w:val="0"/>
          <w:iCs w:val="0"/>
          <w:color w:val="auto"/>
          <w:sz w:val="24"/>
          <w:highlight w:val="none"/>
        </w:rPr>
        <w:t>质疑</w:t>
      </w:r>
    </w:p>
    <w:p w14:paraId="37F4C5BA">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hint="eastAsia" w:ascii="仿宋" w:hAnsi="仿宋" w:eastAsia="仿宋" w:cs="仿宋"/>
          <w:b/>
          <w:bCs/>
          <w:i w:val="0"/>
          <w:iCs w:val="0"/>
          <w:color w:val="auto"/>
          <w:sz w:val="24"/>
          <w:szCs w:val="20"/>
          <w:highlight w:val="none"/>
        </w:rPr>
        <w:t>.1质疑提出</w:t>
      </w:r>
    </w:p>
    <w:p w14:paraId="00BB85B5">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hint="eastAsia" w:ascii="仿宋" w:hAnsi="仿宋" w:eastAsia="仿宋" w:cs="仿宋"/>
          <w:i w:val="0"/>
          <w:iCs w:val="0"/>
          <w:color w:val="auto"/>
          <w:sz w:val="24"/>
          <w:szCs w:val="20"/>
          <w:highlight w:val="none"/>
        </w:rPr>
        <w:t>.1.1</w:t>
      </w:r>
      <w:r>
        <w:rPr>
          <w:rFonts w:hint="eastAsia" w:ascii="仿宋" w:hAnsi="仿宋" w:eastAsia="仿宋" w:cs="仿宋"/>
          <w:i w:val="0"/>
          <w:iCs w:val="0"/>
          <w:snapToGrid/>
          <w:color w:val="auto"/>
          <w:kern w:val="0"/>
          <w:sz w:val="24"/>
          <w:szCs w:val="24"/>
          <w:highlight w:val="none"/>
          <w:lang w:val="en-US" w:eastAsia="zh-CN" w:bidi="ar"/>
        </w:rPr>
        <w:t>投标人认为</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i w:val="0"/>
          <w:iCs w:val="0"/>
          <w:snapToGrid/>
          <w:color w:val="auto"/>
          <w:kern w:val="0"/>
          <w:sz w:val="24"/>
          <w:szCs w:val="24"/>
          <w:highlight w:val="none"/>
          <w:lang w:val="en-US" w:eastAsia="zh-CN" w:bidi="ar"/>
        </w:rPr>
        <w:t>文件、</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i w:val="0"/>
          <w:iCs w:val="0"/>
          <w:snapToGrid/>
          <w:color w:val="auto"/>
          <w:kern w:val="0"/>
          <w:sz w:val="24"/>
          <w:szCs w:val="24"/>
          <w:highlight w:val="none"/>
          <w:lang w:val="en-US" w:eastAsia="zh-CN" w:bidi="ar"/>
        </w:rPr>
        <w:t>过程和成交</w:t>
      </w:r>
      <w:r>
        <w:rPr>
          <w:rFonts w:hint="eastAsia" w:ascii="仿宋" w:hAnsi="仿宋" w:eastAsia="仿宋" w:cs="仿宋"/>
          <w:i w:val="0"/>
          <w:iCs w:val="0"/>
          <w:snapToGrid/>
          <w:color w:val="auto"/>
          <w:spacing w:val="-1"/>
          <w:kern w:val="0"/>
          <w:sz w:val="24"/>
          <w:szCs w:val="24"/>
          <w:highlight w:val="none"/>
          <w:lang w:val="en-US" w:eastAsia="zh-CN" w:bidi="ar"/>
        </w:rPr>
        <w:t>结果使自己的合法权益受到损害的，应通过绍兴</w:t>
      </w:r>
      <w:r>
        <w:rPr>
          <w:rFonts w:hint="eastAsia" w:ascii="仿宋" w:hAnsi="仿宋" w:eastAsia="仿宋" w:cs="仿宋"/>
          <w:i w:val="0"/>
          <w:iCs w:val="0"/>
          <w:snapToGrid/>
          <w:color w:val="auto"/>
          <w:spacing w:val="-2"/>
          <w:kern w:val="0"/>
          <w:sz w:val="24"/>
          <w:szCs w:val="24"/>
          <w:highlight w:val="none"/>
          <w:lang w:val="en-US" w:eastAsia="zh-CN" w:bidi="ar"/>
        </w:rPr>
        <w:t>市阳光采购服务平台交易系统以书面形式向招标人或者招标代理机构提出质疑，</w:t>
      </w:r>
      <w:r>
        <w:rPr>
          <w:rFonts w:hint="eastAsia" w:ascii="仿宋" w:hAnsi="仿宋" w:eastAsia="仿宋" w:cs="仿宋"/>
          <w:b w:val="0"/>
          <w:bCs w:val="0"/>
          <w:i w:val="0"/>
          <w:iCs w:val="0"/>
          <w:color w:val="auto"/>
          <w:sz w:val="24"/>
          <w:szCs w:val="20"/>
          <w:highlight w:val="none"/>
        </w:rPr>
        <w:t>质疑</w:t>
      </w:r>
      <w:r>
        <w:rPr>
          <w:rFonts w:hint="eastAsia" w:ascii="仿宋" w:hAnsi="仿宋" w:eastAsia="仿宋" w:cs="仿宋"/>
          <w:i w:val="0"/>
          <w:iCs w:val="0"/>
          <w:color w:val="auto"/>
          <w:sz w:val="24"/>
          <w:szCs w:val="20"/>
          <w:highlight w:val="none"/>
        </w:rPr>
        <w:t>路径为：</w:t>
      </w:r>
      <w:r>
        <w:rPr>
          <w:rFonts w:hint="eastAsia" w:ascii="仿宋" w:hAnsi="仿宋" w:eastAsia="仿宋" w:cs="仿宋"/>
          <w:i w:val="0"/>
          <w:iCs w:val="0"/>
          <w:color w:val="auto"/>
          <w:sz w:val="24"/>
          <w:szCs w:val="20"/>
          <w:highlight w:val="none"/>
          <w:lang w:eastAsia="zh-CN"/>
        </w:rPr>
        <w:t>绍兴市阳光采购服务</w:t>
      </w:r>
      <w:r>
        <w:rPr>
          <w:rFonts w:hint="eastAsia" w:ascii="仿宋" w:hAnsi="仿宋" w:eastAsia="仿宋" w:cs="仿宋"/>
          <w:i w:val="0"/>
          <w:iCs w:val="0"/>
          <w:color w:val="auto"/>
          <w:sz w:val="24"/>
          <w:szCs w:val="20"/>
          <w:highlight w:val="none"/>
          <w:lang w:val="en-US" w:eastAsia="zh-CN"/>
        </w:rPr>
        <w:t>平台投标人登录</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投标人未按要求进行质疑的，招标人或者招标代理机构不予受理</w:t>
      </w:r>
      <w:r>
        <w:rPr>
          <w:rFonts w:hint="eastAsia" w:ascii="仿宋" w:hAnsi="仿宋" w:eastAsia="仿宋" w:cs="仿宋"/>
          <w:i w:val="0"/>
          <w:iCs w:val="0"/>
          <w:color w:val="auto"/>
          <w:sz w:val="24"/>
          <w:szCs w:val="20"/>
          <w:highlight w:val="none"/>
          <w:lang w:eastAsia="zh-CN"/>
        </w:rPr>
        <w:t>。</w:t>
      </w:r>
    </w:p>
    <w:p w14:paraId="06C74EF1">
      <w:pPr>
        <w:spacing w:line="440" w:lineRule="exact"/>
        <w:ind w:firstLine="480" w:firstLineChars="200"/>
        <w:rPr>
          <w:rFonts w:hint="eastAsia"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hint="eastAsia"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b w:val="0"/>
          <w:bCs w:val="0"/>
          <w:i w:val="0"/>
          <w:iCs w:val="0"/>
          <w:color w:val="auto"/>
          <w:sz w:val="24"/>
          <w:szCs w:val="20"/>
          <w:highlight w:val="none"/>
          <w:u w:val="none"/>
        </w:rPr>
        <w:t>提出质疑的</w:t>
      </w:r>
      <w:r>
        <w:rPr>
          <w:rFonts w:hint="eastAsia" w:ascii="仿宋" w:hAnsi="仿宋" w:eastAsia="仿宋" w:cs="仿宋"/>
          <w:b w:val="0"/>
          <w:bCs w:val="0"/>
          <w:i w:val="0"/>
          <w:iCs w:val="0"/>
          <w:color w:val="auto"/>
          <w:sz w:val="24"/>
          <w:szCs w:val="20"/>
          <w:highlight w:val="none"/>
          <w:u w:val="none"/>
          <w:lang w:eastAsia="zh-CN"/>
        </w:rPr>
        <w:t>投标人</w:t>
      </w:r>
      <w:r>
        <w:rPr>
          <w:rFonts w:hint="eastAsia" w:ascii="仿宋" w:hAnsi="仿宋" w:eastAsia="仿宋" w:cs="仿宋"/>
          <w:b w:val="0"/>
          <w:bCs w:val="0"/>
          <w:i w:val="0"/>
          <w:iCs w:val="0"/>
          <w:color w:val="auto"/>
          <w:sz w:val="24"/>
          <w:szCs w:val="20"/>
          <w:highlight w:val="none"/>
          <w:u w:val="none"/>
        </w:rPr>
        <w:t>应当是参与所质疑项目</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b w:val="0"/>
          <w:bCs w:val="0"/>
          <w:i w:val="0"/>
          <w:iCs w:val="0"/>
          <w:color w:val="auto"/>
          <w:sz w:val="24"/>
          <w:szCs w:val="20"/>
          <w:highlight w:val="none"/>
          <w:u w:val="none"/>
        </w:rPr>
        <w:t>活动的</w:t>
      </w:r>
      <w:r>
        <w:rPr>
          <w:rFonts w:hint="eastAsia" w:ascii="仿宋" w:hAnsi="仿宋" w:eastAsia="仿宋" w:cs="仿宋"/>
          <w:b w:val="0"/>
          <w:bCs w:val="0"/>
          <w:i w:val="0"/>
          <w:iCs w:val="0"/>
          <w:color w:val="auto"/>
          <w:sz w:val="24"/>
          <w:szCs w:val="20"/>
          <w:highlight w:val="none"/>
          <w:u w:val="none"/>
          <w:lang w:eastAsia="zh-CN"/>
        </w:rPr>
        <w:t>投标人</w:t>
      </w:r>
      <w:r>
        <w:rPr>
          <w:rFonts w:hint="eastAsia" w:ascii="仿宋" w:hAnsi="仿宋" w:eastAsia="仿宋" w:cs="仿宋"/>
          <w:b w:val="0"/>
          <w:bCs w:val="0"/>
          <w:i w:val="0"/>
          <w:iCs w:val="0"/>
          <w:color w:val="auto"/>
          <w:sz w:val="24"/>
          <w:szCs w:val="20"/>
          <w:highlight w:val="none"/>
          <w:u w:val="none"/>
        </w:rPr>
        <w:t>。</w:t>
      </w:r>
      <w:r>
        <w:rPr>
          <w:rFonts w:hint="eastAsia" w:ascii="仿宋" w:hAnsi="仿宋" w:eastAsia="仿宋" w:cs="仿宋"/>
          <w:b w:val="0"/>
          <w:bCs w:val="0"/>
          <w:i w:val="0"/>
          <w:iCs w:val="0"/>
          <w:color w:val="auto"/>
          <w:sz w:val="24"/>
          <w:szCs w:val="20"/>
          <w:highlight w:val="none"/>
          <w:u w:val="none"/>
          <w:lang w:eastAsia="zh-CN"/>
        </w:rPr>
        <w:t>投标人</w:t>
      </w:r>
      <w:r>
        <w:rPr>
          <w:rFonts w:hint="eastAsia" w:ascii="仿宋" w:hAnsi="仿宋" w:eastAsia="仿宋" w:cs="仿宋"/>
          <w:b w:val="0"/>
          <w:bCs w:val="0"/>
          <w:i w:val="0"/>
          <w:iCs w:val="0"/>
          <w:color w:val="auto"/>
          <w:sz w:val="24"/>
          <w:szCs w:val="20"/>
          <w:highlight w:val="none"/>
          <w:u w:val="none"/>
        </w:rPr>
        <w:t>已依法获取其可质疑</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b w:val="0"/>
          <w:bCs w:val="0"/>
          <w:i w:val="0"/>
          <w:iCs w:val="0"/>
          <w:color w:val="auto"/>
          <w:sz w:val="24"/>
          <w:szCs w:val="20"/>
          <w:highlight w:val="none"/>
          <w:u w:val="none"/>
        </w:rPr>
        <w:t>文件的，可以对该文件提出质疑。</w:t>
      </w:r>
    </w:p>
    <w:p w14:paraId="559BE665">
      <w:pPr>
        <w:spacing w:line="440" w:lineRule="exact"/>
        <w:ind w:firstLine="482"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hint="eastAsia"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hint="eastAsia" w:ascii="仿宋" w:hAnsi="仿宋" w:eastAsia="仿宋" w:cs="仿宋"/>
          <w:b/>
          <w:bCs/>
          <w:i w:val="0"/>
          <w:iCs w:val="0"/>
          <w:color w:val="auto"/>
          <w:sz w:val="24"/>
          <w:szCs w:val="20"/>
          <w:highlight w:val="none"/>
        </w:rPr>
        <w:t>质疑提出时效</w:t>
      </w:r>
    </w:p>
    <w:p w14:paraId="2EB865D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1.2.1对</w:t>
      </w:r>
      <w:r>
        <w:rPr>
          <w:rFonts w:hint="eastAsia" w:ascii="仿宋" w:hAnsi="仿宋" w:eastAsia="仿宋" w:cs="仿宋"/>
          <w:b w:val="0"/>
          <w:bCs/>
          <w:i w:val="0"/>
          <w:iCs w:val="0"/>
          <w:color w:val="auto"/>
          <w:sz w:val="24"/>
          <w:highlight w:val="none"/>
          <w:lang w:val="en-US" w:eastAsia="zh-CN"/>
        </w:rPr>
        <w:t>招标</w:t>
      </w:r>
      <w:r>
        <w:rPr>
          <w:rFonts w:hint="eastAsia" w:ascii="仿宋" w:hAnsi="仿宋" w:eastAsia="仿宋" w:cs="仿宋"/>
          <w:i w:val="0"/>
          <w:iCs w:val="0"/>
          <w:color w:val="auto"/>
          <w:sz w:val="24"/>
          <w:szCs w:val="20"/>
          <w:highlight w:val="none"/>
          <w:lang w:val="en-US" w:eastAsia="zh-CN"/>
        </w:rPr>
        <w:t>文件提出质疑的，应当在招标文件获取截止时间（详见本招标文件“第一部分 招标公告”中“三、获取招标文件”内容）之前提出；</w:t>
      </w:r>
    </w:p>
    <w:p w14:paraId="153CBE2C">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1.2.2对招标过程有质疑的，应当在招标结果公告前提出。其中，对开标有质疑的，应当在开标期间提出；</w:t>
      </w:r>
    </w:p>
    <w:p w14:paraId="5A132D2D">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1.2.3对招标结果有质疑的，应当在中标候选人公示期间提出；</w:t>
      </w:r>
    </w:p>
    <w:p w14:paraId="7D2A1EFD">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1.2.4同一招标程序环节的质疑，投标人须一次性提出</w:t>
      </w:r>
    </w:p>
    <w:p w14:paraId="64992DD2">
      <w:pPr>
        <w:spacing w:line="440" w:lineRule="exact"/>
        <w:ind w:firstLine="482" w:firstLineChars="200"/>
        <w:rPr>
          <w:rFonts w:hint="eastAsia"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hint="eastAsia"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hint="eastAsia" w:ascii="仿宋" w:hAnsi="仿宋" w:eastAsia="仿宋" w:cs="仿宋"/>
          <w:b/>
          <w:bCs/>
          <w:i w:val="0"/>
          <w:iCs w:val="0"/>
          <w:color w:val="auto"/>
          <w:kern w:val="0"/>
          <w:sz w:val="24"/>
          <w:szCs w:val="20"/>
          <w:highlight w:val="none"/>
          <w:lang w:val="zh-CN"/>
        </w:rPr>
        <w:t>质疑函</w:t>
      </w:r>
    </w:p>
    <w:p w14:paraId="268EFA04">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hint="eastAsia"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提出质疑应当提交质疑函和必要的证明材料。质疑函应当包括下列内容：</w:t>
      </w:r>
    </w:p>
    <w:p w14:paraId="45B3E8CD">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的姓名或者名称、地址、邮编、联系人及联系电话；</w:t>
      </w:r>
    </w:p>
    <w:p w14:paraId="340B4F14">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highlight w:val="none"/>
        </w:rPr>
        <w:t>具体、明确的质疑事项和与质疑事项相关的请求；</w:t>
      </w:r>
    </w:p>
    <w:p w14:paraId="5384C9C1">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highlight w:val="none"/>
        </w:rPr>
        <w:t>事实依据；</w:t>
      </w:r>
    </w:p>
    <w:p w14:paraId="3755BC03">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highlight w:val="none"/>
        </w:rPr>
        <w:t>必要的法律依据；</w:t>
      </w:r>
    </w:p>
    <w:p w14:paraId="46F7ADB4">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highlight w:val="none"/>
        </w:rPr>
        <w:t>提出质疑的日期。</w:t>
      </w:r>
    </w:p>
    <w:p w14:paraId="26B14B18">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为自然人的，质疑函应当由本人签字；</w:t>
      </w: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为法人或者其他组织的，质疑函应当由法定代表人、主要负责人，或者其授权代表签字或者盖章，并加盖公章。</w:t>
      </w:r>
    </w:p>
    <w:p w14:paraId="5C9A74D9">
      <w:pPr>
        <w:spacing w:line="440" w:lineRule="exact"/>
        <w:ind w:firstLine="482" w:firstLineChars="200"/>
        <w:rPr>
          <w:rFonts w:hint="eastAsia" w:ascii="仿宋" w:hAnsi="仿宋" w:eastAsia="仿宋" w:cs="仿宋"/>
          <w:b/>
          <w:bCs/>
          <w:i w:val="0"/>
          <w:iCs w:val="0"/>
          <w:color w:val="auto"/>
          <w:sz w:val="24"/>
          <w:szCs w:val="20"/>
          <w:highlight w:val="none"/>
        </w:rPr>
      </w:pPr>
      <w:r>
        <w:rPr>
          <w:rFonts w:hint="eastAsia" w:ascii="仿宋" w:hAnsi="仿宋" w:eastAsia="仿宋" w:cs="仿宋"/>
          <w:b/>
          <w:bCs/>
          <w:i w:val="0"/>
          <w:iCs w:val="0"/>
          <w:color w:val="auto"/>
          <w:sz w:val="24"/>
          <w:szCs w:val="20"/>
          <w:highlight w:val="none"/>
        </w:rPr>
        <w:t>质疑函范本及制作说明详见附件1。</w:t>
      </w:r>
    </w:p>
    <w:p w14:paraId="4462A734">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hint="eastAsia"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08ADBAEF">
      <w:pPr>
        <w:spacing w:line="440" w:lineRule="exact"/>
        <w:ind w:firstLine="480" w:firstLineChars="200"/>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hint="eastAsia"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招标人或招标代理机构应当在收到质疑函后3日内作出答复。</w:t>
      </w:r>
    </w:p>
    <w:p w14:paraId="7A06B037">
      <w:pPr>
        <w:spacing w:line="440" w:lineRule="exact"/>
        <w:ind w:firstLine="480" w:firstLineChars="200"/>
        <w:rPr>
          <w:rFonts w:hint="eastAsia" w:ascii="仿宋" w:hAnsi="仿宋" w:eastAsia="仿宋" w:cs="仿宋"/>
          <w:i w:val="0"/>
          <w:iCs w:val="0"/>
          <w:strike w:val="0"/>
          <w:dstrike w:val="0"/>
          <w:color w:val="auto"/>
          <w:sz w:val="24"/>
          <w:szCs w:val="20"/>
          <w:highlight w:val="none"/>
          <w:lang w:val="en-US" w:eastAsia="zh-CN"/>
        </w:rPr>
      </w:pPr>
      <w:r>
        <w:rPr>
          <w:rFonts w:hint="eastAsia" w:ascii="仿宋" w:hAnsi="仿宋" w:eastAsia="仿宋" w:cs="仿宋"/>
          <w:i w:val="0"/>
          <w:iCs w:val="0"/>
          <w:strike w:val="0"/>
          <w:dstrike w:val="0"/>
          <w:color w:val="auto"/>
          <w:sz w:val="24"/>
          <w:szCs w:val="20"/>
          <w:highlight w:val="none"/>
          <w:lang w:val="en-US" w:eastAsia="zh-CN"/>
        </w:rPr>
        <w:t>1</w:t>
      </w:r>
      <w:r>
        <w:rPr>
          <w:rFonts w:hint="eastAsia" w:ascii="仿宋" w:hAnsi="仿宋" w:eastAsia="仿宋" w:cs="仿宋"/>
          <w:i w:val="0"/>
          <w:iCs w:val="0"/>
          <w:strike w:val="0"/>
          <w:dstrike w:val="0"/>
          <w:color w:val="auto"/>
          <w:sz w:val="24"/>
          <w:szCs w:val="20"/>
          <w:highlight w:val="none"/>
        </w:rPr>
        <w:t>.</w:t>
      </w:r>
      <w:r>
        <w:rPr>
          <w:rFonts w:hint="eastAsia" w:ascii="仿宋" w:hAnsi="仿宋" w:eastAsia="仿宋" w:cs="仿宋"/>
          <w:i w:val="0"/>
          <w:iCs w:val="0"/>
          <w:strike w:val="0"/>
          <w:dstrike w:val="0"/>
          <w:color w:val="auto"/>
          <w:sz w:val="24"/>
          <w:szCs w:val="20"/>
          <w:highlight w:val="none"/>
          <w:lang w:val="en-US" w:eastAsia="zh-CN"/>
        </w:rPr>
        <w:t>4</w:t>
      </w:r>
      <w:r>
        <w:rPr>
          <w:rFonts w:hint="eastAsia" w:ascii="仿宋" w:hAnsi="仿宋" w:eastAsia="仿宋" w:cs="仿宋"/>
          <w:i w:val="0"/>
          <w:iCs w:val="0"/>
          <w:strike w:val="0"/>
          <w:dstrike w:val="0"/>
          <w:color w:val="auto"/>
          <w:sz w:val="24"/>
          <w:szCs w:val="20"/>
          <w:highlight w:val="none"/>
        </w:rPr>
        <w:t>.</w:t>
      </w:r>
      <w:r>
        <w:rPr>
          <w:rFonts w:hint="eastAsia" w:ascii="仿宋" w:hAnsi="仿宋" w:eastAsia="仿宋" w:cs="仿宋"/>
          <w:i w:val="0"/>
          <w:iCs w:val="0"/>
          <w:strike w:val="0"/>
          <w:dstrike w:val="0"/>
          <w:color w:val="auto"/>
          <w:sz w:val="24"/>
          <w:szCs w:val="20"/>
          <w:highlight w:val="none"/>
          <w:lang w:val="en-US" w:eastAsia="zh-CN"/>
        </w:rPr>
        <w:t>2招标人委托招标代理机构招标的，招标代理机构在委托授权范围内作出答复。投标人提出的质疑超出招标人对招标代理机构委托授权范围的，招标代理机构应当告知投标人向招标人提出。</w:t>
      </w:r>
    </w:p>
    <w:p w14:paraId="1D62CB43">
      <w:pPr>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hint="eastAsia" w:ascii="仿宋" w:hAnsi="仿宋" w:eastAsia="仿宋" w:cs="仿宋"/>
          <w:b/>
          <w:bCs/>
          <w:i w:val="0"/>
          <w:iCs w:val="0"/>
          <w:color w:val="auto"/>
          <w:sz w:val="24"/>
          <w:highlight w:val="none"/>
        </w:rPr>
        <w:t>.</w:t>
      </w:r>
      <w:r>
        <w:rPr>
          <w:rFonts w:hint="eastAsia" w:ascii="仿宋" w:hAnsi="仿宋" w:eastAsia="仿宋" w:cs="仿宋"/>
          <w:b/>
          <w:bCs/>
          <w:i w:val="0"/>
          <w:iCs w:val="0"/>
          <w:color w:val="auto"/>
          <w:sz w:val="24"/>
          <w:highlight w:val="none"/>
          <w:lang w:eastAsia="zh-CN"/>
        </w:rPr>
        <w:t>投标人</w:t>
      </w:r>
      <w:r>
        <w:rPr>
          <w:rFonts w:hint="eastAsia" w:ascii="仿宋" w:hAnsi="仿宋" w:eastAsia="仿宋" w:cs="仿宋"/>
          <w:b/>
          <w:bCs/>
          <w:i w:val="0"/>
          <w:iCs w:val="0"/>
          <w:color w:val="auto"/>
          <w:sz w:val="24"/>
          <w:highlight w:val="none"/>
        </w:rPr>
        <w:t>投诉</w:t>
      </w:r>
    </w:p>
    <w:p w14:paraId="549F8B46">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.1质疑</w:t>
      </w: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对</w:t>
      </w:r>
      <w:r>
        <w:rPr>
          <w:rFonts w:hint="eastAsia" w:ascii="仿宋" w:hAnsi="仿宋" w:eastAsia="仿宋" w:cs="仿宋"/>
          <w:i w:val="0"/>
          <w:iCs w:val="0"/>
          <w:color w:val="auto"/>
          <w:sz w:val="24"/>
          <w:szCs w:val="20"/>
          <w:highlight w:val="none"/>
          <w:lang w:eastAsia="zh-CN"/>
        </w:rPr>
        <w:t>招标人</w:t>
      </w:r>
      <w:r>
        <w:rPr>
          <w:rFonts w:hint="eastAsia" w:ascii="仿宋" w:hAnsi="仿宋" w:eastAsia="仿宋" w:cs="仿宋"/>
          <w:i w:val="0"/>
          <w:iCs w:val="0"/>
          <w:color w:val="auto"/>
          <w:sz w:val="24"/>
          <w:szCs w:val="20"/>
          <w:highlight w:val="none"/>
        </w:rPr>
        <w:t>或</w:t>
      </w:r>
      <w:r>
        <w:rPr>
          <w:rFonts w:hint="eastAsia" w:ascii="仿宋" w:hAnsi="仿宋" w:eastAsia="仿宋" w:cs="仿宋"/>
          <w:i w:val="0"/>
          <w:iCs w:val="0"/>
          <w:color w:val="auto"/>
          <w:sz w:val="24"/>
          <w:szCs w:val="20"/>
          <w:highlight w:val="none"/>
          <w:lang w:eastAsia="zh-CN"/>
        </w:rPr>
        <w:t>招标代理机构</w:t>
      </w:r>
      <w:r>
        <w:rPr>
          <w:rFonts w:hint="eastAsia" w:ascii="仿宋" w:hAnsi="仿宋" w:eastAsia="仿宋" w:cs="仿宋"/>
          <w:i w:val="0"/>
          <w:iCs w:val="0"/>
          <w:color w:val="auto"/>
          <w:sz w:val="24"/>
          <w:szCs w:val="20"/>
          <w:highlight w:val="none"/>
        </w:rPr>
        <w:t>的答复不满意或者</w:t>
      </w:r>
      <w:r>
        <w:rPr>
          <w:rFonts w:hint="eastAsia" w:ascii="仿宋" w:hAnsi="仿宋" w:eastAsia="仿宋" w:cs="仿宋"/>
          <w:i w:val="0"/>
          <w:iCs w:val="0"/>
          <w:color w:val="auto"/>
          <w:sz w:val="24"/>
          <w:szCs w:val="20"/>
          <w:highlight w:val="none"/>
          <w:lang w:eastAsia="zh-CN"/>
        </w:rPr>
        <w:t>招标人</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eastAsia="zh-CN"/>
        </w:rPr>
        <w:t>招标代理机构</w:t>
      </w:r>
      <w:r>
        <w:rPr>
          <w:rFonts w:hint="eastAsia" w:ascii="仿宋" w:hAnsi="仿宋" w:eastAsia="仿宋" w:cs="仿宋"/>
          <w:i w:val="0"/>
          <w:iCs w:val="0"/>
          <w:color w:val="auto"/>
          <w:sz w:val="24"/>
          <w:szCs w:val="20"/>
          <w:highlight w:val="none"/>
        </w:rPr>
        <w:t>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 xml:space="preserve"> 15 </w:t>
      </w:r>
      <w:r>
        <w:rPr>
          <w:rFonts w:hint="eastAsia" w:ascii="仿宋" w:hAnsi="仿宋" w:eastAsia="仿宋" w:cs="仿宋"/>
          <w:i w:val="0"/>
          <w:iCs w:val="0"/>
          <w:color w:val="auto"/>
          <w:sz w:val="24"/>
          <w:szCs w:val="20"/>
          <w:highlight w:val="none"/>
        </w:rPr>
        <w:t>个工作日内向</w:t>
      </w:r>
      <w:r>
        <w:rPr>
          <w:rFonts w:hint="eastAsia" w:ascii="仿宋" w:hAnsi="仿宋" w:eastAsia="仿宋" w:cs="仿宋"/>
          <w:i w:val="0"/>
          <w:iCs w:val="0"/>
          <w:color w:val="auto"/>
          <w:sz w:val="24"/>
          <w:szCs w:val="20"/>
          <w:highlight w:val="none"/>
          <w:lang w:eastAsia="zh-CN"/>
        </w:rPr>
        <w:t>监督单位</w:t>
      </w:r>
      <w:r>
        <w:rPr>
          <w:rFonts w:hint="eastAsia" w:ascii="仿宋" w:hAnsi="仿宋" w:eastAsia="仿宋" w:cs="仿宋"/>
          <w:i w:val="0"/>
          <w:iCs w:val="0"/>
          <w:color w:val="auto"/>
          <w:sz w:val="24"/>
          <w:szCs w:val="20"/>
          <w:highlight w:val="none"/>
        </w:rPr>
        <w:t>提出投诉。</w:t>
      </w:r>
    </w:p>
    <w:p w14:paraId="5046C390">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.2</w:t>
      </w: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投诉的事项不得超出已质疑事项的范围，基于质疑答复内容提出的投诉事项除外。</w:t>
      </w:r>
    </w:p>
    <w:p w14:paraId="04D0DE0C">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.3</w:t>
      </w: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投诉应当有明确的请求和必要的证明材料。</w:t>
      </w:r>
    </w:p>
    <w:p w14:paraId="4E0974E8">
      <w:pPr>
        <w:spacing w:line="440" w:lineRule="exact"/>
        <w:ind w:firstLine="480" w:firstLineChars="200"/>
        <w:rPr>
          <w:rFonts w:hint="eastAsia"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.4以联合体形式参加</w:t>
      </w:r>
      <w:r>
        <w:rPr>
          <w:rFonts w:hint="eastAsia" w:ascii="仿宋" w:hAnsi="仿宋" w:eastAsia="仿宋" w:cs="仿宋"/>
          <w:i w:val="0"/>
          <w:iCs w:val="0"/>
          <w:color w:val="auto"/>
          <w:sz w:val="24"/>
          <w:szCs w:val="20"/>
          <w:highlight w:val="none"/>
          <w:lang w:val="en-US" w:eastAsia="zh-CN"/>
        </w:rPr>
        <w:t>招标</w:t>
      </w:r>
      <w:r>
        <w:rPr>
          <w:rFonts w:hint="eastAsia" w:ascii="仿宋" w:hAnsi="仿宋" w:eastAsia="仿宋" w:cs="仿宋"/>
          <w:i w:val="0"/>
          <w:iCs w:val="0"/>
          <w:color w:val="auto"/>
          <w:sz w:val="24"/>
          <w:szCs w:val="20"/>
          <w:highlight w:val="none"/>
        </w:rPr>
        <w:t>活动的，其投诉应当由组成联合体的所有</w:t>
      </w:r>
      <w:r>
        <w:rPr>
          <w:rFonts w:hint="eastAsia" w:ascii="仿宋" w:hAnsi="仿宋" w:eastAsia="仿宋" w:cs="仿宋"/>
          <w:i w:val="0"/>
          <w:iCs w:val="0"/>
          <w:color w:val="auto"/>
          <w:sz w:val="24"/>
          <w:szCs w:val="20"/>
          <w:highlight w:val="none"/>
          <w:lang w:eastAsia="zh-CN"/>
        </w:rPr>
        <w:t>投标人</w:t>
      </w:r>
      <w:r>
        <w:rPr>
          <w:rFonts w:hint="eastAsia" w:ascii="仿宋" w:hAnsi="仿宋" w:eastAsia="仿宋" w:cs="仿宋"/>
          <w:i w:val="0"/>
          <w:iCs w:val="0"/>
          <w:color w:val="auto"/>
          <w:sz w:val="24"/>
          <w:szCs w:val="20"/>
          <w:highlight w:val="none"/>
        </w:rPr>
        <w:t>共同提出。</w:t>
      </w:r>
    </w:p>
    <w:p w14:paraId="19DACDE6">
      <w:pPr>
        <w:snapToGrid/>
        <w:spacing w:line="440" w:lineRule="exact"/>
        <w:ind w:firstLine="482" w:firstLineChars="200"/>
        <w:outlineLvl w:val="9"/>
        <w:rPr>
          <w:rFonts w:hint="eastAsia" w:ascii="仿宋" w:hAnsi="仿宋" w:eastAsia="仿宋" w:cs="仿宋"/>
          <w:b/>
          <w:bCs/>
          <w:i w:val="0"/>
          <w:iCs w:val="0"/>
          <w:color w:val="auto"/>
          <w:sz w:val="24"/>
          <w:szCs w:val="20"/>
          <w:highlight w:val="none"/>
        </w:rPr>
      </w:pPr>
      <w:r>
        <w:rPr>
          <w:rFonts w:hint="eastAsia" w:ascii="仿宋" w:hAnsi="仿宋" w:eastAsia="仿宋" w:cs="仿宋"/>
          <w:b/>
          <w:bCs/>
          <w:i w:val="0"/>
          <w:iCs w:val="0"/>
          <w:color w:val="auto"/>
          <w:sz w:val="24"/>
          <w:szCs w:val="20"/>
          <w:highlight w:val="none"/>
        </w:rPr>
        <w:t>投诉书范本及制作说明详见附件2。</w:t>
      </w:r>
    </w:p>
    <w:p w14:paraId="558E504C">
      <w:pPr>
        <w:pStyle w:val="25"/>
        <w:rPr>
          <w:rFonts w:hint="eastAsia" w:ascii="仿宋" w:hAnsi="仿宋" w:eastAsia="仿宋" w:cs="仿宋"/>
          <w:i w:val="0"/>
          <w:iCs w:val="0"/>
          <w:color w:val="auto"/>
          <w:highlight w:val="none"/>
        </w:rPr>
      </w:pPr>
    </w:p>
    <w:bookmarkEnd w:id="30"/>
    <w:bookmarkEnd w:id="31"/>
    <w:p w14:paraId="107D2070">
      <w:pPr>
        <w:rPr>
          <w:rFonts w:hint="eastAsia" w:ascii="仿宋" w:hAnsi="仿宋" w:eastAsia="仿宋" w:cs="仿宋"/>
          <w:b/>
          <w:i w:val="0"/>
          <w:iCs w:val="0"/>
          <w:color w:val="auto"/>
          <w:sz w:val="36"/>
          <w:szCs w:val="36"/>
          <w:highlight w:val="none"/>
        </w:rPr>
      </w:pPr>
      <w:bookmarkStart w:id="36" w:name="_Toc86217003"/>
      <w:bookmarkStart w:id="37" w:name="第五部分"/>
      <w:r>
        <w:rPr>
          <w:rFonts w:hint="eastAsia" w:ascii="仿宋" w:hAnsi="仿宋" w:eastAsia="仿宋" w:cs="仿宋"/>
          <w:b/>
          <w:i w:val="0"/>
          <w:iCs w:val="0"/>
          <w:color w:val="auto"/>
          <w:sz w:val="36"/>
          <w:szCs w:val="36"/>
          <w:highlight w:val="none"/>
        </w:rPr>
        <w:br w:type="page"/>
      </w:r>
    </w:p>
    <w:p w14:paraId="6EEF8FDE">
      <w:pPr>
        <w:spacing w:line="360" w:lineRule="auto"/>
        <w:ind w:left="720" w:leftChars="343" w:firstLine="1446" w:firstLineChars="400"/>
        <w:outlineLvl w:val="0"/>
        <w:rPr>
          <w:rFonts w:hint="eastAsia" w:ascii="仿宋" w:hAnsi="仿宋" w:eastAsia="仿宋" w:cs="仿宋"/>
          <w:b/>
          <w:bCs/>
          <w:color w:val="auto"/>
          <w:sz w:val="24"/>
          <w:szCs w:val="24"/>
          <w:highlight w:val="none"/>
          <w:lang w:val="en-US" w:eastAsia="zh-CN"/>
        </w:rPr>
      </w:pPr>
      <w:r>
        <w:rPr>
          <w:rFonts w:hint="eastAsia" w:ascii="仿宋" w:hAnsi="仿宋" w:eastAsia="仿宋" w:cs="仿宋"/>
          <w:b/>
          <w:i w:val="0"/>
          <w:iCs w:val="0"/>
          <w:color w:val="auto"/>
          <w:sz w:val="36"/>
          <w:szCs w:val="36"/>
          <w:highlight w:val="none"/>
        </w:rPr>
        <w:t>第三部分   招标项目范围及要求</w:t>
      </w:r>
      <w:r>
        <w:rPr>
          <w:rFonts w:hint="eastAsia" w:ascii="仿宋" w:hAnsi="仿宋" w:eastAsia="仿宋" w:cs="仿宋"/>
          <w:b/>
          <w:bCs/>
          <w:color w:val="auto"/>
          <w:sz w:val="24"/>
          <w:szCs w:val="24"/>
          <w:highlight w:val="none"/>
          <w:lang w:val="en-US" w:eastAsia="zh-CN"/>
        </w:rPr>
        <w:t xml:space="preserve"> </w:t>
      </w:r>
    </w:p>
    <w:p w14:paraId="5D80D04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zh-CN" w:eastAsia="zh-CN" w:bidi="ar-SA"/>
        </w:rPr>
        <w:t>一、</w:t>
      </w:r>
      <w:r>
        <w:rPr>
          <w:rFonts w:hint="eastAsia" w:ascii="仿宋" w:hAnsi="仿宋" w:eastAsia="仿宋" w:cs="仿宋"/>
          <w:b/>
          <w:bCs/>
          <w:color w:val="auto"/>
          <w:kern w:val="2"/>
          <w:sz w:val="32"/>
          <w:szCs w:val="32"/>
          <w:highlight w:val="none"/>
          <w:lang w:val="en-US" w:eastAsia="zh-CN" w:bidi="ar-SA"/>
        </w:rPr>
        <w:t>设备内容</w:t>
      </w:r>
    </w:p>
    <w:tbl>
      <w:tblPr>
        <w:tblStyle w:val="64"/>
        <w:tblW w:w="91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778"/>
        <w:gridCol w:w="2290"/>
        <w:gridCol w:w="5421"/>
        <w:gridCol w:w="694"/>
      </w:tblGrid>
      <w:tr w14:paraId="02DF9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1E87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序号</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9910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设备名称</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0A2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规格</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84E1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单位</w:t>
            </w:r>
          </w:p>
        </w:tc>
      </w:tr>
      <w:tr w14:paraId="4B2A1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A54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D675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10kV欧变（1250kVA）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B83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EE7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台</w:t>
            </w:r>
          </w:p>
        </w:tc>
      </w:tr>
      <w:tr w14:paraId="1CB7F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88D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CAC5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10kV欧变（1000kVA）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091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21C5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台</w:t>
            </w:r>
          </w:p>
        </w:tc>
      </w:tr>
      <w:tr w14:paraId="6BC1D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651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BAC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10kV欧变（800kVA）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5ED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2974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0981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D4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369B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10kV欧变（630kVA）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EFBD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FF6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2222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A14D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D65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10kV欧变（500kVA）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667D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7BB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0028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BD1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9D37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10kV高低压一体式充电箱变（1250kVA）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B1A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含箱体</w:t>
            </w:r>
          </w:p>
          <w:p w14:paraId="2904C64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高压进线柜+高压计量柜+母线PT柜+变压器出线柜、1台1250kVA变压器、1套低压进线柜+无功补偿柜、总功率≥1200kW直流充电机</w:t>
            </w:r>
            <w:r>
              <w:rPr>
                <w:rFonts w:hint="eastAsia" w:ascii="仿宋" w:hAnsi="仿宋" w:eastAsia="仿宋" w:cs="仿宋"/>
                <w:i w:val="0"/>
                <w:iCs w:val="0"/>
                <w:color w:val="auto"/>
                <w:kern w:val="0"/>
                <w:sz w:val="21"/>
                <w:szCs w:val="21"/>
                <w:highlight w:val="none"/>
                <w:u w:val="none"/>
                <w:lang w:eastAsia="zh-CN" w:bidi="ar"/>
              </w:rPr>
              <w:t>（含功率模块，不含功率分配单元）</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51A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00C66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3DE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C34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10kV高低压一体式充电箱变（1000kVA）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B64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含箱体</w:t>
            </w:r>
          </w:p>
          <w:p w14:paraId="2125A7B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高压进线柜+高压计量柜+母线PT柜+变压器出线柜、1台1000kVA变压器、1套低压进线柜+无功补偿柜、总功率≥960kW直流充电机</w:t>
            </w:r>
            <w:r>
              <w:rPr>
                <w:rFonts w:hint="eastAsia" w:ascii="仿宋" w:hAnsi="仿宋" w:eastAsia="仿宋" w:cs="仿宋"/>
                <w:i w:val="0"/>
                <w:iCs w:val="0"/>
                <w:color w:val="auto"/>
                <w:kern w:val="0"/>
                <w:sz w:val="21"/>
                <w:szCs w:val="21"/>
                <w:highlight w:val="none"/>
                <w:u w:val="none"/>
                <w:lang w:eastAsia="zh-CN" w:bidi="ar"/>
              </w:rPr>
              <w:t>（含功率模块，不含功率分配单元）</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E41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5DD1A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3F6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2F2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10kV高低压一体式充电箱变（800kVA）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F3BA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含箱体</w:t>
            </w:r>
          </w:p>
          <w:p w14:paraId="770BB91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高压进线柜+高压计量柜+母线PT柜+变压器出线柜、1台800kVA变压器、1套低压进线柜+无功补偿柜、总功率≥720kW直流充电机</w:t>
            </w:r>
            <w:r>
              <w:rPr>
                <w:rFonts w:hint="eastAsia" w:ascii="仿宋" w:hAnsi="仿宋" w:eastAsia="仿宋" w:cs="仿宋"/>
                <w:i w:val="0"/>
                <w:iCs w:val="0"/>
                <w:color w:val="auto"/>
                <w:kern w:val="0"/>
                <w:sz w:val="21"/>
                <w:szCs w:val="21"/>
                <w:highlight w:val="none"/>
                <w:u w:val="none"/>
                <w:lang w:eastAsia="zh-CN" w:bidi="ar"/>
              </w:rPr>
              <w:t>（含功率模块，不含功率分配单元）</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FE5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6F9C4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6EC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9</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141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10kV高低压一体式充电箱变（630kVA）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98A2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含箱体</w:t>
            </w:r>
          </w:p>
          <w:p w14:paraId="64D4ED4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高压进线柜+高压计量柜+母线PT柜+变压器出线柜、1台630kVA变压器、1套低压进线柜+无功补偿柜、总功率≥600kW直流充电机</w:t>
            </w:r>
            <w:r>
              <w:rPr>
                <w:rFonts w:hint="eastAsia" w:ascii="仿宋" w:hAnsi="仿宋" w:eastAsia="仿宋" w:cs="仿宋"/>
                <w:i w:val="0"/>
                <w:iCs w:val="0"/>
                <w:color w:val="auto"/>
                <w:kern w:val="0"/>
                <w:sz w:val="21"/>
                <w:szCs w:val="21"/>
                <w:highlight w:val="none"/>
                <w:u w:val="none"/>
                <w:lang w:eastAsia="zh-CN" w:bidi="ar"/>
              </w:rPr>
              <w:t>（含功率模块，不含功率分配单元）</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46B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103A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3DB9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10</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994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10kV高低压一体式充电箱变（500kVA）</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A8C8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含箱体</w:t>
            </w:r>
          </w:p>
          <w:p w14:paraId="1975B64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高压进线柜+高压计量柜+母线PT柜+变压器出线柜、1台500kVA变压器、1套低压进线柜+无功补偿柜、总功率≥480kW直流充电机</w:t>
            </w:r>
            <w:r>
              <w:rPr>
                <w:rFonts w:hint="eastAsia" w:ascii="仿宋" w:hAnsi="仿宋" w:eastAsia="仿宋" w:cs="仿宋"/>
                <w:i w:val="0"/>
                <w:iCs w:val="0"/>
                <w:color w:val="auto"/>
                <w:kern w:val="0"/>
                <w:sz w:val="21"/>
                <w:szCs w:val="21"/>
                <w:highlight w:val="none"/>
                <w:u w:val="none"/>
                <w:lang w:eastAsia="zh-CN" w:bidi="ar"/>
              </w:rPr>
              <w:t>（含功率模块，不含功率分配单元）</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5FEF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0E5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BCC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FE1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7kW交流充电桩（单机版）</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6F21">
            <w:pPr>
              <w:keepNext w:val="0"/>
              <w:keepLines w:val="0"/>
              <w:pageBreakBefore w:val="0"/>
              <w:widowControl/>
              <w:numPr>
                <w:ilvl w:val="0"/>
                <w:numId w:val="1"/>
              </w:numPr>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交流电源频率：50±1Hz</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2.输出功率：7kW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3.输出额定电流：32A</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4.漏电保护装置：≤30mA</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5.防护等级：IP55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6.充电电缆：≥5m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7.正常工作温度：-20℃至 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8.噪音：≤20dB；</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9.充电桩设备安装及调试</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10.启动方式:单机版、刷卡充电</w:t>
            </w:r>
          </w:p>
          <w:p w14:paraId="5CD30C7E">
            <w:pPr>
              <w:keepNext w:val="0"/>
              <w:keepLines w:val="0"/>
              <w:pageBreakBefore w:val="0"/>
              <w:widowControl/>
              <w:numPr>
                <w:ilvl w:val="0"/>
                <w:numId w:val="0"/>
              </w:numPr>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35C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452D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638D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0C3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7kW交流充电桩（联网版）</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553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1.交流电源频率：50±1Hz</w:t>
            </w:r>
          </w:p>
          <w:p w14:paraId="6EA323B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2.输出功率：7kW</w:t>
            </w:r>
          </w:p>
          <w:p w14:paraId="3445FD9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3.输出额定电流：32A</w:t>
            </w:r>
          </w:p>
          <w:p w14:paraId="2FBC52F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4.漏电保护装置：≤30mA</w:t>
            </w:r>
          </w:p>
          <w:p w14:paraId="26F36BA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5.防护等级：IP55</w:t>
            </w:r>
          </w:p>
          <w:p w14:paraId="12B49B1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6.充电电缆：≥5m</w:t>
            </w:r>
          </w:p>
          <w:p w14:paraId="0591121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7.正常工作温度：-20℃至 50℃；</w:t>
            </w:r>
          </w:p>
          <w:p w14:paraId="732FBD0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8.噪音：≤20dB；</w:t>
            </w:r>
          </w:p>
          <w:p w14:paraId="1D12A04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9.充电桩设备安装及调试</w:t>
            </w:r>
          </w:p>
          <w:p w14:paraId="7744C1C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10.启动方式:扫码充电、刷卡充电</w:t>
            </w:r>
          </w:p>
          <w:p w14:paraId="6BD2A3B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11.充电方式:自动充满、时间充电</w:t>
            </w:r>
          </w:p>
          <w:p w14:paraId="48B7474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595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7D853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2B8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4FB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11kW交流充电桩</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E87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1.交流电源频率：50±1Hz</w:t>
            </w:r>
          </w:p>
          <w:p w14:paraId="310317B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2.输出功率：11kW</w:t>
            </w:r>
          </w:p>
          <w:p w14:paraId="0663D33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3.输出额定电流：32A</w:t>
            </w:r>
          </w:p>
          <w:p w14:paraId="5BF986C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4.漏电保护装置：≤30mA</w:t>
            </w:r>
          </w:p>
          <w:p w14:paraId="65D57ED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5.防护等级：IP55</w:t>
            </w:r>
          </w:p>
          <w:p w14:paraId="452BEA7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6.充电电缆：≥5m</w:t>
            </w:r>
          </w:p>
          <w:p w14:paraId="612FCC7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7.正常工作温度：-20℃至 50℃；</w:t>
            </w:r>
          </w:p>
          <w:p w14:paraId="3BEC791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8.噪音：≤20dB；</w:t>
            </w:r>
          </w:p>
          <w:p w14:paraId="4523D27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9.充电桩设备安装及调试</w:t>
            </w:r>
          </w:p>
          <w:p w14:paraId="3255D8F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10.启动方式:扫码充电、刷卡充电</w:t>
            </w:r>
          </w:p>
          <w:p w14:paraId="101492B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11.充电方式:自动充满、时间充电</w:t>
            </w:r>
          </w:p>
          <w:p w14:paraId="3D21E8A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D8B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0493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210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14</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EDA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21kW交流充电桩</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DF73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1.交流电源频率：50±1Hz</w:t>
            </w:r>
          </w:p>
          <w:p w14:paraId="6E1A8D3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2.输出功率：21kW</w:t>
            </w:r>
          </w:p>
          <w:p w14:paraId="0BAF950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3.输出额定电流：32A</w:t>
            </w:r>
          </w:p>
          <w:p w14:paraId="53B6C5C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4.漏电保护装置：≤30mA</w:t>
            </w:r>
          </w:p>
          <w:p w14:paraId="329577C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5.防护等级：IP55</w:t>
            </w:r>
          </w:p>
          <w:p w14:paraId="183C4BE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6.充电电缆：≥5m</w:t>
            </w:r>
          </w:p>
          <w:p w14:paraId="3C5588E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7.正常工作温度：-20℃至 50℃；</w:t>
            </w:r>
          </w:p>
          <w:p w14:paraId="593335A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8.噪音：≤20dB；</w:t>
            </w:r>
          </w:p>
          <w:p w14:paraId="0974F90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9.充电桩设备安装及调试</w:t>
            </w:r>
          </w:p>
          <w:p w14:paraId="47199AE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10.启动方式:扫码充电、刷卡充电</w:t>
            </w:r>
          </w:p>
          <w:p w14:paraId="2E895FF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11.充电方式:自动充满、时间充电</w:t>
            </w:r>
          </w:p>
          <w:p w14:paraId="6297533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D6A0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A9F8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E96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3A1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交流充电桩支架</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3D55">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充电终端落地式安装支架;</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非金属;单枪:高度≥1米</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9AE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r>
      <w:tr w14:paraId="52223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004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B05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小功率直流  充电机</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EC7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z w:val="21"/>
                <w:szCs w:val="21"/>
                <w:highlight w:val="none"/>
                <w:u w:val="none"/>
              </w:rPr>
              <w:t>1.总装机功率（15kW-40kW）含模块</w:t>
            </w:r>
          </w:p>
          <w:p w14:paraId="12AB3C1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z w:val="21"/>
                <w:szCs w:val="21"/>
                <w:highlight w:val="none"/>
                <w:u w:val="none"/>
              </w:rPr>
              <w:t>2.最大满足充电车位总数量不少于：2个</w:t>
            </w:r>
          </w:p>
          <w:p w14:paraId="380F324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z w:val="21"/>
                <w:szCs w:val="21"/>
                <w:highlight w:val="none"/>
                <w:u w:val="none"/>
              </w:rPr>
              <w:t>3.输入电压范围：AC260V-AC456V</w:t>
            </w:r>
          </w:p>
          <w:p w14:paraId="54A776C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z w:val="21"/>
                <w:szCs w:val="21"/>
                <w:highlight w:val="none"/>
                <w:u w:val="none"/>
              </w:rPr>
              <w:t>4.输出电压范围：DC200V-DC1000V</w:t>
            </w:r>
          </w:p>
          <w:p w14:paraId="4B66FD4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sz w:val="21"/>
                <w:szCs w:val="21"/>
                <w:highlight w:val="none"/>
                <w:u w:val="none"/>
              </w:rPr>
              <w:t>5.其他详见技术要求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9A48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r>
      <w:tr w14:paraId="05718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258A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17</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B049">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kern w:val="0"/>
                <w:sz w:val="21"/>
                <w:szCs w:val="21"/>
                <w:highlight w:val="none"/>
                <w:u w:val="none"/>
                <w:lang w:val="en-US" w:eastAsia="zh-CN" w:bidi="ar"/>
              </w:rPr>
              <w:t>小功率直流充放电机</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251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1.总装机功率20kW含模块</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2.最大满足充电车位总数量不少于：2个</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3.输入电压范围：AC260V-AC456V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4.输出电压范围：DC200V-DC1000V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9410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套</w:t>
            </w:r>
          </w:p>
        </w:tc>
      </w:tr>
      <w:tr w14:paraId="52A91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B0C8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18</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CAFC">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小功率直流充放电终端</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FFA9">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枪线长度：不少于3m</w:t>
            </w:r>
          </w:p>
          <w:p w14:paraId="59319B3B">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安装方式：落地/壁挂</w:t>
            </w:r>
          </w:p>
          <w:p w14:paraId="2D77A58A">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充电枪载流量：50A</w:t>
            </w:r>
          </w:p>
          <w:p w14:paraId="63DAA9F0">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防护等级：IP54</w:t>
            </w:r>
          </w:p>
          <w:p w14:paraId="249E1268">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工作环境温度:-20℃～＋50℃</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CAA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个</w:t>
            </w:r>
          </w:p>
        </w:tc>
      </w:tr>
      <w:tr w14:paraId="6B9CE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A0C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19</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63C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40kW一体式直流充电桩（壁挂）</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94F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1.额定功率：40kW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2.输入电压范围：AC260V-AC456V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3.输出电压范围：DC50V-DC1000V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4.充电接口：1个</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7.充电接口：不低于4m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8.安装方式:壁挂式</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502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707F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393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20</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920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40kW一体式直流充电桩  （立柱）</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FC2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1.额定功率：40kW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2.输入电压范围：AC260V-AC456V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3.输出电压范围：DC50V-DC1000V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4.充电接口：1个</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7.充电接口：不低于4m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8.安装方式:立柱式</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3D6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323A3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C8E9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21</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F280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80kW一体式直流充电桩  （双枪）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5A5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1.额定功率：80kW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2.输入电压范围：AC260V-AC456V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3.输出电压范围：DC50V-DC1000V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4.充电接口：2个</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7.充电接口：不低于4m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C2F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74A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C799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22</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52C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120kW一体式直流充电桩（双枪）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867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1.额定功率：120kW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2.输入电压范围：AC260V-AC456V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3.输出电压范围：DC50V-DC1000V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4.充电接口：2个</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7.充电接口：不低于4m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764F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4839F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1658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23</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E17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160kW一体式直流充电桩（双枪）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4E1D">
            <w:pPr>
              <w:keepNext w:val="0"/>
              <w:keepLines w:val="0"/>
              <w:pageBreakBefore w:val="0"/>
              <w:widowControl/>
              <w:numPr>
                <w:ilvl w:val="0"/>
                <w:numId w:val="2"/>
              </w:numPr>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额定功率：160kW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2.输入电压范围：AC260V-AC456V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3.输出电压范围：DC50V-DC1000V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4.充电接口：2个</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7.充电接口：不低于4m</w:t>
            </w:r>
          </w:p>
          <w:p w14:paraId="6B734D2F">
            <w:pPr>
              <w:keepNext w:val="0"/>
              <w:keepLines w:val="0"/>
              <w:pageBreakBefore w:val="0"/>
              <w:widowControl/>
              <w:numPr>
                <w:ilvl w:val="0"/>
                <w:numId w:val="0"/>
              </w:numPr>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746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07D7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2774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24</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4F9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240kW一体式直流充电桩（双枪）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507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1.额定功率：240kW</w:t>
            </w:r>
          </w:p>
          <w:p w14:paraId="47ECCAC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2.输入电压范围：AC260V-AC456V</w:t>
            </w:r>
          </w:p>
          <w:p w14:paraId="4F0771E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3.输出电压范围：DC50V-DC1000V</w:t>
            </w:r>
          </w:p>
          <w:p w14:paraId="0EB92AB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4.充电接口：2个</w:t>
            </w:r>
          </w:p>
          <w:p w14:paraId="16E90CF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5.海拔高度：2000m</w:t>
            </w:r>
          </w:p>
          <w:p w14:paraId="6A51880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6.工作温度：-20℃～+50℃</w:t>
            </w:r>
          </w:p>
          <w:p w14:paraId="0E11F2F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7.充电枪线长度：≥7m</w:t>
            </w:r>
          </w:p>
          <w:p w14:paraId="5F54663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8.防护等级：≥IP54</w:t>
            </w:r>
          </w:p>
          <w:p w14:paraId="67F4905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FBA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131A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6B7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25</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AE2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320kW一体式直流充电桩（双枪）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F06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1.额定功率：320kW</w:t>
            </w:r>
          </w:p>
          <w:p w14:paraId="5F0CCAC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2.充电枪线长度：≥6m</w:t>
            </w:r>
          </w:p>
          <w:p w14:paraId="10787BB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3.输出电压：50-1000V</w:t>
            </w:r>
          </w:p>
          <w:p w14:paraId="2F7FAF5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 xml:space="preserve">4.充电枪数量：1 </w:t>
            </w:r>
          </w:p>
          <w:p w14:paraId="3F780E0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5.输出电流：单枪：0-250A，双枪：0-500A</w:t>
            </w:r>
          </w:p>
          <w:p w14:paraId="43A654D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6.安装方式：落地式</w:t>
            </w:r>
          </w:p>
          <w:p w14:paraId="395978F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7.防护等级：≥IP54</w:t>
            </w:r>
          </w:p>
          <w:p w14:paraId="011627C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1F19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67B1A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2A0D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26</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4C1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400kW一体式直流充电桩（双枪）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B4B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1.额定功率：400kW</w:t>
            </w:r>
          </w:p>
          <w:p w14:paraId="3E28600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2.输入电压范围：AC260V-AC456V</w:t>
            </w:r>
          </w:p>
          <w:p w14:paraId="3D49C7D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3.输出电压范围：DC50V-DC1000V</w:t>
            </w:r>
          </w:p>
          <w:p w14:paraId="5335346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4.充电接口：2个</w:t>
            </w:r>
          </w:p>
          <w:p w14:paraId="12A3BFC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5.海拔高度：2000m</w:t>
            </w:r>
          </w:p>
          <w:p w14:paraId="2613955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6.工作温度：-20℃～+50℃</w:t>
            </w:r>
          </w:p>
          <w:p w14:paraId="582EDB7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7.充电枪线长度：≥7m</w:t>
            </w:r>
          </w:p>
          <w:p w14:paraId="2A25E6A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8.防护等级：≥IP54</w:t>
            </w:r>
          </w:p>
          <w:p w14:paraId="4198DF4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6CB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20F25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163C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27</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D34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直流充（放）电终端（4m）</w:t>
            </w:r>
          </w:p>
          <w:p w14:paraId="59C7FD3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468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1.额定输出电压：1000Vdc</w:t>
            </w:r>
          </w:p>
          <w:p w14:paraId="26171FE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2.额定输出电流：250A</w:t>
            </w:r>
          </w:p>
          <w:p w14:paraId="0630414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3.BMS辅助电源：12V</w:t>
            </w:r>
          </w:p>
          <w:p w14:paraId="39C817D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4.启动方式：APP、扫码、VIN、平台调度、扫码</w:t>
            </w:r>
          </w:p>
          <w:p w14:paraId="005E49F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5.防护等级：≥IP54</w:t>
            </w:r>
          </w:p>
          <w:p w14:paraId="68F3C80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6.相对湿度：5%RH~95%RH（无凝露）</w:t>
            </w:r>
          </w:p>
          <w:p w14:paraId="5262F3E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7.工作温度：-20℃~+50℃</w:t>
            </w:r>
          </w:p>
          <w:p w14:paraId="77E5D31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8.海拔高度：≤2000m</w:t>
            </w:r>
          </w:p>
          <w:p w14:paraId="14DD19B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9.充电接口：不低于4m</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71E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r>
      <w:tr w14:paraId="437DB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BBF3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28</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18DA">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Style w:val="147"/>
                <w:rFonts w:hint="eastAsia" w:ascii="仿宋" w:hAnsi="仿宋" w:eastAsia="仿宋" w:cs="仿宋"/>
                <w:color w:val="auto"/>
                <w:sz w:val="21"/>
                <w:szCs w:val="21"/>
                <w:highlight w:val="none"/>
                <w:lang w:val="en-US" w:eastAsia="zh-CN" w:bidi="ar"/>
              </w:rPr>
            </w:pPr>
            <w:r>
              <w:rPr>
                <w:rStyle w:val="207"/>
                <w:rFonts w:hint="eastAsia" w:ascii="仿宋" w:hAnsi="仿宋" w:eastAsia="仿宋" w:cs="仿宋"/>
                <w:color w:val="auto"/>
                <w:sz w:val="21"/>
                <w:szCs w:val="21"/>
                <w:highlight w:val="none"/>
                <w:lang w:val="en-US" w:eastAsia="zh-CN" w:bidi="ar"/>
              </w:rPr>
              <w:t>直流充电终端（</w:t>
            </w:r>
            <w:r>
              <w:rPr>
                <w:rStyle w:val="147"/>
                <w:rFonts w:hint="eastAsia" w:ascii="仿宋" w:hAnsi="仿宋" w:eastAsia="仿宋" w:cs="仿宋"/>
                <w:color w:val="auto"/>
                <w:sz w:val="21"/>
                <w:szCs w:val="21"/>
                <w:highlight w:val="none"/>
                <w:lang w:val="en-US" w:eastAsia="zh-CN" w:bidi="ar"/>
              </w:rPr>
              <w:t>双枪）</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D512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1.额定输出电压：1000Vdc</w:t>
            </w:r>
          </w:p>
          <w:p w14:paraId="2BCC69F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2.额定输出电流：300A</w:t>
            </w:r>
          </w:p>
          <w:p w14:paraId="5C18FFB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3.BMS辅助电源：12V</w:t>
            </w:r>
          </w:p>
          <w:p w14:paraId="4AC3AEB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4.启动方式：APP、扫码、VIN、平台调度、扫码</w:t>
            </w:r>
          </w:p>
          <w:p w14:paraId="40E5385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5.防护等级：≥IP54</w:t>
            </w:r>
          </w:p>
          <w:p w14:paraId="088C22E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6.相对湿度：5%RH~95%RH（无凝露）</w:t>
            </w:r>
          </w:p>
          <w:p w14:paraId="43719A3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7.工作温度：-20℃~+50℃</w:t>
            </w:r>
          </w:p>
          <w:p w14:paraId="1E77B3B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8.海拔高度：≤2000m</w:t>
            </w:r>
          </w:p>
          <w:p w14:paraId="5AFE631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9.充电接口：不低于7m</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8FA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r>
      <w:tr w14:paraId="3E805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6C1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29</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BF7D">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直流充(放)电终端（6m）</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78C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1.额定输出电压：1000Vdc</w:t>
            </w:r>
          </w:p>
          <w:p w14:paraId="37668D5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2.额定输出电流：250A</w:t>
            </w:r>
          </w:p>
          <w:p w14:paraId="3788AC0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3.BMS辅助电源：12V</w:t>
            </w:r>
          </w:p>
          <w:p w14:paraId="09F033E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4.启动方式：APP、扫码、VIN、平台调度、扫码</w:t>
            </w:r>
          </w:p>
          <w:p w14:paraId="60CCD70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5.防护等级：≥IP54</w:t>
            </w:r>
          </w:p>
          <w:p w14:paraId="6A2602F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6.相对湿度：5%RH~95%RH（无凝露）</w:t>
            </w:r>
          </w:p>
          <w:p w14:paraId="31A079A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7.工作温度：-20℃~+50℃</w:t>
            </w:r>
          </w:p>
          <w:p w14:paraId="04EA773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8.海拔高度：≤2000m</w:t>
            </w:r>
          </w:p>
          <w:p w14:paraId="18B1086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9.充电接口：不低于6m</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6A5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r>
      <w:tr w14:paraId="3B756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3DD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30</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8C51">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left"/>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液冷直流充电桩（终端）</w:t>
            </w:r>
          </w:p>
          <w:p w14:paraId="6C223934">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I</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16D4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1.额定输出电压：1000Vdc</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2.额定输出电流：400A</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3.BMS辅助电源：12V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4.启动方式：APP、扫码、VIN、平台调度、扫码</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5.防护等级：IP55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6.相对湿度：5%RH~95%RH（无凝露）</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9.抢线长度：不低于3m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10.其他详见技术要求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B19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r>
      <w:tr w14:paraId="313E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1AE6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31</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2B84F">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left"/>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液冷直流充电桩（终端）</w:t>
            </w:r>
          </w:p>
          <w:p w14:paraId="08F5713B">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II</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7CE3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1.额定输出电压：1000Vdc</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2.额定输出电流：600A</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3.BMS辅助电源：12V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4.启动方式：APP、扫码、VIN、平台调度、扫码</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5.防护等级：IP55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6.相对湿度：5%RH~95%RH（无凝露）</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9.抢线长度：不低于3m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10.其他详见技术要求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72D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r>
      <w:tr w14:paraId="77E06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605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32</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A6C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视频监控系统</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144B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C7C2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套</w:t>
            </w:r>
          </w:p>
        </w:tc>
      </w:tr>
      <w:tr w14:paraId="6200F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886C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33</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3C7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Style w:val="122"/>
                <w:rFonts w:hint="eastAsia" w:ascii="仿宋" w:hAnsi="仿宋" w:eastAsia="仿宋" w:cs="仿宋"/>
                <w:color w:val="auto"/>
                <w:sz w:val="21"/>
                <w:szCs w:val="21"/>
                <w:highlight w:val="none"/>
                <w:lang w:val="en-US" w:eastAsia="zh-CN" w:bidi="ar"/>
              </w:rPr>
              <w:t>分体式直流充</w:t>
            </w:r>
            <w:r>
              <w:rPr>
                <w:rStyle w:val="147"/>
                <w:rFonts w:hint="eastAsia" w:ascii="仿宋" w:hAnsi="仿宋" w:eastAsia="仿宋" w:cs="仿宋"/>
                <w:color w:val="auto"/>
                <w:sz w:val="21"/>
                <w:szCs w:val="21"/>
                <w:highlight w:val="none"/>
                <w:lang w:val="en-US" w:eastAsia="zh-CN" w:bidi="ar"/>
              </w:rPr>
              <w:t>放</w:t>
            </w:r>
            <w:r>
              <w:rPr>
                <w:rStyle w:val="122"/>
                <w:rFonts w:hint="eastAsia" w:ascii="仿宋" w:hAnsi="仿宋" w:eastAsia="仿宋" w:cs="仿宋"/>
                <w:color w:val="auto"/>
                <w:sz w:val="21"/>
                <w:szCs w:val="21"/>
                <w:highlight w:val="none"/>
                <w:lang w:val="en-US" w:eastAsia="zh-CN" w:bidi="ar"/>
              </w:rPr>
              <w:t>电机</w:t>
            </w:r>
            <w:r>
              <w:rPr>
                <w:rFonts w:hint="eastAsia" w:ascii="仿宋" w:hAnsi="仿宋" w:eastAsia="仿宋" w:cs="仿宋"/>
                <w:i w:val="0"/>
                <w:iCs w:val="0"/>
                <w:color w:val="auto"/>
                <w:kern w:val="0"/>
                <w:sz w:val="21"/>
                <w:szCs w:val="21"/>
                <w:highlight w:val="none"/>
                <w:u w:val="none"/>
                <w:lang w:eastAsia="zh-CN" w:bidi="ar"/>
              </w:rPr>
              <w:t>（含</w:t>
            </w:r>
            <w:r>
              <w:rPr>
                <w:rFonts w:hint="eastAsia" w:ascii="仿宋" w:hAnsi="仿宋" w:eastAsia="仿宋" w:cs="仿宋"/>
                <w:i w:val="0"/>
                <w:iCs w:val="0"/>
                <w:color w:val="auto"/>
                <w:kern w:val="0"/>
                <w:sz w:val="21"/>
                <w:szCs w:val="21"/>
                <w:highlight w:val="none"/>
                <w:u w:val="none"/>
                <w:lang w:val="en-US" w:eastAsia="zh-CN" w:bidi="ar"/>
              </w:rPr>
              <w:t>充放电</w:t>
            </w:r>
            <w:r>
              <w:rPr>
                <w:rFonts w:hint="eastAsia" w:ascii="仿宋" w:hAnsi="仿宋" w:eastAsia="仿宋" w:cs="仿宋"/>
                <w:i w:val="0"/>
                <w:iCs w:val="0"/>
                <w:color w:val="auto"/>
                <w:kern w:val="0"/>
                <w:sz w:val="21"/>
                <w:szCs w:val="21"/>
                <w:highlight w:val="none"/>
                <w:u w:val="none"/>
                <w:lang w:eastAsia="zh-CN" w:bidi="ar"/>
              </w:rPr>
              <w:t>模块，不含功率分配单元）</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40B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1.额定功率 240kW</w:t>
            </w:r>
          </w:p>
          <w:p w14:paraId="17A1E80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2.输出电压：50Vac~950Vac</w:t>
            </w:r>
          </w:p>
          <w:p w14:paraId="563B3A2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3.恒功率输出范围：300Vac~950Vac</w:t>
            </w:r>
          </w:p>
          <w:p w14:paraId="5BC0C1F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4.充/放电效率 ≥95%（满载）</w:t>
            </w:r>
          </w:p>
          <w:p w14:paraId="28B9245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5.防护等级：≥IP54</w:t>
            </w:r>
          </w:p>
          <w:p w14:paraId="696553B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6.工作温度：-20℃~+50℃</w:t>
            </w:r>
          </w:p>
          <w:p w14:paraId="0CF3C05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7.安装方式:落地安装;</w:t>
            </w:r>
          </w:p>
          <w:p w14:paraId="2B8D70F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8.散热方式:智能主动风冷</w:t>
            </w:r>
          </w:p>
          <w:p w14:paraId="4002015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9.含基础及接地;</w:t>
            </w:r>
          </w:p>
          <w:p w14:paraId="4437F09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65A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r>
      <w:tr w14:paraId="51C1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46BF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34</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B22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Style w:val="207"/>
                <w:rFonts w:hint="eastAsia" w:ascii="仿宋" w:hAnsi="仿宋" w:eastAsia="仿宋" w:cs="仿宋"/>
                <w:color w:val="auto"/>
                <w:sz w:val="21"/>
                <w:szCs w:val="21"/>
                <w:highlight w:val="none"/>
                <w:lang w:val="en-US" w:eastAsia="zh-CN" w:bidi="ar"/>
              </w:rPr>
            </w:pPr>
            <w:r>
              <w:rPr>
                <w:rStyle w:val="207"/>
                <w:rFonts w:hint="eastAsia" w:ascii="仿宋" w:hAnsi="仿宋" w:eastAsia="仿宋" w:cs="仿宋"/>
                <w:color w:val="auto"/>
                <w:sz w:val="21"/>
                <w:szCs w:val="21"/>
                <w:highlight w:val="none"/>
                <w:lang w:val="en-US" w:eastAsia="zh-CN" w:bidi="ar"/>
              </w:rPr>
              <w:t>分体式直流充电机I</w:t>
            </w:r>
          </w:p>
          <w:p w14:paraId="56361D3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Style w:val="207"/>
                <w:rFonts w:hint="eastAsia" w:ascii="仿宋" w:hAnsi="仿宋" w:eastAsia="仿宋" w:cs="仿宋"/>
                <w:color w:val="auto"/>
                <w:sz w:val="21"/>
                <w:szCs w:val="21"/>
                <w:highlight w:val="none"/>
                <w:lang w:val="en-US" w:eastAsia="zh-CN" w:bidi="ar"/>
              </w:rPr>
            </w:pPr>
            <w:r>
              <w:rPr>
                <w:rFonts w:hint="eastAsia" w:ascii="仿宋" w:hAnsi="仿宋" w:eastAsia="仿宋" w:cs="仿宋"/>
                <w:i w:val="0"/>
                <w:iCs w:val="0"/>
                <w:color w:val="auto"/>
                <w:kern w:val="0"/>
                <w:sz w:val="21"/>
                <w:szCs w:val="21"/>
                <w:highlight w:val="none"/>
                <w:u w:val="none"/>
                <w:lang w:eastAsia="zh-CN" w:bidi="ar"/>
              </w:rPr>
              <w:t>（含</w:t>
            </w:r>
            <w:r>
              <w:rPr>
                <w:rFonts w:hint="eastAsia" w:ascii="仿宋" w:hAnsi="仿宋" w:eastAsia="仿宋" w:cs="仿宋"/>
                <w:i w:val="0"/>
                <w:iCs w:val="0"/>
                <w:color w:val="auto"/>
                <w:kern w:val="0"/>
                <w:sz w:val="21"/>
                <w:szCs w:val="21"/>
                <w:highlight w:val="none"/>
                <w:u w:val="none"/>
                <w:lang w:val="en-US" w:eastAsia="zh-CN" w:bidi="ar"/>
              </w:rPr>
              <w:t>充电模块</w:t>
            </w:r>
            <w:r>
              <w:rPr>
                <w:rFonts w:hint="eastAsia" w:ascii="仿宋" w:hAnsi="仿宋" w:eastAsia="仿宋" w:cs="仿宋"/>
                <w:i w:val="0"/>
                <w:iCs w:val="0"/>
                <w:color w:val="auto"/>
                <w:kern w:val="0"/>
                <w:sz w:val="21"/>
                <w:szCs w:val="21"/>
                <w:highlight w:val="none"/>
                <w:u w:val="none"/>
                <w:lang w:eastAsia="zh-CN" w:bidi="ar"/>
              </w:rPr>
              <w:t>，不含功率分配单元）</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6A8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1.额定功率：240kW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2.输入电压：323Vac~456Vac</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3.输出电压：50Vdc~1000Vdc（恒功率:300~1000V）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4.效率：≥95%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5.启动方式：APP、扫码、VIN、平台调度、刷卡</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6.防护等级：IP55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A39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001E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289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35</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D799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Style w:val="207"/>
                <w:rFonts w:hint="eastAsia" w:ascii="仿宋" w:hAnsi="仿宋" w:eastAsia="仿宋" w:cs="仿宋"/>
                <w:color w:val="auto"/>
                <w:sz w:val="21"/>
                <w:szCs w:val="21"/>
                <w:highlight w:val="none"/>
                <w:lang w:val="en-US" w:eastAsia="zh-CN" w:bidi="ar"/>
              </w:rPr>
            </w:pPr>
            <w:r>
              <w:rPr>
                <w:rStyle w:val="207"/>
                <w:rFonts w:hint="eastAsia" w:ascii="仿宋" w:hAnsi="仿宋" w:eastAsia="仿宋" w:cs="仿宋"/>
                <w:color w:val="auto"/>
                <w:sz w:val="21"/>
                <w:szCs w:val="21"/>
                <w:highlight w:val="none"/>
                <w:lang w:val="en-US" w:eastAsia="zh-CN" w:bidi="ar"/>
              </w:rPr>
              <w:t>分体式直流充电机II</w:t>
            </w:r>
          </w:p>
          <w:p w14:paraId="5D40BAE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Style w:val="207"/>
                <w:rFonts w:hint="eastAsia" w:ascii="仿宋" w:hAnsi="仿宋" w:eastAsia="仿宋" w:cs="仿宋"/>
                <w:color w:val="auto"/>
                <w:sz w:val="21"/>
                <w:szCs w:val="21"/>
                <w:highlight w:val="none"/>
                <w:lang w:val="en-US" w:eastAsia="zh-CN" w:bidi="ar"/>
              </w:rPr>
            </w:pPr>
            <w:r>
              <w:rPr>
                <w:rFonts w:hint="eastAsia" w:ascii="仿宋" w:hAnsi="仿宋" w:eastAsia="仿宋" w:cs="仿宋"/>
                <w:i w:val="0"/>
                <w:iCs w:val="0"/>
                <w:color w:val="auto"/>
                <w:kern w:val="0"/>
                <w:sz w:val="21"/>
                <w:szCs w:val="21"/>
                <w:highlight w:val="none"/>
                <w:u w:val="none"/>
                <w:lang w:eastAsia="zh-CN" w:bidi="ar"/>
              </w:rPr>
              <w:t>（含</w:t>
            </w:r>
            <w:r>
              <w:rPr>
                <w:rFonts w:hint="eastAsia" w:ascii="仿宋" w:hAnsi="仿宋" w:eastAsia="仿宋" w:cs="仿宋"/>
                <w:i w:val="0"/>
                <w:iCs w:val="0"/>
                <w:color w:val="auto"/>
                <w:kern w:val="0"/>
                <w:sz w:val="21"/>
                <w:szCs w:val="21"/>
                <w:highlight w:val="none"/>
                <w:u w:val="none"/>
                <w:lang w:val="en-US" w:eastAsia="zh-CN" w:bidi="ar"/>
              </w:rPr>
              <w:t>充电模块</w:t>
            </w:r>
            <w:r>
              <w:rPr>
                <w:rFonts w:hint="eastAsia" w:ascii="仿宋" w:hAnsi="仿宋" w:eastAsia="仿宋" w:cs="仿宋"/>
                <w:i w:val="0"/>
                <w:iCs w:val="0"/>
                <w:color w:val="auto"/>
                <w:kern w:val="0"/>
                <w:sz w:val="21"/>
                <w:szCs w:val="21"/>
                <w:highlight w:val="none"/>
                <w:u w:val="none"/>
                <w:lang w:eastAsia="zh-CN" w:bidi="ar"/>
              </w:rPr>
              <w:t>，不含功率分配单元）</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D46C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1.额定功率：480kW</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2.输入电压：323Vac~456Vac</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3.输出电压：50Vdc~1000Vdc（恒功率:300~1000V）</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4.效率：≥95%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5.启动方式：APP、扫码、VIN、平台调度、刷卡</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6.防护等级：IP55</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7.工作温度：-20℃~+50℃</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8.海拔高度：≤2000m</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2421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41145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F9A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36</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C5DF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Style w:val="207"/>
                <w:rFonts w:hint="eastAsia" w:ascii="仿宋" w:hAnsi="仿宋" w:eastAsia="仿宋" w:cs="仿宋"/>
                <w:color w:val="auto"/>
                <w:sz w:val="21"/>
                <w:szCs w:val="21"/>
                <w:highlight w:val="none"/>
                <w:lang w:val="en-US" w:eastAsia="zh-CN" w:bidi="ar"/>
              </w:rPr>
              <w:t>720kW分体式直流充电机</w:t>
            </w:r>
            <w:r>
              <w:rPr>
                <w:rFonts w:hint="eastAsia" w:ascii="仿宋" w:hAnsi="仿宋" w:eastAsia="仿宋" w:cs="仿宋"/>
                <w:i w:val="0"/>
                <w:iCs w:val="0"/>
                <w:color w:val="auto"/>
                <w:kern w:val="0"/>
                <w:sz w:val="21"/>
                <w:szCs w:val="21"/>
                <w:highlight w:val="none"/>
                <w:u w:val="none"/>
                <w:lang w:eastAsia="zh-CN" w:bidi="ar"/>
              </w:rPr>
              <w:t>（含</w:t>
            </w:r>
            <w:r>
              <w:rPr>
                <w:rFonts w:hint="eastAsia" w:ascii="仿宋" w:hAnsi="仿宋" w:eastAsia="仿宋" w:cs="仿宋"/>
                <w:i w:val="0"/>
                <w:iCs w:val="0"/>
                <w:color w:val="auto"/>
                <w:kern w:val="0"/>
                <w:sz w:val="21"/>
                <w:szCs w:val="21"/>
                <w:highlight w:val="none"/>
                <w:u w:val="none"/>
                <w:lang w:val="en-US" w:eastAsia="zh-CN" w:bidi="ar"/>
              </w:rPr>
              <w:t>充电模块</w:t>
            </w:r>
            <w:r>
              <w:rPr>
                <w:rFonts w:hint="eastAsia" w:ascii="仿宋" w:hAnsi="仿宋" w:eastAsia="仿宋" w:cs="仿宋"/>
                <w:i w:val="0"/>
                <w:iCs w:val="0"/>
                <w:color w:val="auto"/>
                <w:kern w:val="0"/>
                <w:sz w:val="21"/>
                <w:szCs w:val="21"/>
                <w:highlight w:val="none"/>
                <w:u w:val="none"/>
                <w:lang w:eastAsia="zh-CN" w:bidi="ar"/>
              </w:rPr>
              <w:t>，不含功率分配单元）</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BB1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1.额定功率：720kW</w:t>
            </w:r>
          </w:p>
          <w:p w14:paraId="18000FC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2.输入电压：323Vac~456Vac</w:t>
            </w:r>
          </w:p>
          <w:p w14:paraId="5131FA9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3.输出电压：50Vdc~1000Vdc（恒功率:300~1000V）</w:t>
            </w:r>
          </w:p>
          <w:p w14:paraId="7294F99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4.效率：≥95%</w:t>
            </w:r>
          </w:p>
          <w:p w14:paraId="18B8E35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5.启动方式：APP、扫码、VIN、平台调度、刷卡</w:t>
            </w:r>
          </w:p>
          <w:p w14:paraId="502BB93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6.防护等级：IP55</w:t>
            </w:r>
          </w:p>
          <w:p w14:paraId="6537C81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7.工作温度：-20℃~+50℃</w:t>
            </w:r>
          </w:p>
          <w:p w14:paraId="6BE7E41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8.海拔高度：≤2000m</w:t>
            </w:r>
          </w:p>
          <w:p w14:paraId="2440103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B8A9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1351C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815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37</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D354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Style w:val="207"/>
                <w:rFonts w:hint="eastAsia" w:ascii="仿宋" w:hAnsi="仿宋" w:eastAsia="仿宋" w:cs="仿宋"/>
                <w:color w:val="auto"/>
                <w:sz w:val="21"/>
                <w:szCs w:val="21"/>
                <w:highlight w:val="none"/>
                <w:lang w:val="en-US" w:eastAsia="zh-CN" w:bidi="ar"/>
              </w:rPr>
              <w:t>960kW分体式直流充电机</w:t>
            </w:r>
            <w:r>
              <w:rPr>
                <w:rFonts w:hint="eastAsia" w:ascii="仿宋" w:hAnsi="仿宋" w:eastAsia="仿宋" w:cs="仿宋"/>
                <w:i w:val="0"/>
                <w:iCs w:val="0"/>
                <w:color w:val="auto"/>
                <w:kern w:val="0"/>
                <w:sz w:val="21"/>
                <w:szCs w:val="21"/>
                <w:highlight w:val="none"/>
                <w:u w:val="none"/>
                <w:lang w:eastAsia="zh-CN" w:bidi="ar"/>
              </w:rPr>
              <w:t>（含</w:t>
            </w:r>
            <w:r>
              <w:rPr>
                <w:rFonts w:hint="eastAsia" w:ascii="仿宋" w:hAnsi="仿宋" w:eastAsia="仿宋" w:cs="仿宋"/>
                <w:i w:val="0"/>
                <w:iCs w:val="0"/>
                <w:color w:val="auto"/>
                <w:kern w:val="0"/>
                <w:sz w:val="21"/>
                <w:szCs w:val="21"/>
                <w:highlight w:val="none"/>
                <w:u w:val="none"/>
                <w:lang w:val="en-US" w:eastAsia="zh-CN" w:bidi="ar"/>
              </w:rPr>
              <w:t>充电模块</w:t>
            </w:r>
            <w:r>
              <w:rPr>
                <w:rFonts w:hint="eastAsia" w:ascii="仿宋" w:hAnsi="仿宋" w:eastAsia="仿宋" w:cs="仿宋"/>
                <w:i w:val="0"/>
                <w:iCs w:val="0"/>
                <w:color w:val="auto"/>
                <w:kern w:val="0"/>
                <w:sz w:val="21"/>
                <w:szCs w:val="21"/>
                <w:highlight w:val="none"/>
                <w:u w:val="none"/>
                <w:lang w:eastAsia="zh-CN" w:bidi="ar"/>
              </w:rPr>
              <w:t>，不含功率分配单元）</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EB6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1.额定功率：960kW</w:t>
            </w:r>
          </w:p>
          <w:p w14:paraId="198E14B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2.输入电压：323Vac~456Vac</w:t>
            </w:r>
          </w:p>
          <w:p w14:paraId="6BC016C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3.输出电压：50Vdc~1000Vdc（恒功率:300~1000V）</w:t>
            </w:r>
          </w:p>
          <w:p w14:paraId="5787B87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4.效率：≥95%</w:t>
            </w:r>
          </w:p>
          <w:p w14:paraId="1BD62B2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5.启动方式：APP、扫码、VIN、平台调度、刷卡</w:t>
            </w:r>
          </w:p>
          <w:p w14:paraId="2725542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6.防护等级：IP55</w:t>
            </w:r>
          </w:p>
          <w:p w14:paraId="7B3DFB8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7.工作温度：-20℃~+50℃</w:t>
            </w:r>
          </w:p>
          <w:p w14:paraId="5DEFB24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9.海拔高度：≤2000m</w:t>
            </w:r>
          </w:p>
          <w:p w14:paraId="6740D76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3CA7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r>
      <w:tr w14:paraId="1ACD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292C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38</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D0A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充电模块</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179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额定输出电压：50Vdc~1000Vdc</w:t>
            </w:r>
          </w:p>
          <w:p w14:paraId="3F2608C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恒功率范围：300Vdc~1000Vdc;</w:t>
            </w:r>
          </w:p>
          <w:p w14:paraId="08E9C08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额定输出功率：≥</w:t>
            </w:r>
            <w:r>
              <w:rPr>
                <w:rFonts w:hint="eastAsia" w:ascii="仿宋" w:hAnsi="仿宋" w:eastAsia="仿宋" w:cs="仿宋"/>
                <w:i w:val="0"/>
                <w:iCs w:val="0"/>
                <w:color w:val="auto"/>
                <w:kern w:val="0"/>
                <w:sz w:val="21"/>
                <w:szCs w:val="21"/>
                <w:highlight w:val="none"/>
                <w:u w:val="none"/>
                <w:lang w:eastAsia="zh-CN" w:bidi="ar"/>
              </w:rPr>
              <w:t>30</w:t>
            </w:r>
            <w:r>
              <w:rPr>
                <w:rFonts w:hint="eastAsia" w:ascii="仿宋" w:hAnsi="仿宋" w:eastAsia="仿宋" w:cs="仿宋"/>
                <w:i w:val="0"/>
                <w:iCs w:val="0"/>
                <w:color w:val="auto"/>
                <w:kern w:val="0"/>
                <w:sz w:val="21"/>
                <w:szCs w:val="21"/>
                <w:highlight w:val="none"/>
                <w:u w:val="none"/>
                <w:lang w:val="en-US" w:eastAsia="zh-CN" w:bidi="ar"/>
              </w:rPr>
              <w:t>kW</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334A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个</w:t>
            </w:r>
          </w:p>
        </w:tc>
      </w:tr>
      <w:tr w14:paraId="6FC78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08D8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39</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FD5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充放电模块</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FEF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额定输出电压：50Vdc~950Vdc</w:t>
            </w:r>
          </w:p>
          <w:p w14:paraId="612C3C2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恒功率范围：300Vdc~950Vdc;</w:t>
            </w:r>
          </w:p>
          <w:p w14:paraId="60A088C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额定输出功率：≥2</w:t>
            </w:r>
            <w:r>
              <w:rPr>
                <w:rFonts w:hint="eastAsia" w:ascii="仿宋" w:hAnsi="仿宋" w:eastAsia="仿宋" w:cs="仿宋"/>
                <w:i w:val="0"/>
                <w:iCs w:val="0"/>
                <w:color w:val="auto"/>
                <w:kern w:val="0"/>
                <w:sz w:val="21"/>
                <w:szCs w:val="21"/>
                <w:highlight w:val="none"/>
                <w:u w:val="none"/>
                <w:lang w:eastAsia="zh-CN" w:bidi="ar"/>
              </w:rPr>
              <w:t>0</w:t>
            </w:r>
            <w:r>
              <w:rPr>
                <w:rFonts w:hint="eastAsia" w:ascii="仿宋" w:hAnsi="仿宋" w:eastAsia="仿宋" w:cs="仿宋"/>
                <w:i w:val="0"/>
                <w:iCs w:val="0"/>
                <w:color w:val="auto"/>
                <w:kern w:val="0"/>
                <w:sz w:val="21"/>
                <w:szCs w:val="21"/>
                <w:highlight w:val="none"/>
                <w:u w:val="none"/>
                <w:lang w:val="en-US" w:eastAsia="zh-CN" w:bidi="ar"/>
              </w:rPr>
              <w:t>kW</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65A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个</w:t>
            </w:r>
          </w:p>
        </w:tc>
      </w:tr>
      <w:tr w14:paraId="0919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2AF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40</w:t>
            </w:r>
          </w:p>
        </w:tc>
        <w:tc>
          <w:tcPr>
            <w:tcW w:w="2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0D7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功率分配单元</w:t>
            </w:r>
          </w:p>
        </w:tc>
        <w:tc>
          <w:tcPr>
            <w:tcW w:w="5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21DC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功能模块，汇流输出</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3F34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个</w:t>
            </w:r>
          </w:p>
        </w:tc>
      </w:tr>
      <w:tr w14:paraId="58BC8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vMerge w:val="restart"/>
            <w:tcBorders>
              <w:top w:val="single" w:color="000000" w:sz="4" w:space="0"/>
              <w:left w:val="single" w:color="000000" w:sz="4" w:space="0"/>
              <w:right w:val="single" w:color="000000" w:sz="4" w:space="0"/>
            </w:tcBorders>
            <w:shd w:val="clear" w:color="auto" w:fill="auto"/>
            <w:noWrap/>
            <w:vAlign w:val="center"/>
          </w:tcPr>
          <w:p w14:paraId="073FE62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41</w:t>
            </w:r>
          </w:p>
        </w:tc>
        <w:tc>
          <w:tcPr>
            <w:tcW w:w="22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5CFEC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光伏雨棚</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CDF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12车位单排/24车位背靠背；</w:t>
            </w:r>
            <w:r>
              <w:rPr>
                <w:rFonts w:hint="eastAsia" w:ascii="仿宋" w:hAnsi="仿宋" w:eastAsia="仿宋" w:cs="仿宋"/>
                <w:i w:val="0"/>
                <w:iCs w:val="0"/>
                <w:color w:val="auto"/>
                <w:kern w:val="0"/>
                <w:sz w:val="21"/>
                <w:szCs w:val="21"/>
                <w:highlight w:val="none"/>
                <w:u w:val="none"/>
                <w:lang w:val="en-US" w:eastAsia="zh-CN" w:bidi="ar"/>
              </w:rPr>
              <w:br w:type="textWrapping"/>
            </w:r>
            <w:r>
              <w:rPr>
                <w:rFonts w:hint="eastAsia" w:ascii="仿宋" w:hAnsi="仿宋" w:eastAsia="仿宋" w:cs="仿宋"/>
                <w:i w:val="0"/>
                <w:iCs w:val="0"/>
                <w:color w:val="auto"/>
                <w:kern w:val="0"/>
                <w:sz w:val="21"/>
                <w:szCs w:val="21"/>
                <w:highlight w:val="none"/>
                <w:u w:val="none"/>
                <w:lang w:val="en-US" w:eastAsia="zh-CN" w:bidi="ar"/>
              </w:rPr>
              <w:t>550Wp单晶硅双玻双面发电组件</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0FC9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r>
      <w:tr w14:paraId="6527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vMerge w:val="continue"/>
            <w:tcBorders>
              <w:left w:val="single" w:color="000000" w:sz="4" w:space="0"/>
              <w:right w:val="single" w:color="000000" w:sz="4" w:space="0"/>
            </w:tcBorders>
            <w:shd w:val="clear" w:color="auto" w:fill="auto"/>
            <w:noWrap/>
            <w:vAlign w:val="center"/>
          </w:tcPr>
          <w:p w14:paraId="5FD34EF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229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C9D55C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储能系统</w:t>
            </w:r>
          </w:p>
        </w:tc>
        <w:tc>
          <w:tcPr>
            <w:tcW w:w="5421" w:type="dxa"/>
            <w:tcBorders>
              <w:top w:val="single" w:color="000000" w:sz="4" w:space="0"/>
              <w:left w:val="single" w:color="auto" w:sz="4" w:space="0"/>
              <w:bottom w:val="single" w:color="000000" w:sz="4" w:space="0"/>
              <w:right w:val="single" w:color="000000" w:sz="4" w:space="0"/>
            </w:tcBorders>
            <w:shd w:val="clear" w:color="auto" w:fill="auto"/>
            <w:vAlign w:val="center"/>
          </w:tcPr>
          <w:p w14:paraId="17E8C7A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100kWh，其他详见技术要求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98E5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台</w:t>
            </w:r>
          </w:p>
        </w:tc>
      </w:tr>
      <w:tr w14:paraId="3CD85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vMerge w:val="continue"/>
            <w:tcBorders>
              <w:left w:val="single" w:color="000000" w:sz="4" w:space="0"/>
              <w:right w:val="single" w:color="000000" w:sz="4" w:space="0"/>
            </w:tcBorders>
            <w:shd w:val="clear" w:color="auto" w:fill="auto"/>
            <w:noWrap/>
            <w:vAlign w:val="center"/>
          </w:tcPr>
          <w:p w14:paraId="71A006F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229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EB0D7C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5421" w:type="dxa"/>
            <w:tcBorders>
              <w:top w:val="single" w:color="000000" w:sz="4" w:space="0"/>
              <w:left w:val="single" w:color="auto" w:sz="4" w:space="0"/>
              <w:bottom w:val="single" w:color="000000" w:sz="4" w:space="0"/>
              <w:right w:val="single" w:color="000000" w:sz="4" w:space="0"/>
            </w:tcBorders>
            <w:shd w:val="clear" w:color="auto" w:fill="auto"/>
            <w:vAlign w:val="center"/>
          </w:tcPr>
          <w:p w14:paraId="63DC342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150kWh，其他详见技术要求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C7F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台</w:t>
            </w:r>
          </w:p>
        </w:tc>
      </w:tr>
      <w:tr w14:paraId="04FA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778" w:type="dxa"/>
            <w:vMerge w:val="continue"/>
            <w:tcBorders>
              <w:left w:val="single" w:color="000000" w:sz="4" w:space="0"/>
              <w:bottom w:val="single" w:color="000000" w:sz="4" w:space="0"/>
              <w:right w:val="single" w:color="000000" w:sz="4" w:space="0"/>
            </w:tcBorders>
            <w:shd w:val="clear" w:color="auto" w:fill="auto"/>
            <w:noWrap/>
            <w:vAlign w:val="center"/>
          </w:tcPr>
          <w:p w14:paraId="25120CD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229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416C3E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p>
        </w:tc>
        <w:tc>
          <w:tcPr>
            <w:tcW w:w="5421" w:type="dxa"/>
            <w:tcBorders>
              <w:top w:val="single" w:color="000000" w:sz="4" w:space="0"/>
              <w:left w:val="single" w:color="auto" w:sz="4" w:space="0"/>
              <w:bottom w:val="single" w:color="000000" w:sz="4" w:space="0"/>
              <w:right w:val="single" w:color="000000" w:sz="4" w:space="0"/>
            </w:tcBorders>
            <w:shd w:val="clear" w:color="auto" w:fill="auto"/>
            <w:vAlign w:val="center"/>
          </w:tcPr>
          <w:p w14:paraId="081FF7D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215kWh，其他详见技术要求</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AB92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台</w:t>
            </w:r>
          </w:p>
        </w:tc>
      </w:tr>
      <w:tr w14:paraId="1C89B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ABBD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42</w:t>
            </w:r>
          </w:p>
        </w:tc>
        <w:tc>
          <w:tcPr>
            <w:tcW w:w="229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D95C22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eastAsia="zh-CN" w:bidi="ar"/>
              </w:rPr>
            </w:pPr>
            <w:r>
              <w:rPr>
                <w:rFonts w:hint="eastAsia" w:ascii="仿宋" w:hAnsi="仿宋" w:eastAsia="仿宋" w:cs="仿宋"/>
                <w:i w:val="0"/>
                <w:iCs w:val="0"/>
                <w:color w:val="auto"/>
                <w:kern w:val="0"/>
                <w:sz w:val="21"/>
                <w:szCs w:val="21"/>
                <w:highlight w:val="none"/>
                <w:u w:val="none"/>
                <w:lang w:eastAsia="zh-CN" w:bidi="ar"/>
              </w:rPr>
              <w:t>微网控制系统</w:t>
            </w:r>
          </w:p>
        </w:tc>
        <w:tc>
          <w:tcPr>
            <w:tcW w:w="5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63F2">
            <w:pPr>
              <w:keepNext w:val="0"/>
              <w:keepLines w:val="0"/>
              <w:pageBreakBefore w:val="0"/>
              <w:widowControl/>
              <w:numPr>
                <w:ilvl w:val="0"/>
                <w:numId w:val="3"/>
              </w:numPr>
              <w:kinsoku/>
              <w:wordWrap/>
              <w:overflowPunct/>
              <w:topLinePunct w:val="0"/>
              <w:autoSpaceDE/>
              <w:autoSpaceDN/>
              <w:bidi w:val="0"/>
              <w:snapToGrid w:val="0"/>
              <w:spacing w:line="240" w:lineRule="auto"/>
              <w:ind w:left="0" w:leftChars="0" w:right="0" w:righ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1.1路交流量；</w:t>
            </w:r>
          </w:p>
          <w:p w14:paraId="24E381E9">
            <w:pPr>
              <w:keepNext w:val="0"/>
              <w:keepLines w:val="0"/>
              <w:pageBreakBefore w:val="0"/>
              <w:widowControl/>
              <w:numPr>
                <w:ilvl w:val="0"/>
                <w:numId w:val="3"/>
              </w:numPr>
              <w:kinsoku/>
              <w:wordWrap/>
              <w:overflowPunct/>
              <w:topLinePunct w:val="0"/>
              <w:autoSpaceDE/>
              <w:autoSpaceDN/>
              <w:bidi w:val="0"/>
              <w:snapToGrid w:val="0"/>
              <w:spacing w:line="240" w:lineRule="auto"/>
              <w:ind w:left="0" w:leftChars="0" w:right="0" w:righ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2.10个直流量；</w:t>
            </w:r>
          </w:p>
          <w:p w14:paraId="16CFDE1A">
            <w:pPr>
              <w:keepNext w:val="0"/>
              <w:keepLines w:val="0"/>
              <w:pageBreakBefore w:val="0"/>
              <w:widowControl/>
              <w:numPr>
                <w:ilvl w:val="0"/>
                <w:numId w:val="3"/>
              </w:numPr>
              <w:kinsoku/>
              <w:wordWrap/>
              <w:overflowPunct/>
              <w:topLinePunct w:val="0"/>
              <w:autoSpaceDE/>
              <w:autoSpaceDN/>
              <w:bidi w:val="0"/>
              <w:snapToGrid w:val="0"/>
              <w:spacing w:line="240" w:lineRule="auto"/>
              <w:ind w:left="0" w:leftChars="0" w:right="0" w:righ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3.2*14 路BI；</w:t>
            </w:r>
          </w:p>
          <w:p w14:paraId="66791420">
            <w:pPr>
              <w:keepNext w:val="0"/>
              <w:keepLines w:val="0"/>
              <w:pageBreakBefore w:val="0"/>
              <w:widowControl/>
              <w:numPr>
                <w:ilvl w:val="0"/>
                <w:numId w:val="3"/>
              </w:numPr>
              <w:kinsoku/>
              <w:wordWrap/>
              <w:overflowPunct/>
              <w:topLinePunct w:val="0"/>
              <w:autoSpaceDE/>
              <w:autoSpaceDN/>
              <w:bidi w:val="0"/>
              <w:snapToGrid w:val="0"/>
              <w:spacing w:line="240" w:lineRule="auto"/>
              <w:ind w:left="0" w:leftChars="0" w:right="0" w:righ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4.2*6 路BO ；</w:t>
            </w:r>
          </w:p>
          <w:p w14:paraId="7DFEA7B2">
            <w:pPr>
              <w:keepNext w:val="0"/>
              <w:keepLines w:val="0"/>
              <w:pageBreakBefore w:val="0"/>
              <w:widowControl/>
              <w:numPr>
                <w:ilvl w:val="0"/>
                <w:numId w:val="3"/>
              </w:numPr>
              <w:kinsoku/>
              <w:wordWrap/>
              <w:overflowPunct/>
              <w:topLinePunct w:val="0"/>
              <w:autoSpaceDE/>
              <w:autoSpaceDN/>
              <w:bidi w:val="0"/>
              <w:snapToGrid w:val="0"/>
              <w:spacing w:line="240" w:lineRule="auto"/>
              <w:ind w:left="0" w:leftChars="0" w:right="0" w:righ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5.2*3 路CAN ；</w:t>
            </w:r>
          </w:p>
          <w:p w14:paraId="1C16DE71">
            <w:pPr>
              <w:keepNext w:val="0"/>
              <w:keepLines w:val="0"/>
              <w:pageBreakBefore w:val="0"/>
              <w:widowControl/>
              <w:numPr>
                <w:ilvl w:val="0"/>
                <w:numId w:val="3"/>
              </w:numPr>
              <w:kinsoku/>
              <w:wordWrap/>
              <w:overflowPunct/>
              <w:topLinePunct w:val="0"/>
              <w:autoSpaceDE/>
              <w:autoSpaceDN/>
              <w:bidi w:val="0"/>
              <w:snapToGrid w:val="0"/>
              <w:spacing w:line="240" w:lineRule="auto"/>
              <w:ind w:left="0" w:leftChars="0" w:right="0" w:rightChars="0" w:firstLine="0" w:firstLine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6.2*4 路RS485 ；</w:t>
            </w:r>
          </w:p>
          <w:p w14:paraId="122C067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kern w:val="0"/>
                <w:sz w:val="21"/>
                <w:szCs w:val="21"/>
                <w:highlight w:val="none"/>
              </w:rPr>
              <w:t>7.3 路以太网口；</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C87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eastAsia" w:ascii="仿宋" w:hAnsi="仿宋" w:eastAsia="仿宋" w:cs="仿宋"/>
                <w:i w:val="0"/>
                <w:iCs w:val="0"/>
                <w:color w:val="auto"/>
                <w:kern w:val="0"/>
                <w:sz w:val="21"/>
                <w:szCs w:val="21"/>
                <w:highlight w:val="none"/>
                <w:u w:val="none"/>
                <w:lang w:eastAsia="zh-CN" w:bidi="ar"/>
              </w:rPr>
            </w:pPr>
            <w:r>
              <w:rPr>
                <w:rFonts w:hint="eastAsia" w:ascii="仿宋" w:hAnsi="仿宋" w:eastAsia="仿宋" w:cs="仿宋"/>
                <w:i w:val="0"/>
                <w:iCs w:val="0"/>
                <w:color w:val="auto"/>
                <w:kern w:val="0"/>
                <w:sz w:val="21"/>
                <w:szCs w:val="21"/>
                <w:highlight w:val="none"/>
                <w:u w:val="none"/>
                <w:lang w:eastAsia="zh-CN" w:bidi="ar"/>
              </w:rPr>
              <w:t>台</w:t>
            </w:r>
          </w:p>
        </w:tc>
      </w:tr>
    </w:tbl>
    <w:p w14:paraId="058CF04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注：1.充电箱变为高低压一体式充电箱变，将高压部分、变压部分和直流充电柜等部分集成一起，可采用箱变充电预制舱结构形式或厂家更先进的结构形式，由中标人根据自身技术实力进行深化设计。2.投标文件所提供第三方检测报告出具时间不应晚于招标公告发出之日，否则不予认可。</w:t>
      </w:r>
    </w:p>
    <w:p w14:paraId="2394F2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二、技术参数要求</w:t>
      </w:r>
    </w:p>
    <w:p w14:paraId="78925A2A">
      <w:pPr>
        <w:pStyle w:val="2"/>
        <w:keepNext/>
        <w:keepLines/>
        <w:pageBreakBefore w:val="0"/>
        <w:widowControl w:val="0"/>
        <w:kinsoku/>
        <w:wordWrap/>
        <w:overflowPunct/>
        <w:topLinePunct w:val="0"/>
        <w:autoSpaceDE/>
        <w:autoSpaceDN/>
        <w:bidi w:val="0"/>
        <w:snapToGrid/>
        <w:spacing w:before="0" w:after="0" w:line="360" w:lineRule="auto"/>
        <w:ind w:left="0" w:leftChars="0" w:firstLine="643"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10kV箱式变电站技术要求</w:t>
      </w:r>
    </w:p>
    <w:p w14:paraId="4E5D2530">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基本要求：</w:t>
      </w:r>
    </w:p>
    <w:p w14:paraId="238DD280">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箱式变电站由高压柜体、配电变压器、低压配电柜及外壳四部分组成。</w:t>
      </w:r>
    </w:p>
    <w:p w14:paraId="3054CD48">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高压单元采用630A母线、电缆带电指示装置，其他绝缘部分采用加强绝缘型，并采用加强绝缘材料。</w:t>
      </w:r>
    </w:p>
    <w:p w14:paraId="71F358A3">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变压器选用油浸式变压器铜芯。</w:t>
      </w:r>
    </w:p>
    <w:p w14:paraId="70C6A241">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高、低压进出线均采用电缆进出线。</w:t>
      </w:r>
    </w:p>
    <w:p w14:paraId="0CC2C616">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具体设计由厂家根据使用需求配置确定，符合当地验收规范。</w:t>
      </w:r>
    </w:p>
    <w:p w14:paraId="187D5772">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3.2高压开关柜要求：</w:t>
      </w:r>
    </w:p>
    <w:p w14:paraId="350B6053">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高压选用空气式绝缘开关设备，防护等级达到IP3X。其额定参数，技术要求，型式试验项目和方式、标志、包装、运输、储存等要求、产品性能符合相关规定。</w:t>
      </w:r>
    </w:p>
    <w:p w14:paraId="04DA1ADE">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高压柜铭牌标识清晰。内部安装的高压电器组件,如:断路器、互感器、避雷器等，均具有耐久而清晰的铭牌，铭牌安装在运行或检修时易于观察的位置。分合闸指示牌应清晰可见、易于观察，寿命同断路器。</w:t>
      </w:r>
    </w:p>
    <w:p w14:paraId="30A9ACA6">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高压开关柜内、外表面颜色应协调一致，柜门上均应有明显的带电警示标志</w:t>
      </w:r>
    </w:p>
    <w:p w14:paraId="5094D262">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高压柜应标出主回路的线路图，同时应注明操作程序和注意事项。信号灯及仪表的装设位置应易于观察和安全地更换。电缆室的高度应满足安装、试验、维修的要求。操作机构：电操。</w:t>
      </w:r>
    </w:p>
    <w:p w14:paraId="7C24257E">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高压单元安装带电显示器，其安装位置应便于观察。</w:t>
      </w:r>
    </w:p>
    <w:p w14:paraId="2F067CE3">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电力电缆隔室与电缆沟连接处设置防止小动物进入的措施。</w:t>
      </w:r>
    </w:p>
    <w:p w14:paraId="78953F3C">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高压进出线方式采用电缆连接,高压电缆连接采用普通型压接螺栓连接，以利于验电、挂接地线。</w:t>
      </w:r>
    </w:p>
    <w:p w14:paraId="4D03BAD1">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具体设计由厂家根据使用需求配置确定，符合当地验收规范。</w:t>
      </w:r>
    </w:p>
    <w:p w14:paraId="1AD0FBEC">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3.3变压器要求：</w:t>
      </w:r>
    </w:p>
    <w:p w14:paraId="4B801DC7">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变压器选用S13系列油浸变压器铜芯，参数如下表所示：</w:t>
      </w:r>
    </w:p>
    <w:tbl>
      <w:tblPr>
        <w:tblStyle w:val="6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3"/>
        <w:gridCol w:w="2689"/>
        <w:gridCol w:w="1533"/>
        <w:gridCol w:w="3411"/>
      </w:tblGrid>
      <w:tr w14:paraId="4A7F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7FB39D96">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序号</w:t>
            </w:r>
          </w:p>
        </w:tc>
        <w:tc>
          <w:tcPr>
            <w:tcW w:w="1466" w:type="pct"/>
            <w:vAlign w:val="center"/>
          </w:tcPr>
          <w:p w14:paraId="55CD0A28">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参数名称</w:t>
            </w:r>
          </w:p>
        </w:tc>
        <w:tc>
          <w:tcPr>
            <w:tcW w:w="836" w:type="pct"/>
            <w:vAlign w:val="center"/>
          </w:tcPr>
          <w:p w14:paraId="1920A611">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单位</w:t>
            </w:r>
          </w:p>
        </w:tc>
        <w:tc>
          <w:tcPr>
            <w:tcW w:w="1860" w:type="pct"/>
            <w:vAlign w:val="center"/>
          </w:tcPr>
          <w:p w14:paraId="192452DD">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参数</w:t>
            </w:r>
          </w:p>
        </w:tc>
      </w:tr>
      <w:tr w14:paraId="5394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074BD6AC">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w:t>
            </w:r>
          </w:p>
        </w:tc>
        <w:tc>
          <w:tcPr>
            <w:tcW w:w="1466" w:type="pct"/>
            <w:vAlign w:val="center"/>
          </w:tcPr>
          <w:p w14:paraId="6AC375FC">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变压器容量</w:t>
            </w:r>
          </w:p>
        </w:tc>
        <w:tc>
          <w:tcPr>
            <w:tcW w:w="836" w:type="pct"/>
            <w:vAlign w:val="center"/>
          </w:tcPr>
          <w:p w14:paraId="1CCE7DDD">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kVA</w:t>
            </w:r>
          </w:p>
        </w:tc>
        <w:tc>
          <w:tcPr>
            <w:tcW w:w="1860" w:type="pct"/>
            <w:vAlign w:val="center"/>
          </w:tcPr>
          <w:p w14:paraId="4DFFCA81">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lang w:val="en-US" w:eastAsia="zh-CN"/>
              </w:rPr>
            </w:pPr>
            <w:r>
              <w:rPr>
                <w:rFonts w:hint="eastAsia" w:ascii="仿宋" w:hAnsi="仿宋" w:eastAsia="仿宋" w:cs="仿宋"/>
                <w:caps w:val="0"/>
                <w:color w:val="auto"/>
                <w:kern w:val="2"/>
                <w:sz w:val="21"/>
                <w:szCs w:val="21"/>
                <w:highlight w:val="none"/>
              </w:rPr>
              <w:t>500</w:t>
            </w:r>
            <w:r>
              <w:rPr>
                <w:rFonts w:hint="eastAsia" w:ascii="仿宋" w:hAnsi="仿宋" w:eastAsia="仿宋" w:cs="仿宋"/>
                <w:caps w:val="0"/>
                <w:color w:val="auto"/>
                <w:kern w:val="2"/>
                <w:sz w:val="21"/>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630/800/1000/1200</w:t>
            </w:r>
          </w:p>
        </w:tc>
      </w:tr>
      <w:tr w14:paraId="5464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06C9B7D8">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2</w:t>
            </w:r>
          </w:p>
        </w:tc>
        <w:tc>
          <w:tcPr>
            <w:tcW w:w="1466" w:type="pct"/>
            <w:vAlign w:val="center"/>
          </w:tcPr>
          <w:p w14:paraId="5C54FD59">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额定电压</w:t>
            </w:r>
          </w:p>
        </w:tc>
        <w:tc>
          <w:tcPr>
            <w:tcW w:w="836" w:type="pct"/>
            <w:vAlign w:val="center"/>
          </w:tcPr>
          <w:p w14:paraId="007A4B64">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kV</w:t>
            </w:r>
          </w:p>
        </w:tc>
        <w:tc>
          <w:tcPr>
            <w:tcW w:w="1860" w:type="pct"/>
            <w:vAlign w:val="center"/>
          </w:tcPr>
          <w:p w14:paraId="308A9280">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10</w:t>
            </w:r>
          </w:p>
        </w:tc>
      </w:tr>
      <w:tr w14:paraId="24D4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08027A4C">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w:t>
            </w:r>
          </w:p>
        </w:tc>
        <w:tc>
          <w:tcPr>
            <w:tcW w:w="1466" w:type="pct"/>
            <w:vAlign w:val="center"/>
          </w:tcPr>
          <w:p w14:paraId="4B671C1F">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最高工作电压</w:t>
            </w:r>
          </w:p>
        </w:tc>
        <w:tc>
          <w:tcPr>
            <w:tcW w:w="836" w:type="pct"/>
            <w:vAlign w:val="center"/>
          </w:tcPr>
          <w:p w14:paraId="4D494038">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kV</w:t>
            </w:r>
          </w:p>
        </w:tc>
        <w:tc>
          <w:tcPr>
            <w:tcW w:w="1860" w:type="pct"/>
            <w:vAlign w:val="center"/>
          </w:tcPr>
          <w:p w14:paraId="2CEEAB50">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12</w:t>
            </w:r>
          </w:p>
        </w:tc>
      </w:tr>
      <w:tr w14:paraId="5E91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0950A6DF">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4</w:t>
            </w:r>
          </w:p>
        </w:tc>
        <w:tc>
          <w:tcPr>
            <w:tcW w:w="1466" w:type="pct"/>
            <w:vAlign w:val="center"/>
          </w:tcPr>
          <w:p w14:paraId="65B6246B">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额定频率</w:t>
            </w:r>
          </w:p>
        </w:tc>
        <w:tc>
          <w:tcPr>
            <w:tcW w:w="836" w:type="pct"/>
            <w:vAlign w:val="center"/>
          </w:tcPr>
          <w:p w14:paraId="222FF065">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Hz</w:t>
            </w:r>
          </w:p>
        </w:tc>
        <w:tc>
          <w:tcPr>
            <w:tcW w:w="1860" w:type="pct"/>
            <w:vAlign w:val="center"/>
          </w:tcPr>
          <w:p w14:paraId="37C7AB1F">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50</w:t>
            </w:r>
          </w:p>
        </w:tc>
      </w:tr>
      <w:tr w14:paraId="37B2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7F8A2894">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5</w:t>
            </w:r>
          </w:p>
        </w:tc>
        <w:tc>
          <w:tcPr>
            <w:tcW w:w="1466" w:type="pct"/>
            <w:vAlign w:val="center"/>
          </w:tcPr>
          <w:p w14:paraId="4FAF81EA">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电压组合</w:t>
            </w:r>
          </w:p>
        </w:tc>
        <w:tc>
          <w:tcPr>
            <w:tcW w:w="836" w:type="pct"/>
            <w:vAlign w:val="center"/>
          </w:tcPr>
          <w:p w14:paraId="0557BF00">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p>
        </w:tc>
        <w:tc>
          <w:tcPr>
            <w:tcW w:w="1860" w:type="pct"/>
            <w:vAlign w:val="center"/>
          </w:tcPr>
          <w:p w14:paraId="69EC9786">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10±2×2.5%/0.4kV</w:t>
            </w:r>
          </w:p>
        </w:tc>
      </w:tr>
      <w:tr w14:paraId="352A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836" w:type="pct"/>
            <w:vAlign w:val="center"/>
          </w:tcPr>
          <w:p w14:paraId="3169CE17">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6</w:t>
            </w:r>
          </w:p>
        </w:tc>
        <w:tc>
          <w:tcPr>
            <w:tcW w:w="1466" w:type="pct"/>
            <w:vAlign w:val="center"/>
          </w:tcPr>
          <w:p w14:paraId="7F41A286">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连接组标号</w:t>
            </w:r>
          </w:p>
        </w:tc>
        <w:tc>
          <w:tcPr>
            <w:tcW w:w="836" w:type="pct"/>
            <w:vAlign w:val="center"/>
          </w:tcPr>
          <w:p w14:paraId="4512F9C4">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p>
        </w:tc>
        <w:tc>
          <w:tcPr>
            <w:tcW w:w="1860" w:type="pct"/>
            <w:vAlign w:val="center"/>
          </w:tcPr>
          <w:p w14:paraId="1386DE35">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Dyn11</w:t>
            </w:r>
          </w:p>
        </w:tc>
      </w:tr>
      <w:tr w14:paraId="0DF6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836" w:type="pct"/>
            <w:vAlign w:val="center"/>
          </w:tcPr>
          <w:p w14:paraId="29720A01">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7</w:t>
            </w:r>
          </w:p>
        </w:tc>
        <w:tc>
          <w:tcPr>
            <w:tcW w:w="1466" w:type="pct"/>
            <w:vAlign w:val="center"/>
          </w:tcPr>
          <w:p w14:paraId="0A45BCCF">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短路阻抗</w:t>
            </w:r>
          </w:p>
        </w:tc>
        <w:tc>
          <w:tcPr>
            <w:tcW w:w="836" w:type="pct"/>
            <w:vAlign w:val="center"/>
          </w:tcPr>
          <w:p w14:paraId="0480E0B7">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p>
        </w:tc>
        <w:tc>
          <w:tcPr>
            <w:tcW w:w="1860" w:type="pct"/>
            <w:vAlign w:val="center"/>
          </w:tcPr>
          <w:p w14:paraId="2A5C9F4C">
            <w:pPr>
              <w:pStyle w:val="15"/>
              <w:pageBreakBefore w:val="0"/>
              <w:kinsoku/>
              <w:wordWrap/>
              <w:overflowPunct/>
              <w:bidi w:val="0"/>
              <w:spacing w:line="32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按照国标要求</w:t>
            </w:r>
          </w:p>
        </w:tc>
      </w:tr>
    </w:tbl>
    <w:p w14:paraId="7E3F15BF">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3.4低压开关柜：</w:t>
      </w:r>
    </w:p>
    <w:p w14:paraId="2B8FF5A1">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柜体：选用低压固定柜柜型，防护等级： IP3X，柜体进行可靠的防锈处理后，使用耐久性喷塑处理。</w:t>
      </w:r>
    </w:p>
    <w:p w14:paraId="76A9CEE0">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柜体仪表门上安装指示灯、按钮、测量仪表等元器件，应排列整齐、层次分明、便于维修和拆装。</w:t>
      </w:r>
    </w:p>
    <w:p w14:paraId="0C95C5E3">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柜内配线：柜内配线采用聚氯乙烯绝缘电线，铜芯，可动部分过渡应柔软，并能承受住挠曲而不致疲劳损伤，柜内配线应有相应的线号。电流线采用2.5mm²，电压线采用1.5mm²，其他线采用1.0mm²。计量用电流线采用4mm²，电压线采用2.5mm²</w:t>
      </w:r>
    </w:p>
    <w:p w14:paraId="3DC1D5B2">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端子排的设置：</w:t>
      </w:r>
    </w:p>
    <w:p w14:paraId="13B0601C">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1）端子排距屏顶及地面均不小于200mm，端子排间距不小于150mm。</w:t>
      </w:r>
    </w:p>
    <w:p w14:paraId="5E73B272">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2）端子排的设置应使运行、检修、调试方便，应考虑设备与端子排的位置对应。端子排导电部分为铜质，端子的选用应根据回路载流量和所接电缆截面确定。</w:t>
      </w:r>
    </w:p>
    <w:p w14:paraId="0E3A2834">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3）柜内应有安全接地构件，连接处应保证可靠接地并有明显接地标记。</w:t>
      </w:r>
    </w:p>
    <w:p w14:paraId="3BFBAB4E">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低压主进框架抽屉式断路器（电动操作）</w:t>
      </w:r>
    </w:p>
    <w:p w14:paraId="555CF1C0">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1）额定电压: 400V。</w:t>
      </w:r>
    </w:p>
    <w:p w14:paraId="455F3B73">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2）额定频率：50Hz。</w:t>
      </w:r>
    </w:p>
    <w:p w14:paraId="2F4AD92C">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3）额定电流：厂家提供。</w:t>
      </w:r>
    </w:p>
    <w:p w14:paraId="1F0B6AE1">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出线开关（手动操作）</w:t>
      </w:r>
    </w:p>
    <w:p w14:paraId="3F004B36">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1）额定电压: 400V。</w:t>
      </w:r>
    </w:p>
    <w:p w14:paraId="75639C93">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2）额定频率：50Hz。</w:t>
      </w:r>
    </w:p>
    <w:p w14:paraId="38CA396B">
      <w:pPr>
        <w:pStyle w:val="15"/>
        <w:pageBreakBefore w:val="0"/>
        <w:kinsoku/>
        <w:wordWrap/>
        <w:overflowPunct/>
        <w:bidi w:val="0"/>
        <w:spacing w:line="360" w:lineRule="exact"/>
        <w:ind w:left="0" w:leftChars="0" w:firstLine="420" w:firstLineChars="200"/>
        <w:rPr>
          <w:rFonts w:hint="eastAsia" w:ascii="仿宋" w:hAnsi="仿宋" w:eastAsia="仿宋" w:cs="仿宋"/>
          <w:caps w:val="0"/>
          <w:color w:val="auto"/>
          <w:kern w:val="2"/>
          <w:sz w:val="21"/>
          <w:szCs w:val="21"/>
          <w:highlight w:val="none"/>
        </w:rPr>
      </w:pPr>
      <w:r>
        <w:rPr>
          <w:rFonts w:hint="eastAsia" w:ascii="仿宋" w:hAnsi="仿宋" w:eastAsia="仿宋" w:cs="仿宋"/>
          <w:caps w:val="0"/>
          <w:color w:val="auto"/>
          <w:kern w:val="2"/>
          <w:sz w:val="21"/>
          <w:szCs w:val="21"/>
          <w:highlight w:val="none"/>
        </w:rPr>
        <w:t>3）额定电流:厂家提供。</w:t>
      </w:r>
    </w:p>
    <w:p w14:paraId="78624542">
      <w:pPr>
        <w:pStyle w:val="15"/>
        <w:pageBreakBefore w:val="0"/>
        <w:kinsoku/>
        <w:wordWrap/>
        <w:overflowPunct/>
        <w:bidi w:val="0"/>
        <w:spacing w:line="360" w:lineRule="exact"/>
        <w:ind w:left="0" w:leftChars="0" w:firstLine="420" w:firstLineChars="200"/>
        <w:rPr>
          <w:rFonts w:hint="eastAsia" w:ascii="仿宋" w:hAnsi="仿宋" w:eastAsia="仿宋" w:cs="仿宋"/>
          <w:color w:val="auto"/>
          <w:highlight w:val="none"/>
          <w:lang w:val="en-US" w:eastAsia="zh-CN"/>
        </w:rPr>
      </w:pPr>
      <w:r>
        <w:rPr>
          <w:rFonts w:hint="eastAsia" w:ascii="仿宋" w:hAnsi="仿宋" w:eastAsia="仿宋" w:cs="仿宋"/>
          <w:caps w:val="0"/>
          <w:color w:val="auto"/>
          <w:kern w:val="2"/>
          <w:sz w:val="21"/>
          <w:szCs w:val="21"/>
          <w:highlight w:val="none"/>
        </w:rPr>
        <w:t>无功补偿：符合当地电力接入要求。</w:t>
      </w:r>
    </w:p>
    <w:p w14:paraId="635E8175">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高低压一体式充电箱变技术要求</w:t>
      </w:r>
    </w:p>
    <w:p w14:paraId="4046936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基本要求</w:t>
      </w:r>
    </w:p>
    <w:p w14:paraId="55E41470">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highlight w:val="none"/>
          <w:lang w:bidi="ar"/>
        </w:rPr>
      </w:pPr>
      <w:r>
        <w:rPr>
          <w:rFonts w:hint="eastAsia" w:ascii="仿宋" w:hAnsi="仿宋" w:eastAsia="仿宋" w:cs="仿宋"/>
          <w:color w:val="auto"/>
          <w:highlight w:val="none"/>
          <w:lang w:bidi="ar"/>
        </w:rPr>
        <w:t>变压器选用干式变压器</w:t>
      </w:r>
    </w:p>
    <w:p w14:paraId="0BBF1452">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高、低压进出线均采用电缆进出线。</w:t>
      </w:r>
    </w:p>
    <w:p w14:paraId="6002805C">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highlight w:val="none"/>
          <w:lang w:bidi="ar"/>
        </w:rPr>
      </w:pPr>
      <w:r>
        <w:rPr>
          <w:rFonts w:hint="eastAsia" w:ascii="仿宋" w:hAnsi="仿宋" w:eastAsia="仿宋" w:cs="仿宋"/>
          <w:color w:val="auto"/>
          <w:highlight w:val="none"/>
          <w:lang w:bidi="ar"/>
        </w:rPr>
        <w:t>具体设计由投标厂家根据使用需求配置确定，满足当地验收规范。</w:t>
      </w:r>
    </w:p>
    <w:p w14:paraId="33FBE0B0">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highlight w:val="none"/>
          <w:lang w:bidi="ar"/>
        </w:rPr>
      </w:pPr>
      <w:r>
        <w:rPr>
          <w:rFonts w:hint="eastAsia" w:ascii="仿宋" w:hAnsi="仿宋" w:eastAsia="仿宋" w:cs="仿宋"/>
          <w:color w:val="auto"/>
          <w:highlight w:val="none"/>
          <w:lang w:bidi="ar"/>
        </w:rPr>
        <w:t>符合GB/T 17467-2010《高压低压预装式变电站》。</w:t>
      </w:r>
    </w:p>
    <w:p w14:paraId="2A9F766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高压环网柜要求</w:t>
      </w:r>
    </w:p>
    <w:p w14:paraId="217F9261">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高压选用空气式绝缘开关设备，防护等级达到IP3X。其额定参数，技术要求，型式试验项目和方式、标志、包装、运输、储存等要求、产品性能符合相关规定。</w:t>
      </w:r>
    </w:p>
    <w:p w14:paraId="0EB7CF7F">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压柜铭牌标识清晰。内部安装的高压电器组件,如：断路器、负荷开关、互感器、避雷器等，均具有耐久而清晰的铭牌，铭牌安装在运行或检修时易于观察的位置。分合闸指示牌应清晰可见、易于观察，寿命同断路器和负荷开关。</w:t>
      </w:r>
    </w:p>
    <w:p w14:paraId="4D93D470">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高压开关柜内、外表面颜色应协调一致，柜门上均应有明显的带电警示标志</w:t>
      </w:r>
    </w:p>
    <w:p w14:paraId="63BA0E7F">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高压柜应标出主回路的线路图，同时应注明操作程序和注意事项。信号灯及仪表的装设位置应易于观察和安全地更换。电缆室的高度应满足安装、试验、维修的要求。</w:t>
      </w:r>
    </w:p>
    <w:p w14:paraId="681B5EDC">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高压单元安装带电显示器，其安装位置应便于观察。</w:t>
      </w:r>
    </w:p>
    <w:p w14:paraId="54E17191">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电力电缆隔室与电缆沟连接处设置防止小动物进入的措施。</w:t>
      </w:r>
    </w:p>
    <w:p w14:paraId="748CE999">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高压进出线方式采用电缆连接,高压电缆连接采用普通型压接螺栓连接，以利于验电、挂接地线。</w:t>
      </w:r>
    </w:p>
    <w:p w14:paraId="763B3AD7">
      <w:pPr>
        <w:pageBreakBefore w:val="0"/>
        <w:tabs>
          <w:tab w:val="left" w:pos="525"/>
        </w:tabs>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箱变内高压母排规格为TMY-(50×5)。</w:t>
      </w:r>
    </w:p>
    <w:p w14:paraId="104A9F9A">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变压器要求</w:t>
      </w:r>
    </w:p>
    <w:p w14:paraId="5B0C4AD2">
      <w:pPr>
        <w:pageBreakBefore w:val="0"/>
        <w:kinsoku/>
        <w:wordWrap/>
        <w:overflowPunct/>
        <w:bidi w:val="0"/>
        <w:spacing w:line="360" w:lineRule="exact"/>
        <w:ind w:left="0" w:leftChars="0"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变压器选用SCB13系列干式变压器，符合《电力变压器能效限定值及能效等级》技术标准，参数如下表所示：</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3154"/>
        <w:gridCol w:w="1169"/>
        <w:gridCol w:w="3421"/>
      </w:tblGrid>
      <w:tr w14:paraId="5441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39CCD59D">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序号</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7DCC737C">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参数名称</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4660C59A">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单位</w:t>
            </w: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4B8FB07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参数</w:t>
            </w:r>
          </w:p>
        </w:tc>
      </w:tr>
      <w:tr w14:paraId="0EEE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2A16366B">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1</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3120B10A">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变压器容量</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6FBE67FE">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kVA</w:t>
            </w: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6FCEE61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aps w:val="0"/>
                <w:color w:val="auto"/>
                <w:kern w:val="2"/>
                <w:sz w:val="21"/>
                <w:szCs w:val="21"/>
                <w:highlight w:val="none"/>
              </w:rPr>
              <w:t>500</w:t>
            </w:r>
            <w:r>
              <w:rPr>
                <w:rFonts w:hint="eastAsia" w:ascii="仿宋" w:hAnsi="仿宋" w:eastAsia="仿宋" w:cs="仿宋"/>
                <w:caps w:val="0"/>
                <w:color w:val="auto"/>
                <w:kern w:val="2"/>
                <w:sz w:val="21"/>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630/800/1000/1200</w:t>
            </w:r>
          </w:p>
        </w:tc>
      </w:tr>
      <w:tr w14:paraId="664C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78A4C778">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2</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134960CB">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额定电压</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42A9DB0F">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kV</w:t>
            </w: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2B5F5718">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10</w:t>
            </w:r>
          </w:p>
        </w:tc>
      </w:tr>
      <w:tr w14:paraId="7CEF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1D1F1138">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3</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7D9525FC">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最高工作电压</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13614F56">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kV</w:t>
            </w: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2514AFD4">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12</w:t>
            </w:r>
          </w:p>
        </w:tc>
      </w:tr>
      <w:tr w14:paraId="5400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1F7758A6">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4</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4D7399C9">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额定频率</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05A4BB5F">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Hz</w:t>
            </w: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6C09DC2D">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50</w:t>
            </w:r>
          </w:p>
        </w:tc>
      </w:tr>
      <w:tr w14:paraId="5CD0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7853DFC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5</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6972A355">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电压组合</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19B10E52">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54569FBC">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10±2×2.5%/0.4kV</w:t>
            </w:r>
          </w:p>
        </w:tc>
      </w:tr>
      <w:tr w14:paraId="38143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6BE9E12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6</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594BB112">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连接组标号</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3E5A65AE">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63D23AF2">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Dyn11</w:t>
            </w:r>
          </w:p>
        </w:tc>
      </w:tr>
      <w:tr w14:paraId="5BE6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5EC0A118">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7</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5C4643F7">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短路阻抗</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492F29F0">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77E74CAC">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符合国标</w:t>
            </w:r>
          </w:p>
        </w:tc>
      </w:tr>
      <w:tr w14:paraId="776B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1B0B2F26">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8</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658F991B">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绝缘等级</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50ED0905">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2D4F5E8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H</w:t>
            </w:r>
          </w:p>
        </w:tc>
      </w:tr>
      <w:tr w14:paraId="7DE1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pct"/>
            <w:tcBorders>
              <w:top w:val="single" w:color="auto" w:sz="4" w:space="0"/>
              <w:left w:val="single" w:color="auto" w:sz="4" w:space="0"/>
              <w:bottom w:val="single" w:color="auto" w:sz="4" w:space="0"/>
              <w:right w:val="single" w:color="auto" w:sz="4" w:space="0"/>
            </w:tcBorders>
            <w:shd w:val="clear" w:color="auto" w:fill="auto"/>
            <w:vAlign w:val="center"/>
          </w:tcPr>
          <w:p w14:paraId="3B41B85F">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9</w:t>
            </w:r>
          </w:p>
        </w:tc>
        <w:tc>
          <w:tcPr>
            <w:tcW w:w="1719" w:type="pct"/>
            <w:tcBorders>
              <w:top w:val="single" w:color="auto" w:sz="4" w:space="0"/>
              <w:left w:val="single" w:color="auto" w:sz="4" w:space="0"/>
              <w:bottom w:val="single" w:color="auto" w:sz="4" w:space="0"/>
              <w:right w:val="single" w:color="auto" w:sz="4" w:space="0"/>
            </w:tcBorders>
            <w:shd w:val="clear" w:color="auto" w:fill="auto"/>
            <w:vAlign w:val="center"/>
          </w:tcPr>
          <w:p w14:paraId="022FABC4">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最高温升</w:t>
            </w:r>
          </w:p>
        </w:tc>
        <w:tc>
          <w:tcPr>
            <w:tcW w:w="637" w:type="pct"/>
            <w:tcBorders>
              <w:top w:val="single" w:color="auto" w:sz="4" w:space="0"/>
              <w:left w:val="single" w:color="auto" w:sz="4" w:space="0"/>
              <w:bottom w:val="single" w:color="auto" w:sz="4" w:space="0"/>
              <w:right w:val="single" w:color="auto" w:sz="4" w:space="0"/>
            </w:tcBorders>
            <w:shd w:val="clear" w:color="auto" w:fill="auto"/>
            <w:vAlign w:val="center"/>
          </w:tcPr>
          <w:p w14:paraId="5A29F89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K</w:t>
            </w:r>
          </w:p>
        </w:tc>
        <w:tc>
          <w:tcPr>
            <w:tcW w:w="1864" w:type="pct"/>
            <w:tcBorders>
              <w:top w:val="single" w:color="auto" w:sz="4" w:space="0"/>
              <w:left w:val="single" w:color="auto" w:sz="4" w:space="0"/>
              <w:bottom w:val="single" w:color="auto" w:sz="4" w:space="0"/>
              <w:right w:val="single" w:color="auto" w:sz="4" w:space="0"/>
            </w:tcBorders>
            <w:shd w:val="clear" w:color="auto" w:fill="auto"/>
            <w:vAlign w:val="center"/>
          </w:tcPr>
          <w:p w14:paraId="417C2403">
            <w:pPr>
              <w:pageBreakBefore w:val="0"/>
              <w:kinsoku/>
              <w:wordWrap/>
              <w:overflowPunct/>
              <w:topLine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125</w:t>
            </w:r>
          </w:p>
        </w:tc>
      </w:tr>
    </w:tbl>
    <w:p w14:paraId="2B14C47E">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变压器室设置两道防护门，外防护门安装离心风机，确保温度过高情况下风机自动启动，降低变压器室温度。内隔网门装设行程开关，打开隔网时，为防止误入带电间隔，立即跳开变压器出线开关。</w:t>
      </w:r>
    </w:p>
    <w:p w14:paraId="7FC965A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低压开关柜</w:t>
      </w:r>
    </w:p>
    <w:p w14:paraId="1C604487">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柜体：选用低压固定柜柜型，防护等级： IP3X，柜体进行可靠的防锈处理后，使用耐久性喷塑处理。</w:t>
      </w:r>
    </w:p>
    <w:p w14:paraId="58DD1415">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柜体仪表门上安装指示灯、按钮、测量仪表等元器件，应排列整齐、层次分明、便于维修和拆装。</w:t>
      </w:r>
    </w:p>
    <w:p w14:paraId="396E5CF2">
      <w:pPr>
        <w:pageBreakBefore w:val="0"/>
        <w:kinsoku/>
        <w:wordWrap/>
        <w:overflowPunct/>
        <w:topLine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柜内配线：柜内配线采用聚氯乙烯绝缘电线，铜芯，可动部分过渡应柔软，并能承受住挠曲而不致疲劳损伤，柜内配线应有相应的线号。电流线采用2.5mm²，电压线采用</w:t>
      </w:r>
    </w:p>
    <w:p w14:paraId="1D012C47">
      <w:pPr>
        <w:pageBreakBefore w:val="0"/>
        <w:kinsoku/>
        <w:wordWrap/>
        <w:overflowPunct/>
        <w:topLine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1.5mm²，其他线采用1.0mm²。计量用电流线采用4mm²，电压线采用2.5mm²</w:t>
      </w:r>
    </w:p>
    <w:p w14:paraId="3E68129D">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端子排的设置：</w:t>
      </w:r>
    </w:p>
    <w:p w14:paraId="57B3C215">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1）端子排距屏顶及地面均不小于200mm，端子排间距不小于150mm。</w:t>
      </w:r>
    </w:p>
    <w:p w14:paraId="72D02CA5">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2）端子排的设置应使运行、检修、调试方便，应考虑设备与端子排的位置对应。端子排导电部分为铜质，端子的选用应根据回路载流量和所接电缆截面确定。</w:t>
      </w:r>
    </w:p>
    <w:p w14:paraId="22617793">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3）柜内应有安全接地构件，连接处应保证可靠接地并有明显接地标记。</w:t>
      </w:r>
    </w:p>
    <w:p w14:paraId="4E7BF752">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低压主进开关智能型框架断路器（电动操作）</w:t>
      </w:r>
    </w:p>
    <w:p w14:paraId="1EEBA8B9">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1）额定电压: 400V。</w:t>
      </w:r>
    </w:p>
    <w:p w14:paraId="30876AD1">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2）额定频率：50Hz。</w:t>
      </w:r>
    </w:p>
    <w:p w14:paraId="05E4580E">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3）额定电流:厂家提供。</w:t>
      </w:r>
    </w:p>
    <w:p w14:paraId="4F8421E9">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出线开关塑壳断路器（手动操作）</w:t>
      </w:r>
    </w:p>
    <w:p w14:paraId="464E3AD1">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1）额定电压: 400V。</w:t>
      </w:r>
    </w:p>
    <w:p w14:paraId="4ABBA3D9">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2）额定频率：50Hz。</w:t>
      </w:r>
    </w:p>
    <w:p w14:paraId="7A309FB9">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3）额定电流:厂家提供。</w:t>
      </w:r>
    </w:p>
    <w:p w14:paraId="6698AA12">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计量：满足当地供电局计量验收要求。</w:t>
      </w:r>
    </w:p>
    <w:p w14:paraId="7C333155">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无功补偿：</w:t>
      </w:r>
    </w:p>
    <w:p w14:paraId="71B0AA92">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1）低压采用智能自动投切无功补偿装置，补偿容量厂家提供。</w:t>
      </w:r>
    </w:p>
    <w:p w14:paraId="2755F8C9">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2）无功补偿控制器可实时显示电网功率因数、电压、电流、有功功率、无功功率、电压总畸变率、频率等电参数（A、B、C三相）；设置参数中文提示，数字输入；控制程序支持等容/编码两种投切方式；具有自动补偿工作方式。</w:t>
      </w:r>
    </w:p>
    <w:p w14:paraId="19EC3DA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箱体要求</w:t>
      </w:r>
    </w:p>
    <w:p w14:paraId="7B806178">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bookmarkStart w:id="38" w:name="_Hlk100663916"/>
      <w:r>
        <w:rPr>
          <w:rFonts w:hint="eastAsia" w:ascii="仿宋" w:hAnsi="仿宋" w:eastAsia="仿宋" w:cs="仿宋"/>
          <w:color w:val="auto"/>
          <w:highlight w:val="none"/>
          <w:lang w:bidi="ar"/>
        </w:rPr>
        <w:t>箱体顶盖采用非金属玻璃钢材质，风道设计4道防水，整体耐候性户外寿命≥20年；防护等级IP54；阻燃性能垂直燃烧级别可达V-0级。内部采用钢板及阻燃绝缘隔板严密分割成高压室、变压器室、低压室，各室防护等级为IP3X。箱体外壳门板和立柱采用1.5mm厚度及以上的优质冷轧钢板制作。箱体底架槽钢必须经过喷砂、喷锌处理后，采用沥青漆重度防腐处理，保证壳体20年内不退色、不氧化、不粉化，40年不锈蚀。高压和低压的进出线电缆孔采用敲落孔并配有密封胶圈。</w:t>
      </w:r>
    </w:p>
    <w:bookmarkEnd w:id="38"/>
    <w:p w14:paraId="7CFB69BC">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箱体外壳必须设计足够的机械强度，在起吊、运输和隧道内搬运、安装时不会变形或损伤；箱变外壳必须设计有方便钩挂的吊装机构，并保证吊装机构与箱体重心的协调，不会导致吊装过程中箱变倾斜；设计的外壳形状应不易积尘、积水；尽量少用外露紧固件，以免螺钉穿通外壳使水导入壳内；对穿通外壳的孔，均应采取相应的密封措施；外壳应防水、防震、防腐、防尘、防电燃。</w:t>
      </w:r>
    </w:p>
    <w:p w14:paraId="1F69D90B">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所有门应向外开，开启角度大于100°，并设置定位装置。门有密封措施，并装有把手和暗锁，门的设计尺寸与所装设备的尺寸相配合。设门控自动开闭的照明设施。箱体顶盖应有明显散水坡度，不应小于5°，顶盖边沿应设有滴水沿，防止雨水回流进入箱体。</w:t>
      </w:r>
    </w:p>
    <w:p w14:paraId="2F412970">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bookmarkStart w:id="39" w:name="_Hlk100667513"/>
      <w:r>
        <w:rPr>
          <w:rFonts w:hint="eastAsia" w:ascii="仿宋" w:hAnsi="仿宋" w:eastAsia="仿宋" w:cs="仿宋"/>
          <w:color w:val="auto"/>
          <w:highlight w:val="none"/>
          <w:lang w:bidi="ar"/>
        </w:rPr>
        <w:t>箱变内设置检修走廊，宽度≥700mm，预留下人井，检修走廊通道须配置LED照明灯，并保证足够的照度，方便箱体内部的检修和试验。</w:t>
      </w:r>
    </w:p>
    <w:bookmarkEnd w:id="39"/>
    <w:p w14:paraId="346F3B64">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sz w:val="32"/>
          <w:highlight w:val="none"/>
        </w:rPr>
      </w:pPr>
      <w:r>
        <w:rPr>
          <w:rFonts w:hint="eastAsia" w:ascii="仿宋" w:hAnsi="仿宋" w:eastAsia="仿宋" w:cs="仿宋"/>
          <w:color w:val="auto"/>
          <w:highlight w:val="none"/>
          <w:lang w:bidi="ar"/>
        </w:rPr>
        <w:t>变压器室采用通风结构，门板带有为防尘通风防水三级过滤门。</w:t>
      </w:r>
    </w:p>
    <w:p w14:paraId="1C58AF65">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color w:val="auto"/>
          <w:highlight w:val="none"/>
          <w:lang w:bidi="ar"/>
        </w:rPr>
      </w:pPr>
      <w:r>
        <w:rPr>
          <w:rFonts w:hint="eastAsia" w:ascii="仿宋" w:hAnsi="仿宋" w:eastAsia="仿宋" w:cs="仿宋"/>
          <w:color w:val="auto"/>
          <w:highlight w:val="none"/>
          <w:lang w:bidi="ar"/>
        </w:rPr>
        <w:t>箱式变电站的箱体应设专用接地导体，高低压接地贯通，该接地导体上应设有与接地网相连接的固定接地端子，箱变内部各个隔室接地端子数量不少于2个，箱变外部接地端子数量不少于四个，并应有明显的接地标志。接地端子为直径不小于12mm的钢质螺栓。箱式变电站的金属骨架，高压配电装置、低压配电装置和变压器室的金属支架均应有符合技术条件的接地端子，并与专用接地导体可靠地连接在一起，箱变的接地电阻阻值符合标准。</w:t>
      </w:r>
    </w:p>
    <w:p w14:paraId="1CCC0CF4">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充电设备检验依据满足GB/T17467-2020标准，高压室电缆支架到主接地点、高压室仪表门接地点到主接地点、变压器室门到主接地点、变压器室接地点到主接地点、低压室接地点到主接地点、低压室仪表门铰链到主接地点，以上测量部位的接地电阻≤100mΩ（满足电压降≤3V）。提供充电箱变检测报告（具有CMA和CNAS）。</w:t>
      </w:r>
    </w:p>
    <w:p w14:paraId="2A845F49">
      <w:pPr>
        <w:pageBreakBefore w:val="0"/>
        <w:kinsoku/>
        <w:wordWrap/>
        <w:overflowPunct/>
        <w:bidi w:val="0"/>
        <w:adjustRightInd w:val="0"/>
        <w:snapToGrid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充电设备检验依据满足GB/T17467-2020标准，其高压连接线通过工频电压耐受42kV/1min试验（具有检验结果和试验原理图）和雷电冲击电压±75kV各15次试验（具有检验结果数据和示波图），提供充电箱变检测报告（具有CMA和CNAS）。</w:t>
      </w:r>
    </w:p>
    <w:p w14:paraId="3B6102CD">
      <w:pPr>
        <w:pageBreakBefore w:val="0"/>
        <w:kinsoku/>
        <w:wordWrap/>
        <w:overflowPunct/>
        <w:bidi w:val="0"/>
        <w:adjustRightInd w:val="0"/>
        <w:snapToGrid w:val="0"/>
        <w:spacing w:line="360" w:lineRule="exact"/>
        <w:ind w:left="0" w:leftChars="0" w:firstLine="480" w:firstLineChars="200"/>
        <w:rPr>
          <w:rFonts w:hint="eastAsia" w:ascii="仿宋" w:hAnsi="仿宋" w:eastAsia="仿宋" w:cs="仿宋"/>
          <w:color w:val="auto"/>
          <w:highlight w:val="none"/>
          <w:lang w:val="en-US" w:eastAsia="zh-CN" w:bidi="ar"/>
        </w:rPr>
      </w:pPr>
      <w:r>
        <w:rPr>
          <w:rFonts w:hint="eastAsia" w:ascii="仿宋" w:hAnsi="仿宋" w:eastAsia="仿宋" w:cs="仿宋"/>
          <w:b w:val="0"/>
          <w:color w:val="auto"/>
          <w:kern w:val="2"/>
          <w:sz w:val="24"/>
          <w:szCs w:val="24"/>
          <w:highlight w:val="none"/>
          <w:lang w:val="en-US" w:eastAsia="zh-CN" w:bidi="ar-SA"/>
        </w:rPr>
        <w:t>▲</w:t>
      </w:r>
      <w:r>
        <w:rPr>
          <w:rFonts w:hint="eastAsia" w:ascii="仿宋" w:hAnsi="仿宋" w:eastAsia="仿宋" w:cs="仿宋"/>
          <w:color w:val="auto"/>
          <w:highlight w:val="none"/>
          <w:lang w:bidi="ar"/>
        </w:rPr>
        <w:t>充电设备检验依据满足GB/T17467-2020标准，充电设备内变压器在外壳内、外部的温升的限值：变压器绕组温升≤125K（具有箱变内外温升结果数据、绕组拟合图）。</w:t>
      </w:r>
      <w:r>
        <w:rPr>
          <w:rFonts w:hint="eastAsia" w:ascii="仿宋" w:hAnsi="仿宋" w:eastAsia="仿宋" w:cs="仿宋"/>
          <w:b w:val="0"/>
          <w:color w:val="auto"/>
          <w:kern w:val="2"/>
          <w:sz w:val="21"/>
          <w:szCs w:val="21"/>
          <w:highlight w:val="none"/>
          <w:lang w:val="en-US" w:eastAsia="zh-CN" w:bidi="ar-SA"/>
        </w:rPr>
        <w:t>提供充电箱变检测报告（具有CMA和CNAS）。</w:t>
      </w:r>
    </w:p>
    <w:p w14:paraId="7EC641BF">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分体式直流充电机（直流充电机）技术要求</w:t>
      </w:r>
    </w:p>
    <w:p w14:paraId="7F8A7E5C">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功能要求</w:t>
      </w:r>
    </w:p>
    <w:p w14:paraId="1009936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充电控制功能</w:t>
      </w:r>
    </w:p>
    <w:p w14:paraId="1485ABD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充电机应具备自动充电控制功能，可具备手动充电控制功能。充电控制单元具备系统运行、急停、门磁状态和机柜出风口温度的状态监测。</w:t>
      </w:r>
    </w:p>
    <w:p w14:paraId="579E819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功率自动分配功能</w:t>
      </w:r>
    </w:p>
    <w:p w14:paraId="6452A3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具备动态功率分配功能。在充电过程中，充电机根据用户充电请求、电池充电需求、当前功率变换单元负荷状态、上级监控管理系统调控指令，系统具备输出电压、输出电流、枪头温度以及运行时间遥测数据实时监测。</w:t>
      </w:r>
    </w:p>
    <w:p w14:paraId="3EDC230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eastAsia="zh-CN" w:bidi="ar-SA"/>
        </w:rPr>
        <w:t>模块颗粒度</w:t>
      </w:r>
    </w:p>
    <w:p w14:paraId="3189686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单模块颗粒度≥40kW，可调用单模块颗粒度进行功率分配和自动智能功率调度，车辆需求满足率100%。</w:t>
      </w:r>
    </w:p>
    <w:p w14:paraId="3A9E323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通信功能</w:t>
      </w:r>
    </w:p>
    <w:p w14:paraId="0DE66E3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具有与电动汽车BMS或车辆控制器通信的功能，判断充电机是否与电动汽车动力蓄电池系统正确连接；获得电动汽车BMS或车辆控制器充电参数和充电实时数据。充电机与BMS或车辆控制器之间的通信协议应符合GB/T 27930的规定。</w:t>
      </w:r>
    </w:p>
    <w:p w14:paraId="55F768B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充电机宜具有与上级监控系统或运营管理系统通信的功能。</w:t>
      </w:r>
    </w:p>
    <w:p w14:paraId="5E0D950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掉电监测功能</w:t>
      </w:r>
    </w:p>
    <w:p w14:paraId="48A7B9C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充电机应支持设备端市电掉电实时检测，当市电掉电时可通过以太网、4G网络等方式将掉电离网报警上传至平台。</w:t>
      </w:r>
    </w:p>
    <w:p w14:paraId="386F61B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离网充电功能</w:t>
      </w:r>
    </w:p>
    <w:p w14:paraId="46A32FB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充电机离网情况下，可支持10小时内使用集控在本地启动充电，同时记录充电订单所有数据。</w:t>
      </w:r>
    </w:p>
    <w:p w14:paraId="002CFE1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▲模组化设计</w:t>
      </w:r>
    </w:p>
    <w:p w14:paraId="77A618D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充电设备采用模组化设计，免焊接、免喷涂实现部件重复利用，当外壳损坏，无需整体更换，可实现单部件20分钟快换。</w:t>
      </w:r>
      <w:r>
        <w:rPr>
          <w:rFonts w:hint="eastAsia" w:ascii="仿宋" w:hAnsi="仿宋" w:eastAsia="仿宋" w:cs="仿宋"/>
          <w:b w:val="0"/>
          <w:color w:val="auto"/>
          <w:kern w:val="2"/>
          <w:sz w:val="21"/>
          <w:szCs w:val="21"/>
          <w:highlight w:val="none"/>
          <w:lang w:val="en-US" w:eastAsia="zh-CN" w:bidi="ar-SA"/>
        </w:rPr>
        <w:t>提供480kW或以上分体式直流充电机检测报告（具有CMA和CNAS）。</w:t>
      </w:r>
    </w:p>
    <w:p w14:paraId="21F62E4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直流输出回路短路检测功能</w:t>
      </w:r>
    </w:p>
    <w:p w14:paraId="5A623D4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充电机应具备对直流输出回路进行短路检测的功能，充电机的短路检测在绝缘检测阶段进行，当直流输出回路出现短路故障时，应停止充电过程并发出告警信息。</w:t>
      </w:r>
    </w:p>
    <w:p w14:paraId="1FCD942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车辆插头锁止功能</w:t>
      </w:r>
    </w:p>
    <w:p w14:paraId="3E7EC63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充电机车辆插头应具备锁止装置，其功能应符合:</w:t>
      </w:r>
    </w:p>
    <w:p w14:paraId="73989D2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a)GB/T18487.1-2015中9.6的要求；</w:t>
      </w:r>
    </w:p>
    <w:p w14:paraId="22705C3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b)GB/T 20234.1-2015中6.3的要求；</w:t>
      </w:r>
    </w:p>
    <w:p w14:paraId="34AF6E3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c)GB/T 20234.3-2015中附录A的要求。</w:t>
      </w:r>
    </w:p>
    <w:p w14:paraId="68D7BEC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在出现下列情况时，锁止装置应能解锁且解锁前车辆插头端口电压不应超过60V:</w:t>
      </w:r>
    </w:p>
    <w:p w14:paraId="04FA301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w:t>
      </w:r>
      <w:r>
        <w:rPr>
          <w:rFonts w:hint="eastAsia" w:ascii="仿宋" w:hAnsi="仿宋" w:eastAsia="仿宋" w:cs="仿宋"/>
          <w:b w:val="0"/>
          <w:color w:val="auto"/>
          <w:kern w:val="2"/>
          <w:sz w:val="24"/>
          <w:szCs w:val="24"/>
          <w:highlight w:val="none"/>
          <w:lang w:val="en-US" w:eastAsia="zh-CN" w:bidi="ar-SA"/>
        </w:rPr>
        <w:t>充电结束、用户手动解锁、突然断电或充电异常终止，充电枪内电磁锁机构停止产生磁力，释放充电枪。测试50次，成功50次，成功率100%，实现0锁枪。</w:t>
      </w:r>
      <w:r>
        <w:rPr>
          <w:rFonts w:hint="eastAsia" w:ascii="仿宋" w:hAnsi="仿宋" w:eastAsia="仿宋" w:cs="仿宋"/>
          <w:b w:val="0"/>
          <w:color w:val="auto"/>
          <w:kern w:val="2"/>
          <w:sz w:val="21"/>
          <w:szCs w:val="21"/>
          <w:highlight w:val="none"/>
          <w:lang w:val="en-US" w:eastAsia="zh-CN" w:bidi="ar-SA"/>
        </w:rPr>
        <w:t>提供480kW或以上分体式直流充电机检测报告（具有CMA和CNAS）。</w:t>
      </w:r>
    </w:p>
    <w:p w14:paraId="2CB5F74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a)故障不能继续充电;</w:t>
      </w:r>
    </w:p>
    <w:p w14:paraId="6B0C7CB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b)充电完成。</w:t>
      </w:r>
    </w:p>
    <w:p w14:paraId="3D9CC53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w:t>
      </w:r>
      <w:r>
        <w:rPr>
          <w:rFonts w:hint="eastAsia" w:ascii="仿宋" w:hAnsi="仿宋" w:eastAsia="仿宋" w:cs="仿宋"/>
          <w:b/>
          <w:bCs/>
          <w:color w:val="auto"/>
          <w:sz w:val="24"/>
          <w:szCs w:val="24"/>
          <w:highlight w:val="none"/>
          <w:lang w:eastAsia="zh-CN"/>
        </w:rPr>
        <w:t>故障录波</w:t>
      </w:r>
    </w:p>
    <w:p w14:paraId="5738193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充电机在出现疑似故障特征或实际发生故障时，具备记录故障前后电池、充电机等关键信息的功能，满足GB/T27930标准下非必选项报文30项以上，必选报文73项以上。</w:t>
      </w:r>
      <w:r>
        <w:rPr>
          <w:rFonts w:hint="eastAsia" w:ascii="仿宋" w:hAnsi="仿宋" w:eastAsia="仿宋" w:cs="仿宋"/>
          <w:b w:val="0"/>
          <w:color w:val="auto"/>
          <w:kern w:val="2"/>
          <w:sz w:val="21"/>
          <w:szCs w:val="21"/>
          <w:highlight w:val="none"/>
          <w:lang w:val="en-US" w:eastAsia="zh-CN" w:bidi="ar-SA"/>
        </w:rPr>
        <w:t>提供480kW或以上分体式直流充电机检测报告（具有CMA和CNAS）。</w:t>
      </w:r>
    </w:p>
    <w:p w14:paraId="6330A1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模块灌胶功能</w:t>
      </w:r>
    </w:p>
    <w:p w14:paraId="3AC14C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充电机内配置充电模块应采用独特的隔离风道100%灌胶设计以提高产品可靠性。</w:t>
      </w:r>
    </w:p>
    <w:p w14:paraId="71103F2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高效寻优</w:t>
      </w:r>
    </w:p>
    <w:p w14:paraId="0B5BFA9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充电机高效模式能实现功率的自主寻优算法，保证最大输出功率240kW或480kW，满足率达100%。</w:t>
      </w:r>
    </w:p>
    <w:p w14:paraId="07CD30C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远程服务</w:t>
      </w:r>
    </w:p>
    <w:p w14:paraId="6F97927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充电机具备远程服务能力（包括但不限于远程设置、运维、升级、维护、应急断电等服务能力）。</w:t>
      </w:r>
    </w:p>
    <w:p w14:paraId="0C31E3E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充电机扩容</w:t>
      </w:r>
    </w:p>
    <w:p w14:paraId="6922775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机应能并机扩展当充电机配置功率不能满足充电需要时，应能通过增加充电柜的方式扩展充电功率。扩展后，原充电机柜与扩展充电柜共同组成一套充电系统，具备自动功率分配功能，任一充电模块均可分配到任一充电回路上。</w:t>
      </w:r>
    </w:p>
    <w:p w14:paraId="037E68E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人机交互功能。</w:t>
      </w:r>
    </w:p>
    <w:p w14:paraId="528B422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显示功能</w:t>
      </w:r>
    </w:p>
    <w:p w14:paraId="455CD37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充电机（或后台）应显示下列状态信息:</w:t>
      </w:r>
    </w:p>
    <w:p w14:paraId="0623098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 充电机的运行状态指示:待机、充电、告警:</w:t>
      </w:r>
    </w:p>
    <w:p w14:paraId="7DA0A34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 具有手动充电控制功能的充电机应显示人工输入信息。</w:t>
      </w:r>
    </w:p>
    <w:p w14:paraId="0CC2033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充电机宜显示下列信息:</w:t>
      </w:r>
    </w:p>
    <w:p w14:paraId="379F07D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 电池当前荷电状态(state of charge，SOC)、充电电压、充电电流、充电功率;</w:t>
      </w:r>
    </w:p>
    <w:p w14:paraId="1F6AEC2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 已充电时间、已充电电量、已充电金额。</w:t>
      </w:r>
    </w:p>
    <w:p w14:paraId="146E595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输入功能</w:t>
      </w:r>
    </w:p>
    <w:p w14:paraId="0E52EE2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充电机宜具有手动输入和控制的功能。</w:t>
      </w:r>
    </w:p>
    <w:p w14:paraId="7903C4E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计量功能</w:t>
      </w:r>
    </w:p>
    <w:p w14:paraId="61EB263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充电机应具有对充电电能量进行计量的功能，计量功能应符合 GB/T 29318的规定，并具备直流电表数据的采样信号，当出现异常可自动发出告警信号。</w:t>
      </w:r>
    </w:p>
    <w:p w14:paraId="4CEE4C7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急停功能</w:t>
      </w:r>
    </w:p>
    <w:p w14:paraId="61B8D15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充电机应安装急停装置并具备信号采集接口。当启动急停装置时，分体式充电机应切断相应充电终端的直流输出。</w:t>
      </w:r>
    </w:p>
    <w:p w14:paraId="738C69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无电</w:t>
      </w:r>
      <w:r>
        <w:rPr>
          <w:rFonts w:hint="eastAsia" w:ascii="仿宋" w:hAnsi="仿宋" w:eastAsia="仿宋" w:cs="仿宋"/>
          <w:color w:val="auto"/>
          <w:sz w:val="24"/>
          <w:szCs w:val="24"/>
          <w:highlight w:val="none"/>
          <w:lang w:val="en-US" w:eastAsia="zh-CN"/>
        </w:rPr>
        <w:t>插头</w:t>
      </w:r>
    </w:p>
    <w:p w14:paraId="51D938F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充电终端（桩）待机状态下输入电源电压应不高于36V。</w:t>
      </w:r>
    </w:p>
    <w:p w14:paraId="319E0E2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▲预警能力</w:t>
      </w:r>
    </w:p>
    <w:p w14:paraId="614B06B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充电机具备充电模块电容衰减0.5%后发出预警信号</w:t>
      </w:r>
      <w:r>
        <w:rPr>
          <w:rFonts w:hint="eastAsia" w:ascii="仿宋" w:hAnsi="仿宋" w:eastAsia="仿宋" w:cs="仿宋"/>
          <w:b w:val="0"/>
          <w:color w:val="auto"/>
          <w:kern w:val="2"/>
          <w:sz w:val="24"/>
          <w:szCs w:val="24"/>
          <w:highlight w:val="none"/>
          <w:lang w:val="en-US" w:eastAsia="zh-CN" w:bidi="ar-SA"/>
        </w:rPr>
        <w:t>。</w:t>
      </w:r>
      <w:r>
        <w:rPr>
          <w:rFonts w:hint="eastAsia" w:ascii="仿宋" w:hAnsi="仿宋" w:eastAsia="仿宋" w:cs="仿宋"/>
          <w:b w:val="0"/>
          <w:color w:val="auto"/>
          <w:kern w:val="2"/>
          <w:sz w:val="21"/>
          <w:szCs w:val="21"/>
          <w:highlight w:val="none"/>
          <w:lang w:val="en-US" w:eastAsia="zh-CN" w:bidi="ar-SA"/>
        </w:rPr>
        <w:t>提供480kW或以上分体式直流充电机检测报告（具有CMA和CNAS）。</w:t>
      </w:r>
    </w:p>
    <w:p w14:paraId="1E77A4D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w:t>
      </w:r>
      <w:r>
        <w:rPr>
          <w:rFonts w:hint="eastAsia" w:ascii="仿宋" w:hAnsi="仿宋" w:eastAsia="仿宋" w:cs="仿宋"/>
          <w:b w:val="0"/>
          <w:color w:val="auto"/>
          <w:kern w:val="2"/>
          <w:sz w:val="24"/>
          <w:szCs w:val="24"/>
          <w:highlight w:val="none"/>
          <w:lang w:val="en-US" w:eastAsia="zh-CN" w:bidi="ar-SA"/>
        </w:rPr>
        <w:t>能源管理调度调控</w:t>
      </w:r>
    </w:p>
    <w:p w14:paraId="5913DBA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color w:val="auto"/>
          <w:kern w:val="2"/>
          <w:sz w:val="24"/>
          <w:szCs w:val="24"/>
          <w:highlight w:val="none"/>
          <w:lang w:val="en-US" w:eastAsia="zh-CN" w:bidi="ar-SA"/>
        </w:rPr>
        <w:t>充电桩应支持通过边缘硬件或平台协同实现能源管理调度调控，支持按需分配、整体最优、灵活分配、平均降功率、动态调控等策略。</w:t>
      </w:r>
      <w:r>
        <w:rPr>
          <w:rFonts w:hint="eastAsia" w:ascii="仿宋" w:hAnsi="仿宋" w:eastAsia="仿宋" w:cs="仿宋"/>
          <w:b w:val="0"/>
          <w:color w:val="auto"/>
          <w:kern w:val="2"/>
          <w:sz w:val="21"/>
          <w:szCs w:val="21"/>
          <w:highlight w:val="none"/>
          <w:lang w:val="en-US" w:eastAsia="zh-CN" w:bidi="ar-SA"/>
        </w:rPr>
        <w:t>提供480kW或以上分体式直流充电机检测报告（具有CMA和CNAS）。</w:t>
      </w:r>
    </w:p>
    <w:p w14:paraId="1188894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保护功能</w:t>
      </w:r>
    </w:p>
    <w:p w14:paraId="0148DEB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（1）充电机应具备电源输入侧的过电压保护、欠电压保护。</w:t>
      </w:r>
    </w:p>
    <w:p w14:paraId="22E40FC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（2）充电机应具备输出过电压保护。</w:t>
      </w:r>
    </w:p>
    <w:p w14:paraId="7988139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（3）充电机应能够提供车辆侧供电回路及电缆的短路电流保护，短路保护设备的I²t值不应超过500000A²s。</w:t>
      </w:r>
    </w:p>
    <w:p w14:paraId="2930544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（4）充电机应具备过温保护，当内部温度达到保护阈值时，采取降功率或停止输出。</w:t>
      </w:r>
    </w:p>
    <w:p w14:paraId="116C0C4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（5）充电机应具备开门保护，当充电机门打开造成带电部分露出时，分体式充电机应切断相应部分的电源输入或输出。</w:t>
      </w:r>
    </w:p>
    <w:p w14:paraId="18C06BD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（6）充电过程中当发生下列情况时，充电机应能在100ms内断开直流输出：</w:t>
      </w:r>
    </w:p>
    <w:p w14:paraId="66EC87D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 充电机启动急停装置；</w:t>
      </w:r>
    </w:p>
    <w:p w14:paraId="0E0298B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 充电机与电动汽车间的保护接地线断开；</w:t>
      </w:r>
    </w:p>
    <w:p w14:paraId="2724385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c) 充电机与电动汽车间的连接检测信号线断开。</w:t>
      </w:r>
    </w:p>
    <w:p w14:paraId="08AC4CB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（7）充电机应具备限制输入电流过冲的能力，开机或启动充电时产生的输入电流过冲不应大于额定输入电流峰值的10%。</w:t>
      </w:r>
    </w:p>
    <w:p w14:paraId="714C0D8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（8）充电机直流输出接触器接通时发生的车辆到充电设备或充电设备到车辆的冲击电流(峰值)应控制在20A以下。</w:t>
      </w:r>
    </w:p>
    <w:p w14:paraId="57A543E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（9）在启动充电阶段车辆侧接触器闭合后，充电机应对车辆电池电压进行检测，当出现下列情况时充电机应停止启动过程，并发出告警信息:</w:t>
      </w:r>
    </w:p>
    <w:p w14:paraId="495DF78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 蓄电池反接；</w:t>
      </w:r>
    </w:p>
    <w:p w14:paraId="0E9916C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 检测电压与通信报文电池电压之差的绝对值大于通信报文电池电压的5%；</w:t>
      </w:r>
    </w:p>
    <w:p w14:paraId="7D3CC24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c) 检测电压小于充电机的最低输出电压或大于充电机的额定输出电压。</w:t>
      </w:r>
    </w:p>
    <w:p w14:paraId="20170E4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10）充电机应具对电动汽车动力蓄电池二重保护功能，在充电过程中，当检测到输出电压大于车辆最高允许充电总电压，或检测到输出电流大于车辆当前需求电流，充电机应在1s内断开直流输出，并发出告警信息。</w:t>
      </w:r>
    </w:p>
    <w:p w14:paraId="6653194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注:充电机检测的输出电压或输出电流应考虑稳压精度或稳流精度范围加测量误差。</w:t>
      </w:r>
    </w:p>
    <w:p w14:paraId="2ACAB21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（11）充电机应具备防逆流功能(如输出加二极管等)，防止蓄电池电流倒灌。</w:t>
      </w:r>
    </w:p>
    <w:p w14:paraId="0596768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12）充电机应在启动充电前进行供电回路直流接触器触点粘连检测，也可以在直流接触器断开后进行触点粘连检测。当检测到任何一个直流接触器的主触点出现粘连情况时，充电机不应启动充电，并发出告警信息。</w:t>
      </w:r>
    </w:p>
    <w:p w14:paraId="32BD2DA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（13）充电机在充电过程中，当检测到与电动汽车电池管理系统(battery management system，BMS)或车辆控制器发生通信中断时，充电机应停止充电，并发出告警信息。</w:t>
      </w:r>
    </w:p>
    <w:p w14:paraId="314D86C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（14）充电机应在充电握手阶段判断电池管理系统BHM报文中的最高允许充电总电压值，当检测到该值小于充电机最低输出电压时，应停止绝缘监测进程，并发出告警信息。</w:t>
      </w:r>
    </w:p>
    <w:p w14:paraId="29B4D9D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（15）充电机应在充电阶段实时判断电池管理系统BCL报文中的电压需求和电流需求值，当检测到该值大于车辆最高允许充电总电压或最高允许充电电流时，充电机应停止充电，并发出告警信息。</w:t>
      </w:r>
    </w:p>
    <w:p w14:paraId="234872D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（16）充电机的雷电防护应符合GB/T18487.1-2015中11.7的规定</w:t>
      </w:r>
    </w:p>
    <w:p w14:paraId="0C83B8D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（17）充电机具备对集中控制器进行遥测数据采集，包括但不限于CPU使用率、内存使用率、存储空间使用率、系统负载、4G信号强度和信噪比等。</w:t>
      </w:r>
    </w:p>
    <w:p w14:paraId="5C535AF7">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exact"/>
        <w:ind w:left="0" w:leftChars="0" w:right="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（18）充电机内导线具备阻燃和耐腐蚀能力。</w:t>
      </w:r>
    </w:p>
    <w:p w14:paraId="469267A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（19）壳体采用绝缘材质，减少意外触电风险。</w:t>
      </w:r>
    </w:p>
    <w:p w14:paraId="4624F61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（20）当充电桩柜门打开等行为活动造成危险带电不见外漏、可触及时，充电堆（机）可在1S内切断输出。</w:t>
      </w:r>
    </w:p>
    <w:p w14:paraId="7ED683A8">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bookmarkStart w:id="40" w:name="_Toc154330468"/>
      <w:r>
        <w:rPr>
          <w:rFonts w:hint="eastAsia" w:ascii="仿宋" w:hAnsi="仿宋" w:eastAsia="仿宋" w:cs="仿宋"/>
          <w:color w:val="auto"/>
          <w:highlight w:val="none"/>
          <w:lang w:val="en-US" w:eastAsia="zh-CN"/>
        </w:rPr>
        <w:t>技术要求</w:t>
      </w:r>
      <w:bookmarkEnd w:id="40"/>
    </w:p>
    <w:p w14:paraId="4B6D5BE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环境条件</w:t>
      </w:r>
    </w:p>
    <w:p w14:paraId="09FE0AE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环境温度：-30℃～55℃；</w:t>
      </w:r>
    </w:p>
    <w:p w14:paraId="228357E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相对湿度：5％～95％；</w:t>
      </w:r>
    </w:p>
    <w:p w14:paraId="15EB0A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污染等级：3（室外使用），2（室内使用）</w:t>
      </w:r>
    </w:p>
    <w:p w14:paraId="514EBDF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海拔高度：≤2000m；</w:t>
      </w:r>
    </w:p>
    <w:p w14:paraId="27732E0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周围环境：使用地点不得有爆炸危险介质，周围介质不含有腐蚀金属和破坏绝缘的有害气体及导电介质。</w:t>
      </w:r>
    </w:p>
    <w:p w14:paraId="0013D5F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电源要求</w:t>
      </w:r>
    </w:p>
    <w:p w14:paraId="3FCB41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交流输入电压：380V±15％；</w:t>
      </w:r>
    </w:p>
    <w:p w14:paraId="72B0D8B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交流电源频率：45Hz～65Hz。</w:t>
      </w:r>
    </w:p>
    <w:p w14:paraId="2DBF858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环境适应要求</w:t>
      </w:r>
    </w:p>
    <w:p w14:paraId="49E7B60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（1）防护等级</w:t>
      </w:r>
    </w:p>
    <w:p w14:paraId="002BA74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充电机外壳防护等级不应低于GB 4208中IP32（室内）或IP54（室外）的规定。</w:t>
      </w:r>
    </w:p>
    <w:p w14:paraId="2A9E74E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（2）三防（防潮湿，防霉变，防盐雾）保护</w:t>
      </w:r>
    </w:p>
    <w:p w14:paraId="533C0EA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充电机内印刷线路板、接插件等部件应进行防潮湿、防霉变、防盐雾处理。其中防霉变腐蚀试验参考GB/T 2423.16-2008中的试验方法1，长霉程度等级不低于标准中要求的2a；其中防盐雾腐蚀试验参考GB/T 2423.17-2008中第6章规定的试验方法，试验时间48h，试验后在15℃~40℃流水中用柔软的刷子清洗7min，干燥1h，产品应无赤/青锈、没有出现涂装掉落现象、涂装无鼓起。</w:t>
      </w:r>
    </w:p>
    <w:p w14:paraId="7C80B40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bookmarkStart w:id="41" w:name="_Toc179863362"/>
      <w:r>
        <w:rPr>
          <w:rFonts w:hint="eastAsia" w:ascii="仿宋" w:hAnsi="仿宋" w:eastAsia="仿宋" w:cs="仿宋"/>
          <w:b w:val="0"/>
          <w:color w:val="auto"/>
          <w:kern w:val="2"/>
          <w:sz w:val="24"/>
          <w:szCs w:val="24"/>
          <w:highlight w:val="none"/>
          <w:lang w:val="en-US" w:eastAsia="zh-CN" w:bidi="ar-SA"/>
        </w:rPr>
        <w:t>（3）防锈（防氧化）保护</w:t>
      </w:r>
      <w:bookmarkEnd w:id="41"/>
    </w:p>
    <w:p w14:paraId="6794B8E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充电机铁质外壳和暴露的铁质支架、零件应采用双层防锈措施，非铁质的金属外壳也应具有防氧化保护膜或防氧化处理。</w:t>
      </w:r>
    </w:p>
    <w:p w14:paraId="5103B82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（4）防风保护</w:t>
      </w:r>
    </w:p>
    <w:p w14:paraId="1AF3344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户外型充电机应能承受GB/T4797.5规定的不同地区最大风速的侵袭。</w:t>
      </w:r>
    </w:p>
    <w:p w14:paraId="6E707D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（5）防盗保护</w:t>
      </w:r>
    </w:p>
    <w:p w14:paraId="78D78D6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户外型充电机应具备防盗措施。</w:t>
      </w:r>
    </w:p>
    <w:p w14:paraId="40DCC1A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内部温升要求</w:t>
      </w:r>
    </w:p>
    <w:p w14:paraId="2EDABFF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动力电源输入电流所流经的回路，如接线端子、输入断路器、输入接触器等;功率变换单元及其内部元器件、输入输出端子，直流输出电流所流经的回路，如接线端子、直流熔断器、直流接触器、功率电阻、电流采样分流器、车辆插头等。这些发热元器件及部件的最高温度小于等于元器件及部件最大耐受温度的90%，且不应影响周围元器件的正常工作和无元器件损坏。</w:t>
      </w:r>
    </w:p>
    <w:p w14:paraId="07C945C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在正常试验条件门下，输入为额定值，充电机在最大输出电流下长期运行，内部各发热元器件及各部位连接端子处的温升不应大于下表规定。</w:t>
      </w:r>
    </w:p>
    <w:p w14:paraId="7982EA8B">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充电机各部件极限温升</w:t>
      </w:r>
    </w:p>
    <w:tbl>
      <w:tblPr>
        <w:tblStyle w:val="64"/>
        <w:tblW w:w="5190" w:type="pct"/>
        <w:jc w:val="center"/>
        <w:tblLayout w:type="autofit"/>
        <w:tblCellMar>
          <w:top w:w="0" w:type="dxa"/>
          <w:left w:w="108" w:type="dxa"/>
          <w:bottom w:w="0" w:type="dxa"/>
          <w:right w:w="108" w:type="dxa"/>
        </w:tblCellMar>
      </w:tblPr>
      <w:tblGrid>
        <w:gridCol w:w="5394"/>
        <w:gridCol w:w="4128"/>
      </w:tblGrid>
      <w:tr w14:paraId="5D0ED2E4">
        <w:tblPrEx>
          <w:tblCellMar>
            <w:top w:w="0" w:type="dxa"/>
            <w:left w:w="108" w:type="dxa"/>
            <w:bottom w:w="0" w:type="dxa"/>
            <w:right w:w="108" w:type="dxa"/>
          </w:tblCellMar>
        </w:tblPrEx>
        <w:trPr>
          <w:trHeight w:val="327"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03875EB6">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内部测试点</w:t>
            </w:r>
          </w:p>
        </w:tc>
        <w:tc>
          <w:tcPr>
            <w:tcW w:w="2167" w:type="pct"/>
            <w:tcBorders>
              <w:top w:val="single" w:color="000000" w:sz="8" w:space="0"/>
              <w:left w:val="nil"/>
              <w:bottom w:val="single" w:color="000000" w:sz="8" w:space="0"/>
              <w:right w:val="single" w:color="auto" w:sz="4" w:space="0"/>
            </w:tcBorders>
            <w:vAlign w:val="center"/>
          </w:tcPr>
          <w:p w14:paraId="6D3395F1">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极 限 温 升/K</w:t>
            </w:r>
          </w:p>
        </w:tc>
      </w:tr>
      <w:tr w14:paraId="27BBCE8C">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48C3CAC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动力电源输入端子</w:t>
            </w:r>
          </w:p>
        </w:tc>
        <w:tc>
          <w:tcPr>
            <w:tcW w:w="2167" w:type="pct"/>
            <w:tcBorders>
              <w:top w:val="single" w:color="000000" w:sz="8" w:space="0"/>
              <w:left w:val="nil"/>
              <w:bottom w:val="single" w:color="000000" w:sz="8" w:space="0"/>
              <w:right w:val="single" w:color="auto" w:sz="4" w:space="0"/>
            </w:tcBorders>
            <w:vAlign w:val="center"/>
          </w:tcPr>
          <w:p w14:paraId="2B93E2CA">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w:t>
            </w:r>
          </w:p>
        </w:tc>
      </w:tr>
      <w:tr w14:paraId="5F47CEE2">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5FFB7291">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输入断路器、接触器接线端子</w:t>
            </w:r>
          </w:p>
        </w:tc>
        <w:tc>
          <w:tcPr>
            <w:tcW w:w="2167" w:type="pct"/>
            <w:tcBorders>
              <w:top w:val="single" w:color="000000" w:sz="8" w:space="0"/>
              <w:left w:val="nil"/>
              <w:bottom w:val="single" w:color="000000" w:sz="8" w:space="0"/>
              <w:right w:val="single" w:color="auto" w:sz="4" w:space="0"/>
            </w:tcBorders>
            <w:vAlign w:val="center"/>
          </w:tcPr>
          <w:p w14:paraId="67E435F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w:t>
            </w:r>
          </w:p>
        </w:tc>
      </w:tr>
      <w:tr w14:paraId="1278F65B">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0066AAB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塑料绝缘线</w:t>
            </w:r>
          </w:p>
        </w:tc>
        <w:tc>
          <w:tcPr>
            <w:tcW w:w="2167" w:type="pct"/>
            <w:tcBorders>
              <w:top w:val="single" w:color="000000" w:sz="8" w:space="0"/>
              <w:left w:val="nil"/>
              <w:bottom w:val="single" w:color="000000" w:sz="8" w:space="0"/>
              <w:right w:val="single" w:color="auto" w:sz="4" w:space="0"/>
            </w:tcBorders>
            <w:vAlign w:val="center"/>
          </w:tcPr>
          <w:p w14:paraId="4DD988B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25</w:t>
            </w:r>
          </w:p>
        </w:tc>
      </w:tr>
      <w:tr w14:paraId="651B3638">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4E9C7C8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充电模块输入输出连接端子</w:t>
            </w:r>
          </w:p>
        </w:tc>
        <w:tc>
          <w:tcPr>
            <w:tcW w:w="2167" w:type="pct"/>
            <w:tcBorders>
              <w:top w:val="single" w:color="000000" w:sz="8" w:space="0"/>
              <w:left w:val="nil"/>
              <w:bottom w:val="single" w:color="000000" w:sz="8" w:space="0"/>
              <w:right w:val="single" w:color="auto" w:sz="4" w:space="0"/>
            </w:tcBorders>
            <w:vAlign w:val="center"/>
          </w:tcPr>
          <w:p w14:paraId="1AFF89F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w:t>
            </w:r>
          </w:p>
        </w:tc>
      </w:tr>
      <w:tr w14:paraId="3A625F42">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20667A92">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功率电阻</w:t>
            </w:r>
          </w:p>
        </w:tc>
        <w:tc>
          <w:tcPr>
            <w:tcW w:w="2167" w:type="pct"/>
            <w:tcBorders>
              <w:top w:val="single" w:color="000000" w:sz="8" w:space="0"/>
              <w:left w:val="nil"/>
              <w:bottom w:val="single" w:color="000000" w:sz="8" w:space="0"/>
              <w:right w:val="single" w:color="auto" w:sz="4" w:space="0"/>
            </w:tcBorders>
            <w:vAlign w:val="center"/>
          </w:tcPr>
          <w:p w14:paraId="1FB396A1">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25（距外表30 mm处空间）</w:t>
            </w:r>
          </w:p>
        </w:tc>
      </w:tr>
      <w:tr w14:paraId="7C161151">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5CD08F7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电流采样分流器端子连接处</w:t>
            </w:r>
          </w:p>
        </w:tc>
        <w:tc>
          <w:tcPr>
            <w:tcW w:w="2167" w:type="pct"/>
            <w:tcBorders>
              <w:top w:val="single" w:color="000000" w:sz="8" w:space="0"/>
              <w:left w:val="nil"/>
              <w:bottom w:val="single" w:color="000000" w:sz="8" w:space="0"/>
              <w:right w:val="single" w:color="auto" w:sz="4" w:space="0"/>
            </w:tcBorders>
            <w:vAlign w:val="center"/>
          </w:tcPr>
          <w:p w14:paraId="5877EC0C">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70</w:t>
            </w:r>
          </w:p>
        </w:tc>
      </w:tr>
      <w:tr w14:paraId="3BD86E59">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373A78F2">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熔断器端子连接处</w:t>
            </w:r>
          </w:p>
        </w:tc>
        <w:tc>
          <w:tcPr>
            <w:tcW w:w="2167" w:type="pct"/>
            <w:tcBorders>
              <w:top w:val="single" w:color="000000" w:sz="8" w:space="0"/>
              <w:left w:val="nil"/>
              <w:bottom w:val="single" w:color="000000" w:sz="8" w:space="0"/>
              <w:right w:val="single" w:color="auto" w:sz="4" w:space="0"/>
            </w:tcBorders>
            <w:vAlign w:val="center"/>
          </w:tcPr>
          <w:p w14:paraId="44A0EAEB">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70</w:t>
            </w:r>
          </w:p>
        </w:tc>
      </w:tr>
      <w:tr w14:paraId="4097F90F">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42E880A7">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直流接触器外壳与极柱</w:t>
            </w:r>
          </w:p>
        </w:tc>
        <w:tc>
          <w:tcPr>
            <w:tcW w:w="2167" w:type="pct"/>
            <w:tcBorders>
              <w:top w:val="single" w:color="000000" w:sz="8" w:space="0"/>
              <w:left w:val="nil"/>
              <w:bottom w:val="single" w:color="000000" w:sz="8" w:space="0"/>
              <w:right w:val="single" w:color="auto" w:sz="4" w:space="0"/>
            </w:tcBorders>
            <w:vAlign w:val="center"/>
          </w:tcPr>
          <w:p w14:paraId="37D09B8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w:t>
            </w:r>
          </w:p>
        </w:tc>
      </w:tr>
      <w:tr w14:paraId="6DED0E34">
        <w:tblPrEx>
          <w:tblCellMar>
            <w:top w:w="0" w:type="dxa"/>
            <w:left w:w="108" w:type="dxa"/>
            <w:bottom w:w="0" w:type="dxa"/>
            <w:right w:w="108" w:type="dxa"/>
          </w:tblCellMar>
        </w:tblPrEx>
        <w:trPr>
          <w:trHeight w:val="291" w:hRule="atLeast"/>
          <w:jc w:val="center"/>
        </w:trPr>
        <w:tc>
          <w:tcPr>
            <w:tcW w:w="2832" w:type="pct"/>
            <w:tcBorders>
              <w:top w:val="single" w:color="000000" w:sz="8" w:space="0"/>
              <w:left w:val="single" w:color="000000" w:sz="8" w:space="0"/>
              <w:bottom w:val="single" w:color="000000" w:sz="8" w:space="0"/>
              <w:right w:val="single" w:color="000000" w:sz="8" w:space="0"/>
            </w:tcBorders>
            <w:vAlign w:val="center"/>
          </w:tcPr>
          <w:p w14:paraId="120EF6E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直流输出接线端子</w:t>
            </w:r>
          </w:p>
        </w:tc>
        <w:tc>
          <w:tcPr>
            <w:tcW w:w="2167" w:type="pct"/>
            <w:tcBorders>
              <w:top w:val="single" w:color="000000" w:sz="8" w:space="0"/>
              <w:left w:val="nil"/>
              <w:bottom w:val="single" w:color="000000" w:sz="8" w:space="0"/>
              <w:right w:val="single" w:color="auto" w:sz="4" w:space="0"/>
            </w:tcBorders>
            <w:vAlign w:val="center"/>
          </w:tcPr>
          <w:p w14:paraId="7CA82BE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w:t>
            </w:r>
          </w:p>
        </w:tc>
      </w:tr>
    </w:tbl>
    <w:p w14:paraId="3FF8956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安全要求</w:t>
      </w:r>
    </w:p>
    <w:p w14:paraId="46E50A3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（1）允许温度</w:t>
      </w:r>
    </w:p>
    <w:p w14:paraId="2EF6CD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在40℃环境温度下，充电机可用手接触部分允许的最高温度应为：</w:t>
      </w:r>
    </w:p>
    <w:p w14:paraId="58607AA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——金属部分，50℃；</w:t>
      </w:r>
    </w:p>
    <w:p w14:paraId="170E56A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——非金属部分，60℃。</w:t>
      </w:r>
    </w:p>
    <w:p w14:paraId="0B44668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可以用手接触但不必紧握的部分，在同样条件下允许的最高温度应为：</w:t>
      </w:r>
    </w:p>
    <w:p w14:paraId="638B68C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——金属部分，60℃；</w:t>
      </w:r>
    </w:p>
    <w:p w14:paraId="2D63308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——非金属部分，85℃。</w:t>
      </w:r>
    </w:p>
    <w:p w14:paraId="18B498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（2）电击防护要求</w:t>
      </w:r>
    </w:p>
    <w:p w14:paraId="11463E0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充电机的电击防护应符合GB/T 18487.1-2015中第7章的要求。</w:t>
      </w:r>
    </w:p>
    <w:p w14:paraId="015DA2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（3）电气间隙和爬电距离</w:t>
      </w:r>
    </w:p>
    <w:p w14:paraId="40A967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充电机的电气间隙和爬电距离应符合GB/T 18487.1-2015中10.4节的规定。</w:t>
      </w:r>
    </w:p>
    <w:p w14:paraId="52CFE8B1">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电气间隙和爬电距离</w:t>
      </w:r>
    </w:p>
    <w:tbl>
      <w:tblPr>
        <w:tblStyle w:val="64"/>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4"/>
        <w:gridCol w:w="2894"/>
        <w:gridCol w:w="3040"/>
      </w:tblGrid>
      <w:tr w14:paraId="1F67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4" w:type="dxa"/>
            <w:vAlign w:val="center"/>
          </w:tcPr>
          <w:p w14:paraId="4D51DCB1">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bookmarkStart w:id="42" w:name="_Hlk103236953"/>
            <w:r>
              <w:rPr>
                <w:rFonts w:hint="eastAsia" w:ascii="仿宋" w:hAnsi="仿宋" w:eastAsia="仿宋" w:cs="仿宋"/>
                <w:b w:val="0"/>
                <w:color w:val="auto"/>
                <w:kern w:val="2"/>
                <w:sz w:val="21"/>
                <w:szCs w:val="21"/>
                <w:highlight w:val="none"/>
                <w:lang w:val="en-US" w:eastAsia="zh-CN" w:bidi="ar-SA"/>
              </w:rPr>
              <w:t>额定绝缘电压Ui</w:t>
            </w:r>
          </w:p>
          <w:p w14:paraId="41B7AB60">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（V）</w:t>
            </w:r>
          </w:p>
        </w:tc>
        <w:tc>
          <w:tcPr>
            <w:tcW w:w="2894" w:type="dxa"/>
            <w:vAlign w:val="center"/>
          </w:tcPr>
          <w:p w14:paraId="2CA1A203">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电气间隙</w:t>
            </w:r>
          </w:p>
          <w:p w14:paraId="6618F589">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（mm）</w:t>
            </w:r>
          </w:p>
        </w:tc>
        <w:tc>
          <w:tcPr>
            <w:tcW w:w="3040" w:type="dxa"/>
            <w:vAlign w:val="center"/>
          </w:tcPr>
          <w:p w14:paraId="66C94CAB">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爬电距离</w:t>
            </w:r>
          </w:p>
          <w:p w14:paraId="233DEEDA">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（mm）</w:t>
            </w:r>
          </w:p>
        </w:tc>
      </w:tr>
      <w:tr w14:paraId="6E31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3184" w:type="dxa"/>
            <w:vAlign w:val="center"/>
          </w:tcPr>
          <w:p w14:paraId="097E296E">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Ui≤60</w:t>
            </w:r>
          </w:p>
        </w:tc>
        <w:tc>
          <w:tcPr>
            <w:tcW w:w="2894" w:type="dxa"/>
            <w:vAlign w:val="center"/>
          </w:tcPr>
          <w:p w14:paraId="78CA921C">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3.0</w:t>
            </w:r>
          </w:p>
        </w:tc>
        <w:tc>
          <w:tcPr>
            <w:tcW w:w="3040" w:type="dxa"/>
            <w:vAlign w:val="center"/>
          </w:tcPr>
          <w:p w14:paraId="6C62E748">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3.0</w:t>
            </w:r>
          </w:p>
        </w:tc>
      </w:tr>
      <w:tr w14:paraId="3D6D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184" w:type="dxa"/>
            <w:vAlign w:val="center"/>
          </w:tcPr>
          <w:p w14:paraId="051F6B9B">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60＜Ui≤300</w:t>
            </w:r>
          </w:p>
        </w:tc>
        <w:tc>
          <w:tcPr>
            <w:tcW w:w="2894" w:type="dxa"/>
            <w:vAlign w:val="center"/>
          </w:tcPr>
          <w:p w14:paraId="2C199363">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w:t>
            </w:r>
          </w:p>
        </w:tc>
        <w:tc>
          <w:tcPr>
            <w:tcW w:w="3040" w:type="dxa"/>
            <w:vAlign w:val="center"/>
          </w:tcPr>
          <w:p w14:paraId="65D715C5">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6.0</w:t>
            </w:r>
          </w:p>
        </w:tc>
      </w:tr>
      <w:tr w14:paraId="6764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3184" w:type="dxa"/>
            <w:vAlign w:val="center"/>
          </w:tcPr>
          <w:p w14:paraId="793CDE73">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300＜Ui≤700</w:t>
            </w:r>
          </w:p>
        </w:tc>
        <w:tc>
          <w:tcPr>
            <w:tcW w:w="2894" w:type="dxa"/>
            <w:vAlign w:val="center"/>
          </w:tcPr>
          <w:p w14:paraId="798F15A0">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8.0</w:t>
            </w:r>
          </w:p>
        </w:tc>
        <w:tc>
          <w:tcPr>
            <w:tcW w:w="3040" w:type="dxa"/>
            <w:vAlign w:val="center"/>
          </w:tcPr>
          <w:p w14:paraId="669B4434">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10.0</w:t>
            </w:r>
          </w:p>
        </w:tc>
      </w:tr>
      <w:tr w14:paraId="5452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3184" w:type="dxa"/>
            <w:vAlign w:val="center"/>
          </w:tcPr>
          <w:p w14:paraId="20158A30">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700＜Ui≤950</w:t>
            </w:r>
          </w:p>
        </w:tc>
        <w:tc>
          <w:tcPr>
            <w:tcW w:w="2894" w:type="dxa"/>
            <w:vAlign w:val="center"/>
          </w:tcPr>
          <w:p w14:paraId="678C3DB4">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14.0</w:t>
            </w:r>
          </w:p>
        </w:tc>
        <w:tc>
          <w:tcPr>
            <w:tcW w:w="3040" w:type="dxa"/>
            <w:vAlign w:val="center"/>
          </w:tcPr>
          <w:p w14:paraId="271D9AA4">
            <w:pPr>
              <w:pageBreakBefore w:val="0"/>
              <w:widowControl/>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16.0</w:t>
            </w:r>
          </w:p>
        </w:tc>
      </w:tr>
      <w:tr w14:paraId="4DC7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118" w:type="dxa"/>
            <w:gridSpan w:val="3"/>
            <w:vAlign w:val="center"/>
          </w:tcPr>
          <w:p w14:paraId="600D0BCC">
            <w:pPr>
              <w:pageBreakBefore w:val="0"/>
              <w:widowControl/>
              <w:kinsoku/>
              <w:wordWrap/>
              <w:overflowPunct/>
              <w:bidi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注1：当主电路与控制电路或辅助电路的额定绝缘电压不一致时，其电气间隙和爬电距离可分别按其额定值选取。</w:t>
            </w:r>
          </w:p>
          <w:p w14:paraId="2355D2B4">
            <w:pPr>
              <w:pageBreakBefore w:val="0"/>
              <w:widowControl/>
              <w:kinsoku/>
              <w:wordWrap/>
              <w:overflowPunct/>
              <w:bidi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注2：具有不同额定值主电路或控制电路导电部分之间的电气间隙与爬电距离，应按最高额定绝缘电压选取。</w:t>
            </w:r>
          </w:p>
          <w:p w14:paraId="260E19F7">
            <w:pPr>
              <w:pageBreakBefore w:val="0"/>
              <w:widowControl/>
              <w:kinsoku/>
              <w:wordWrap/>
              <w:overflowPunct/>
              <w:bidi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注3：小母线、汇流排或不同级的裸露的带电导体之间，以及裸露的带电导体与未经绝缘的不带电导体之间的电气间隙不小于14mm，爬电距离不小于20mm。</w:t>
            </w:r>
          </w:p>
        </w:tc>
      </w:tr>
      <w:bookmarkEnd w:id="42"/>
    </w:tbl>
    <w:p w14:paraId="595D7DB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p>
    <w:p w14:paraId="45DCB71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（4）接地要求</w:t>
      </w:r>
    </w:p>
    <w:p w14:paraId="32A7A83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充电机的接地要求应能满足以下的规定：</w:t>
      </w:r>
    </w:p>
    <w:p w14:paraId="1D839E9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充电机金属壳体应设置接地螺栓，其直径不得小于6mm，并应有接地标志。</w:t>
      </w:r>
    </w:p>
    <w:p w14:paraId="6149646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所有作为隔离带电导体的金属隔板、电气元件的金属外壳以及金属手柄等均应有效接地，连续性电阻不应大于0.1Ω。</w:t>
      </w:r>
    </w:p>
    <w:p w14:paraId="165DF51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充电机的门、盖板、覆板和类似部件，应采用保护导体将这些部件和充电机主体框架连接，此保护导体的截面积不得小于2.5mm²。</w:t>
      </w:r>
    </w:p>
    <w:p w14:paraId="0EC315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接地母线和柜体之间的所有连接应躲开（或穿透绝缘层）喷漆层，以保证有效的电气连接。</w:t>
      </w:r>
    </w:p>
    <w:p w14:paraId="09C2B6D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（5）超温断电要求</w:t>
      </w:r>
    </w:p>
    <w:p w14:paraId="718193B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要求充电终端带有超温断电功能及枪头温度信号采样点，提升设施防护安全性。</w:t>
      </w:r>
    </w:p>
    <w:p w14:paraId="5AA2B02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当确认充电枪头温度达到90℃两分钟后，充电机限制输出电流为当前直流电表检测值的90%；</w:t>
      </w:r>
    </w:p>
    <w:p w14:paraId="55FE135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当确认充电枪头温度达到95℃两分钟后，充电机限制输出电流为当前直流电表检测值的80%；</w:t>
      </w:r>
    </w:p>
    <w:p w14:paraId="131E1A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当确认充电枪头温度达到100℃两分钟后，充电机限制输出电流为当前直流电表检测值的70%；</w:t>
      </w:r>
    </w:p>
    <w:p w14:paraId="0CBA6A6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当确认充电枪头温度达到110℃两秒钟后，充电机应能发出过温故障报警信号。</w:t>
      </w:r>
    </w:p>
    <w:p w14:paraId="32CFACD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（6）电气隔离性能</w:t>
      </w:r>
    </w:p>
    <w:p w14:paraId="1E5DEA5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充电机的动力电源输入和直流输出之间应采取电气隔离防护措施：对于一机多充式充电机，各直流输出接口之间也应采取电气隔离防护措施。</w:t>
      </w:r>
    </w:p>
    <w:p w14:paraId="09B417C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电气绝缘性能</w:t>
      </w:r>
    </w:p>
    <w:p w14:paraId="6B7C721F">
      <w:pPr>
        <w:keepNext w:val="0"/>
        <w:keepLines w:val="0"/>
        <w:pageBreakBefore w:val="0"/>
        <w:widowControl w:val="0"/>
        <w:tabs>
          <w:tab w:val="left" w:pos="315"/>
        </w:tabs>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（1）绝缘电阻</w:t>
      </w:r>
    </w:p>
    <w:p w14:paraId="50BB5EA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用开路电压为下表规定电压的测试仪器测量，充电机非电气连接的各带电回路之间、各独立带电回路与地（金属外壳）之间绝缘电阻不应小于10MΩ。</w:t>
      </w:r>
    </w:p>
    <w:p w14:paraId="39558B9A">
      <w:pPr>
        <w:keepNext w:val="0"/>
        <w:keepLines w:val="0"/>
        <w:pageBreakBefore w:val="0"/>
        <w:widowControl w:val="0"/>
        <w:tabs>
          <w:tab w:val="left" w:pos="315"/>
        </w:tabs>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（2）介电强度</w:t>
      </w:r>
    </w:p>
    <w:p w14:paraId="7869B1C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充电机非电气连接的各带电回路之间、各独立带电回路与地（金属外壳）之间，按其工作电压应能承受下表所规定历时1 min的工频耐压试验（也可采用直流电压，试验电压为交流电压有效值的1.4倍）。试验过程中应无绝缘击穿和闪络现象。</w:t>
      </w:r>
    </w:p>
    <w:p w14:paraId="1C17D6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输出要求</w:t>
      </w:r>
    </w:p>
    <w:p w14:paraId="3E7DD8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（1）输出电压</w:t>
      </w:r>
    </w:p>
    <w:p w14:paraId="4E56FF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直流输出电压：50～1000V；</w:t>
      </w:r>
    </w:p>
    <w:p w14:paraId="05F5C26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恒功率输出范围：300～1000V；</w:t>
      </w:r>
    </w:p>
    <w:p w14:paraId="5694B5F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单模块颗粒度为≥30kW，全灌胶工艺设计，采用碳化硅半导体材料，充电模块具备输出电压、输出电流、内部温度、电容寿命等遥测信号采集的能力。</w:t>
      </w:r>
    </w:p>
    <w:p w14:paraId="4FFA6A7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（2）低压辅助电源</w:t>
      </w:r>
    </w:p>
    <w:p w14:paraId="6719EE9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充电机应能为电动汽车提供低压辅助电源，且具备过负荷、过压、过温保护功能。</w:t>
      </w:r>
    </w:p>
    <w:p w14:paraId="1027BB7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辅助电源额定电压：12V；</w:t>
      </w:r>
    </w:p>
    <w:p w14:paraId="1DC090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纹波峰值系数：不超过±1%。</w:t>
      </w:r>
    </w:p>
    <w:p w14:paraId="1273684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（3）稳流精度</w:t>
      </w:r>
    </w:p>
    <w:p w14:paraId="430A3BA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当交流电源电压在额定值的±15%范围内变化，直流输出电压在规定的相应范围内变化时，直流输出电流在规定的额定值的20%～100%范围内任一数值上，充电机的输出电流稳流精度不应超过±1%。</w:t>
      </w:r>
    </w:p>
    <w:p w14:paraId="2236137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（4）稳压精度</w:t>
      </w:r>
    </w:p>
    <w:p w14:paraId="1A4EB0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当交流电源电压在额定值的±15%范围内变化，直流输出电流在规定的额定值的0～100%范围内变化时，输出直流电压在规定的相应调节范围内任一数值上，充电机的输出电压稳压精度不应超过±0.5%。</w:t>
      </w:r>
    </w:p>
    <w:p w14:paraId="792E408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（5）电压纹波因数</w:t>
      </w:r>
    </w:p>
    <w:p w14:paraId="5B505C1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当输入电源电压在额定值士15%范围内变化、输出直流电流在 0~最大输出电流值范围内变化时，输出直流电压在 7.7.1a)规定的相应调节范围内任一数值上，充电机输出电压纹波峰值因数不应大于1%。</w:t>
      </w:r>
    </w:p>
    <w:p w14:paraId="31CD322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（6）电流纹波</w:t>
      </w:r>
    </w:p>
    <w:p w14:paraId="4A36538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在恒流状态下，当输入电源电压为额定值，输出直流电压在 7.7.1a)规定的相应调节范围内变化时输出直流电流设定为最大输出电流值，充电机输出电流纹波峰峰值不应大于下表规定。</w:t>
      </w:r>
    </w:p>
    <w:tbl>
      <w:tblPr>
        <w:tblStyle w:val="6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1"/>
        <w:gridCol w:w="4151"/>
      </w:tblGrid>
      <w:tr w14:paraId="0D79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51" w:type="dxa"/>
          </w:tcPr>
          <w:p w14:paraId="3104C21F">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电流纹波峰峰值</w:t>
            </w:r>
          </w:p>
          <w:p w14:paraId="6B38E156">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A</w:t>
            </w:r>
          </w:p>
        </w:tc>
        <w:tc>
          <w:tcPr>
            <w:tcW w:w="4151" w:type="dxa"/>
          </w:tcPr>
          <w:p w14:paraId="1810829C">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电流纹波频率f</w:t>
            </w:r>
          </w:p>
          <w:p w14:paraId="0B0335C3">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Hz</w:t>
            </w:r>
          </w:p>
        </w:tc>
      </w:tr>
      <w:tr w14:paraId="2731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1" w:type="dxa"/>
          </w:tcPr>
          <w:p w14:paraId="443EE549">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1.5</w:t>
            </w:r>
          </w:p>
        </w:tc>
        <w:tc>
          <w:tcPr>
            <w:tcW w:w="4151" w:type="dxa"/>
          </w:tcPr>
          <w:p w14:paraId="2A674FB1">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f≤10</w:t>
            </w:r>
          </w:p>
        </w:tc>
      </w:tr>
      <w:tr w14:paraId="7F64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1" w:type="dxa"/>
          </w:tcPr>
          <w:p w14:paraId="526A2B6F">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6</w:t>
            </w:r>
          </w:p>
        </w:tc>
        <w:tc>
          <w:tcPr>
            <w:tcW w:w="4151" w:type="dxa"/>
          </w:tcPr>
          <w:p w14:paraId="4689D9FF">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f≤5000</w:t>
            </w:r>
          </w:p>
        </w:tc>
      </w:tr>
      <w:tr w14:paraId="6BC5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1" w:type="dxa"/>
          </w:tcPr>
          <w:p w14:paraId="64A2361B">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9</w:t>
            </w:r>
          </w:p>
        </w:tc>
        <w:tc>
          <w:tcPr>
            <w:tcW w:w="4151" w:type="dxa"/>
          </w:tcPr>
          <w:p w14:paraId="131DBAB9">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f≤150000</w:t>
            </w:r>
          </w:p>
        </w:tc>
      </w:tr>
    </w:tbl>
    <w:p w14:paraId="4EB3CAF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（7）输出电流误差</w:t>
      </w:r>
    </w:p>
    <w:p w14:paraId="7B0CA75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在恒流状态下，输出直流电流设定在规定的额定值的20%～100%范围内，在设定的直流输出电流≥30A时，充电机的输出电流误差不应超过±1%；在设定的输出电流&lt;30A时，充电机的输出电流误差不应超过±0.3A。</w:t>
      </w:r>
    </w:p>
    <w:p w14:paraId="36E789E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（8）输出电压误差</w:t>
      </w:r>
    </w:p>
    <w:p w14:paraId="6605C66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在恒压状态下，直流输出电压设定在规定的相应调节范围内，充电机的输出电压误差不应超过±0.5％。</w:t>
      </w:r>
    </w:p>
    <w:p w14:paraId="2936547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（9）限压、限流特性</w:t>
      </w:r>
    </w:p>
    <w:p w14:paraId="7BB49FF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充电机在恒流状态下运行时，当直流输出电压超过限压整定值时，应能立即进入恒压充电状态，自动限制其输出电压的增加。</w:t>
      </w:r>
    </w:p>
    <w:p w14:paraId="173C0F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充电机在恒压状态下运行时，当直流输出电流超过限流整定值时，应能立即进入限流充电状态，自动限制其输出电流的增加。</w:t>
      </w:r>
    </w:p>
    <w:p w14:paraId="33D8F5C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（10）输出响应要求</w:t>
      </w:r>
    </w:p>
    <w:p w14:paraId="6FBED99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充电阶段，车辆向充电机实时发送电池充电需求参数，充电机应最长在1s以内将充电电压和充电电流调整到与车辆发送的电池充电需求命令值相一致，充电机根据电池充电需求参数实时调整充电电压和充电电流。</w:t>
      </w:r>
    </w:p>
    <w:p w14:paraId="4BA6CE0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（11）输出电流停止速率</w:t>
      </w:r>
    </w:p>
    <w:p w14:paraId="7B1E29C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在充电状态下，当充电机达到正常充电结束条件或收到电池管理系统中止充电报文时，应能快速停止充电，输出电流的停止速率不应小于100A/s。</w:t>
      </w:r>
    </w:p>
    <w:p w14:paraId="344E4A1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（12）启动输出过冲</w:t>
      </w:r>
    </w:p>
    <w:p w14:paraId="42B4371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具备软启动功能，稳压工作开机启动过程中，输出电压过冲不应大于当前整定值的5%；稳流工作开机启动过程中，在设定的输出直流电流大于等于30A时，输出电流过冲不应大于当前整定值的5%；在设定的输出直流电流小于30A时，输出电流过冲不应大于1.5A。</w:t>
      </w:r>
    </w:p>
    <w:p w14:paraId="43BFB11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当充电机从暂停状态恢复充电状态时，应同样满足上述要求。</w:t>
      </w:r>
    </w:p>
    <w:p w14:paraId="39CF182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电容耦合</w:t>
      </w:r>
    </w:p>
    <w:p w14:paraId="6C360F0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直流输出正、负极与地之间的电容耦合由Y电容器和寄生电容产生，用于实现电磁兼容。为防止人员触电危险，对于额定输出电压不大于500V的充电机，其每个充电接口直流输出正、负极与地之间的总电容均不应大于0.4μF:对于额定输出电压大于500V的充电机，应满足下述条件之一:</w:t>
      </w:r>
    </w:p>
    <w:p w14:paraId="6B46621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a)充电机与电动汽车动力蓄电池连接在一起的直流正、负极与地之间的总电容在其最大工作电压时所存储的能量均不应大于0.2J；</w:t>
      </w:r>
    </w:p>
    <w:p w14:paraId="09B061A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b)充电机直流输出回路采用双重绝缘或加强绝缘措施。</w:t>
      </w:r>
    </w:p>
    <w:p w14:paraId="23BD5B2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待机功耗</w:t>
      </w:r>
    </w:p>
    <w:p w14:paraId="2F07F8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在额定输入电压下，充电机的休眠待机功耗不应大于N×5W。注:N表示充电接口数量。</w:t>
      </w:r>
    </w:p>
    <w:p w14:paraId="2FC916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输出电压、电流测量误差</w:t>
      </w:r>
    </w:p>
    <w:p w14:paraId="1ABBC6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充电机输出电压测量误差不应超过±5V，输出电流测量误差不应超过±(1.5%×实际输出电流+1)A，测量值更新时间不大于1s。</w:t>
      </w:r>
    </w:p>
    <w:p w14:paraId="573609B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充电机效率、输入功率因数</w:t>
      </w:r>
    </w:p>
    <w:p w14:paraId="7AD8117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在额定输入电压下，充电机效率、输入功率因数应符合下表的要求。</w:t>
      </w:r>
    </w:p>
    <w:p w14:paraId="21616F38">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充电机效率、输入功率因数</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1"/>
        <w:gridCol w:w="2079"/>
        <w:gridCol w:w="3073"/>
      </w:tblGrid>
      <w:tr w14:paraId="36A5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2" w:type="pct"/>
            <w:vAlign w:val="center"/>
          </w:tcPr>
          <w:p w14:paraId="6425520C">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实际输出功率PO /额定输出功率PN</w:t>
            </w:r>
          </w:p>
        </w:tc>
        <w:tc>
          <w:tcPr>
            <w:tcW w:w="1133" w:type="pct"/>
            <w:vAlign w:val="center"/>
          </w:tcPr>
          <w:p w14:paraId="426A37AA">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效率</w:t>
            </w:r>
          </w:p>
        </w:tc>
        <w:tc>
          <w:tcPr>
            <w:tcW w:w="1675" w:type="pct"/>
            <w:vAlign w:val="center"/>
          </w:tcPr>
          <w:p w14:paraId="7AC4C46E">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输入功率因数</w:t>
            </w:r>
          </w:p>
        </w:tc>
      </w:tr>
      <w:tr w14:paraId="3785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2" w:type="pct"/>
            <w:vAlign w:val="center"/>
          </w:tcPr>
          <w:p w14:paraId="01F32ABC">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20 %≤PO/PN ≤50 %</w:t>
            </w:r>
          </w:p>
        </w:tc>
        <w:tc>
          <w:tcPr>
            <w:tcW w:w="1133" w:type="pct"/>
            <w:vAlign w:val="center"/>
          </w:tcPr>
          <w:p w14:paraId="6BB8405C">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≥93 %</w:t>
            </w:r>
          </w:p>
        </w:tc>
        <w:tc>
          <w:tcPr>
            <w:tcW w:w="1675" w:type="pct"/>
            <w:vAlign w:val="center"/>
          </w:tcPr>
          <w:p w14:paraId="0F673C22">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≥0.99</w:t>
            </w:r>
          </w:p>
        </w:tc>
      </w:tr>
      <w:tr w14:paraId="674A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2" w:type="pct"/>
            <w:vAlign w:val="center"/>
          </w:tcPr>
          <w:p w14:paraId="1A1082EF">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50 %＜PO/PN ≤100 %</w:t>
            </w:r>
          </w:p>
        </w:tc>
        <w:tc>
          <w:tcPr>
            <w:tcW w:w="1133" w:type="pct"/>
            <w:vAlign w:val="center"/>
          </w:tcPr>
          <w:p w14:paraId="693D423D">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≥96 %</w:t>
            </w:r>
          </w:p>
        </w:tc>
        <w:tc>
          <w:tcPr>
            <w:tcW w:w="1675" w:type="pct"/>
            <w:vAlign w:val="center"/>
          </w:tcPr>
          <w:p w14:paraId="69234BDB">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≥0.99</w:t>
            </w:r>
          </w:p>
        </w:tc>
      </w:tr>
      <w:tr w14:paraId="7D70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01C3F284">
            <w:pPr>
              <w:pageBreakBefore w:val="0"/>
              <w:kinsoku/>
              <w:wordWrap/>
              <w:overflowPunct/>
              <w:bidi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注 1:输入功率因最要求仅适用于交济流供电充电机。</w:t>
            </w:r>
          </w:p>
          <w:p w14:paraId="107143A3">
            <w:pPr>
              <w:pageBreakBefore w:val="0"/>
              <w:kinsoku/>
              <w:wordWrap/>
              <w:overflowPunct/>
              <w:bidi w:val="0"/>
              <w:spacing w:line="360" w:lineRule="exact"/>
              <w:ind w:left="0" w:leftChars="0" w:firstLine="420" w:firstLineChars="200"/>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注 2:具备恒功率输出特性的充电机，效率测试点应至少涵盖充电机每个恒功率段的输出电压最大值、中间值、最小值三点。</w:t>
            </w:r>
          </w:p>
        </w:tc>
      </w:tr>
    </w:tbl>
    <w:p w14:paraId="2310491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充电模式和连接方式</w:t>
      </w:r>
    </w:p>
    <w:p w14:paraId="6556683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充电机应采用GB/T 20234.1-2015附录A中规定的充电模式4、连接方式C对电动汽车进行充电。车辆插头应符合GB/T 20234.1-2015和GBT20234.3-2015的规定。</w:t>
      </w:r>
    </w:p>
    <w:p w14:paraId="5ECF19A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控制导引电路</w:t>
      </w:r>
    </w:p>
    <w:p w14:paraId="4281F19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充电机的控制导引电路应符合GB/T 18487.1-2015中B1和B2的规定。</w:t>
      </w:r>
    </w:p>
    <w:p w14:paraId="3ACBA19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充电控制时序与流程</w:t>
      </w:r>
    </w:p>
    <w:p w14:paraId="4E1CB8A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充电机与电动汽车充电控制时序与流程，应符合GB/T 18487.1-2015中B.3、B.4、B.5、B.6的规定。</w:t>
      </w:r>
    </w:p>
    <w:p w14:paraId="16047E5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可靠性指标</w:t>
      </w:r>
    </w:p>
    <w:p w14:paraId="39496DD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充电机平均故障间隔时间（MTBF）应大于等于26280h。</w:t>
      </w:r>
    </w:p>
    <w:p w14:paraId="5429866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噪声</w:t>
      </w:r>
    </w:p>
    <w:p w14:paraId="5AACDE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正常试验条件下，交流输入为额定值，充电机在额定输出功率下且内部温度稳定后，在周围环境噪声不大于40dB的条件下，距离充电机水平位置1m处，终端噪声不大于40dB。</w:t>
      </w:r>
    </w:p>
    <w:p w14:paraId="024F5B3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高低温和湿热性能</w:t>
      </w:r>
    </w:p>
    <w:p w14:paraId="15AB84E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（1）低温性能</w:t>
      </w:r>
    </w:p>
    <w:p w14:paraId="4C08B4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按GB/T 2423.1-2008中试验Ad规定的方法进行试验，试验温度为规定的下限值，待达到试验温度后启动充电机，充电机应能正常工作。试验温度持续2小时后，测试充电机的稳流精度应符合规定。</w:t>
      </w:r>
    </w:p>
    <w:p w14:paraId="29463C8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（2）高温性能</w:t>
      </w:r>
    </w:p>
    <w:p w14:paraId="0A80332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按GB/T 2423.2-2008中试验Bd规定的方法进行试验，试验温度为规定的上限值，待达到试验温度后启动充电机，充电机应能正常工作。试验温度持续2小时后，测试充电机的稳流精度应符合规定。</w:t>
      </w:r>
    </w:p>
    <w:p w14:paraId="6DB31AD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（3）湿热性能</w:t>
      </w:r>
    </w:p>
    <w:p w14:paraId="1BA58DD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按GB/T 2423.4-2008中试验Db规定的方法进行试验，试验温度为（40±2）℃，循环次数为2次，在试验结束前2h进行绝缘电阻和介电强度检测，其中绝缘电阻不应小于1MΩ，介电强度按表2规定值的75％施加测量电压。试验结束后，恢复至正常大气条件，通电后检查充电机各项功能应正常。</w:t>
      </w:r>
    </w:p>
    <w:p w14:paraId="798C9FC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电磁兼容</w:t>
      </w:r>
    </w:p>
    <w:p w14:paraId="1E17006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（1）抗扰度要求</w:t>
      </w:r>
    </w:p>
    <w:p w14:paraId="6AEA7D5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静电放电抗扰度：充电机应能承受GB/T 17626.2-2006中第5章规定的试验等级为3级的静电放电抗扰度试验。</w:t>
      </w:r>
    </w:p>
    <w:p w14:paraId="5FDB760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射频电磁场辐射抗扰度：充电机应能承受GB/T 17626.3-2006中第5章规定的试验等级为3级的射频电磁场辐射抗扰度试验。</w:t>
      </w:r>
    </w:p>
    <w:p w14:paraId="7A16A40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电快速瞬变脉冲群抗扰度 ：充电机应能承受GB/T 17626.4-2008中第5章规定的试验等级为3级的电快速瞬变脉冲群抗扰度试验。</w:t>
      </w:r>
    </w:p>
    <w:p w14:paraId="31C0245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浪涌（冲击）抗扰度：充电机应能承受GB/T 17626.5-2008中第5章规定的试验等级为3级的浪涌（冲击）抗扰度试验。</w:t>
      </w:r>
    </w:p>
    <w:p w14:paraId="78AC9A6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电压暂降、短时中断抗扰度：充电机应能承受GB/T 17626.11-2008中第5章规定的电压试验等级在0%、40%、70%的额定工作电压的电压暂降、短时中断抗扰度试验。</w:t>
      </w:r>
    </w:p>
    <w:p w14:paraId="73DF401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（2）电磁发射限制要求</w:t>
      </w:r>
    </w:p>
    <w:p w14:paraId="4F9E8C8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传导和辐射发射限值要求：充电机的电源端口应符合表5规定的传导发射限值，外壳端口应符合下表规定的辐射发射限值。</w:t>
      </w:r>
    </w:p>
    <w:p w14:paraId="57DDBCBC">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传导发射限值</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2934"/>
        <w:gridCol w:w="2957"/>
      </w:tblGrid>
      <w:tr w14:paraId="29F9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vMerge w:val="restart"/>
            <w:vAlign w:val="center"/>
          </w:tcPr>
          <w:p w14:paraId="3280F31C">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频率范围（MHz）</w:t>
            </w:r>
          </w:p>
        </w:tc>
        <w:tc>
          <w:tcPr>
            <w:tcW w:w="5891" w:type="dxa"/>
            <w:gridSpan w:val="2"/>
            <w:vAlign w:val="center"/>
          </w:tcPr>
          <w:p w14:paraId="59095C91">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发射限值dB(μV)</w:t>
            </w:r>
          </w:p>
        </w:tc>
      </w:tr>
      <w:tr w14:paraId="4A1E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227" w:type="dxa"/>
            <w:vMerge w:val="continue"/>
            <w:vAlign w:val="center"/>
          </w:tcPr>
          <w:p w14:paraId="1186CD60">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p>
        </w:tc>
        <w:tc>
          <w:tcPr>
            <w:tcW w:w="2934" w:type="dxa"/>
            <w:vAlign w:val="center"/>
          </w:tcPr>
          <w:p w14:paraId="718F6F78">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准峰值</w:t>
            </w:r>
          </w:p>
        </w:tc>
        <w:tc>
          <w:tcPr>
            <w:tcW w:w="2957" w:type="dxa"/>
            <w:vAlign w:val="center"/>
          </w:tcPr>
          <w:p w14:paraId="607EA848">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平均值</w:t>
            </w:r>
          </w:p>
        </w:tc>
      </w:tr>
      <w:tr w14:paraId="48F0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227" w:type="dxa"/>
            <w:vAlign w:val="center"/>
          </w:tcPr>
          <w:p w14:paraId="7F664051">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0.15～0.5（不含0.5）</w:t>
            </w:r>
          </w:p>
        </w:tc>
        <w:tc>
          <w:tcPr>
            <w:tcW w:w="2934" w:type="dxa"/>
            <w:vAlign w:val="center"/>
          </w:tcPr>
          <w:p w14:paraId="7BF59283">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79</w:t>
            </w:r>
          </w:p>
        </w:tc>
        <w:tc>
          <w:tcPr>
            <w:tcW w:w="2957" w:type="dxa"/>
            <w:vAlign w:val="center"/>
          </w:tcPr>
          <w:p w14:paraId="6CEB01BB">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66</w:t>
            </w:r>
          </w:p>
        </w:tc>
      </w:tr>
      <w:tr w14:paraId="3DA6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3227" w:type="dxa"/>
            <w:vAlign w:val="center"/>
          </w:tcPr>
          <w:p w14:paraId="210B6797">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0.5～30</w:t>
            </w:r>
          </w:p>
        </w:tc>
        <w:tc>
          <w:tcPr>
            <w:tcW w:w="2934" w:type="dxa"/>
            <w:vAlign w:val="center"/>
          </w:tcPr>
          <w:p w14:paraId="0B708D23">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73</w:t>
            </w:r>
          </w:p>
        </w:tc>
        <w:tc>
          <w:tcPr>
            <w:tcW w:w="2957" w:type="dxa"/>
            <w:vAlign w:val="center"/>
          </w:tcPr>
          <w:p w14:paraId="4E1F7DD7">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60</w:t>
            </w:r>
          </w:p>
        </w:tc>
      </w:tr>
    </w:tbl>
    <w:p w14:paraId="232C32E3">
      <w:pPr>
        <w:pageBreakBefore w:val="0"/>
        <w:widowControl/>
        <w:kinsoku/>
        <w:wordWrap/>
        <w:overflowPunct/>
        <w:autoSpaceDE/>
        <w:autoSpaceDN/>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辐射发射限值</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5891"/>
      </w:tblGrid>
      <w:tr w14:paraId="1F25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3227" w:type="dxa"/>
            <w:vMerge w:val="restart"/>
            <w:vAlign w:val="center"/>
          </w:tcPr>
          <w:p w14:paraId="4D09192B">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频率范围（MHz）</w:t>
            </w:r>
          </w:p>
        </w:tc>
        <w:tc>
          <w:tcPr>
            <w:tcW w:w="5891" w:type="dxa"/>
            <w:vAlign w:val="center"/>
          </w:tcPr>
          <w:p w14:paraId="15AE0C6A">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在10 m测量距离处辐射发射限值dB(μV/m)</w:t>
            </w:r>
          </w:p>
        </w:tc>
      </w:tr>
      <w:tr w14:paraId="609C6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3227" w:type="dxa"/>
            <w:vMerge w:val="continue"/>
            <w:vAlign w:val="center"/>
          </w:tcPr>
          <w:p w14:paraId="0FCA8B8A">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p>
        </w:tc>
        <w:tc>
          <w:tcPr>
            <w:tcW w:w="5891" w:type="dxa"/>
            <w:vAlign w:val="center"/>
          </w:tcPr>
          <w:p w14:paraId="7DB940B9">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准峰值</w:t>
            </w:r>
          </w:p>
        </w:tc>
      </w:tr>
      <w:tr w14:paraId="0255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227" w:type="dxa"/>
            <w:vAlign w:val="center"/>
          </w:tcPr>
          <w:p w14:paraId="0F5A304F">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30～230</w:t>
            </w:r>
          </w:p>
        </w:tc>
        <w:tc>
          <w:tcPr>
            <w:tcW w:w="5891" w:type="dxa"/>
            <w:vAlign w:val="center"/>
          </w:tcPr>
          <w:p w14:paraId="52B41BFD">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40</w:t>
            </w:r>
          </w:p>
        </w:tc>
      </w:tr>
      <w:tr w14:paraId="4F9B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3227" w:type="dxa"/>
            <w:vAlign w:val="center"/>
          </w:tcPr>
          <w:p w14:paraId="61B548C7">
            <w:pPr>
              <w:pageBreakBefore w:val="0"/>
              <w:kinsoku/>
              <w:wordWrap/>
              <w:overflowPunct/>
              <w:bidi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230～1000（不含230）</w:t>
            </w:r>
          </w:p>
        </w:tc>
        <w:tc>
          <w:tcPr>
            <w:tcW w:w="5891" w:type="dxa"/>
            <w:vAlign w:val="center"/>
          </w:tcPr>
          <w:p w14:paraId="7D93C21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b w:val="0"/>
                <w:color w:val="auto"/>
                <w:kern w:val="2"/>
                <w:sz w:val="21"/>
                <w:szCs w:val="21"/>
                <w:highlight w:val="none"/>
                <w:lang w:val="en-US" w:eastAsia="zh-CN" w:bidi="ar-SA"/>
              </w:rPr>
            </w:pPr>
            <w:r>
              <w:rPr>
                <w:rFonts w:hint="eastAsia" w:ascii="仿宋" w:hAnsi="仿宋" w:eastAsia="仿宋" w:cs="仿宋"/>
                <w:b w:val="0"/>
                <w:color w:val="auto"/>
                <w:kern w:val="2"/>
                <w:sz w:val="21"/>
                <w:szCs w:val="21"/>
                <w:highlight w:val="none"/>
                <w:lang w:val="en-US" w:eastAsia="zh-CN" w:bidi="ar-SA"/>
              </w:rPr>
              <w:t>47</w:t>
            </w:r>
          </w:p>
        </w:tc>
      </w:tr>
    </w:tbl>
    <w:p w14:paraId="450EC42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谐波电流限值要求：当输出功率为额定功率的50%～100%时，充电机总谐波电流含有率不应大于5%。</w:t>
      </w:r>
    </w:p>
    <w:p w14:paraId="321D50A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充电机其它要求</w:t>
      </w:r>
    </w:p>
    <w:p w14:paraId="1BEA45F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充电机柜体（桩体）应外观线条流畅、整体紧凑、简洁时尚，与安装地点周边环境相协调。</w:t>
      </w:r>
    </w:p>
    <w:p w14:paraId="096B54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充电机柜体（桩体）应具备安装4G通信模块天线的位置，并确保壳体不对通信模块接收信号产生负面影响。</w:t>
      </w:r>
    </w:p>
    <w:p w14:paraId="6F9F1A0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充电机柜体（桩体）内部线束，应排布整齐、规整，标识清楚，捆扎牢固。</w:t>
      </w:r>
    </w:p>
    <w:p w14:paraId="6889826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充电机柜体（桩体）内元器件应模块化设计，布局合理，易耗易损元件方便更换。</w:t>
      </w:r>
    </w:p>
    <w:p w14:paraId="49C4C2A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充电机柜体（桩体）安装于户外时，应便于特殊天气条件下的日常维护。</w:t>
      </w:r>
    </w:p>
    <w:p w14:paraId="0361647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充电机风道采用三级过滤（从内到外：过滤棉、纱网、钢丝滤网）设计，有效防尘、高效防水，实现低噪音高效率散热。</w:t>
      </w:r>
    </w:p>
    <w:p w14:paraId="702D9AD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充电机和终端（桩）外壳应采用抗冲击力强、抗老化的非金属高强度复合材料。</w:t>
      </w:r>
    </w:p>
    <w:p w14:paraId="09E1D2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充电机柜体（桩体）采用表面涂覆色泽层应均匀光洁，不起泡、不龟裂、不脱落、无腐蚀。</w:t>
      </w:r>
    </w:p>
    <w:p w14:paraId="20BD6B1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非绝缘材料外壳应可靠接地，结构上应防止操作人员触及带电部件。</w:t>
      </w:r>
    </w:p>
    <w:p w14:paraId="140AEA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充电机数据通信接线应采用屏蔽线保护，屏蔽层应在桩体内可靠接地。</w:t>
      </w:r>
    </w:p>
    <w:p w14:paraId="428E994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b w:val="0"/>
          <w:color w:val="auto"/>
          <w:kern w:val="2"/>
          <w:sz w:val="24"/>
          <w:szCs w:val="24"/>
          <w:highlight w:val="none"/>
          <w:lang w:val="en-US" w:eastAsia="zh-CN" w:bidi="ar-SA"/>
        </w:rPr>
        <w:t>充电机柜体（桩体）在开门处应设置安全警示标识。</w:t>
      </w:r>
    </w:p>
    <w:p w14:paraId="1796496C">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直流充放电终端</w:t>
      </w:r>
    </w:p>
    <w:p w14:paraId="497744A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直流充</w:t>
      </w:r>
      <w:r>
        <w:rPr>
          <w:rFonts w:hint="eastAsia" w:ascii="仿宋" w:hAnsi="仿宋" w:eastAsia="仿宋" w:cs="仿宋"/>
          <w:color w:val="auto"/>
          <w:sz w:val="24"/>
          <w:szCs w:val="24"/>
          <w:highlight w:val="none"/>
          <w:lang w:val="en-US" w:eastAsia="zh-CN"/>
        </w:rPr>
        <w:t>放</w:t>
      </w:r>
      <w:r>
        <w:rPr>
          <w:rFonts w:hint="eastAsia" w:ascii="仿宋" w:hAnsi="仿宋" w:eastAsia="仿宋" w:cs="仿宋"/>
          <w:color w:val="auto"/>
          <w:sz w:val="24"/>
          <w:szCs w:val="24"/>
          <w:highlight w:val="none"/>
        </w:rPr>
        <w:t>电终端挂有充电连接装置，枪线长度不小于4米，额定载流量250A。</w:t>
      </w:r>
      <w:r>
        <w:rPr>
          <w:rFonts w:hint="eastAsia" w:ascii="仿宋" w:hAnsi="仿宋" w:eastAsia="仿宋" w:cs="仿宋"/>
          <w:color w:val="auto"/>
          <w:sz w:val="24"/>
          <w:szCs w:val="24"/>
          <w:highlight w:val="none"/>
          <w:lang w:val="en-US" w:eastAsia="zh-CN"/>
        </w:rPr>
        <w:t>具体要求如下：</w:t>
      </w:r>
    </w:p>
    <w:tbl>
      <w:tblPr>
        <w:tblStyle w:val="64"/>
        <w:tblW w:w="4902" w:type="pct"/>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811"/>
        <w:gridCol w:w="6079"/>
      </w:tblGrid>
      <w:tr w14:paraId="6B0F0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57EC7685">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指标小类</w:t>
            </w:r>
          </w:p>
        </w:tc>
        <w:tc>
          <w:tcPr>
            <w:tcW w:w="3418" w:type="pct"/>
          </w:tcPr>
          <w:p w14:paraId="5FA7A7BA">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直流充电桩（终端）</w:t>
            </w:r>
          </w:p>
        </w:tc>
      </w:tr>
      <w:tr w14:paraId="1C73F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087980C7">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最大电流</w:t>
            </w:r>
          </w:p>
        </w:tc>
        <w:tc>
          <w:tcPr>
            <w:tcW w:w="3418" w:type="pct"/>
            <w:vAlign w:val="center"/>
          </w:tcPr>
          <w:p w14:paraId="4B376967">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250A</w:t>
            </w:r>
          </w:p>
        </w:tc>
      </w:tr>
      <w:tr w14:paraId="0D057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6B4C37D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枪线长度</w:t>
            </w:r>
          </w:p>
        </w:tc>
        <w:tc>
          <w:tcPr>
            <w:tcW w:w="3418" w:type="pct"/>
            <w:vAlign w:val="center"/>
          </w:tcPr>
          <w:p w14:paraId="26A40A9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bidi="ar"/>
              </w:rPr>
              <w:t>外露4米</w:t>
            </w:r>
            <w:r>
              <w:rPr>
                <w:rFonts w:hint="eastAsia" w:ascii="仿宋" w:hAnsi="仿宋" w:eastAsia="仿宋" w:cs="仿宋"/>
                <w:color w:val="auto"/>
                <w:szCs w:val="21"/>
                <w:highlight w:val="none"/>
                <w:lang w:val="en-US" w:eastAsia="zh-CN" w:bidi="ar"/>
              </w:rPr>
              <w:t>/6米</w:t>
            </w:r>
          </w:p>
        </w:tc>
      </w:tr>
      <w:tr w14:paraId="27E48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65337425">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环境温度</w:t>
            </w:r>
          </w:p>
        </w:tc>
        <w:tc>
          <w:tcPr>
            <w:tcW w:w="3418" w:type="pct"/>
            <w:vAlign w:val="center"/>
          </w:tcPr>
          <w:p w14:paraId="72297DE7">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-20℃～50℃</w:t>
            </w:r>
          </w:p>
        </w:tc>
      </w:tr>
      <w:tr w14:paraId="4EDF8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1DE996DA">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相对湿度</w:t>
            </w:r>
          </w:p>
        </w:tc>
        <w:tc>
          <w:tcPr>
            <w:tcW w:w="3418" w:type="pct"/>
            <w:vAlign w:val="center"/>
          </w:tcPr>
          <w:p w14:paraId="030832F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5%~95%</w:t>
            </w:r>
          </w:p>
        </w:tc>
      </w:tr>
      <w:tr w14:paraId="7CBE6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660B3AE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海拔高度</w:t>
            </w:r>
          </w:p>
        </w:tc>
        <w:tc>
          <w:tcPr>
            <w:tcW w:w="3418" w:type="pct"/>
            <w:vAlign w:val="center"/>
          </w:tcPr>
          <w:p w14:paraId="0FAE712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低于2000m</w:t>
            </w:r>
          </w:p>
        </w:tc>
      </w:tr>
      <w:tr w14:paraId="6A1B1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7FC03AE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大气压强</w:t>
            </w:r>
          </w:p>
        </w:tc>
        <w:tc>
          <w:tcPr>
            <w:tcW w:w="3418" w:type="pct"/>
            <w:vAlign w:val="center"/>
          </w:tcPr>
          <w:p w14:paraId="347236C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80kPa~101kPa</w:t>
            </w:r>
          </w:p>
        </w:tc>
      </w:tr>
      <w:tr w14:paraId="70C4A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1E342021">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三防（防潮湿，防霉变，防盐雾）保护</w:t>
            </w:r>
          </w:p>
        </w:tc>
        <w:tc>
          <w:tcPr>
            <w:tcW w:w="3418" w:type="pct"/>
            <w:vAlign w:val="center"/>
          </w:tcPr>
          <w:p w14:paraId="7B824B2E">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设备内印刷线路板、接插件等电路进行防潮湿、防霉变、防盐雾处理</w:t>
            </w:r>
          </w:p>
        </w:tc>
      </w:tr>
      <w:tr w14:paraId="4E190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tcPr>
          <w:p w14:paraId="2915BC56">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绝缘电阻</w:t>
            </w:r>
          </w:p>
        </w:tc>
        <w:tc>
          <w:tcPr>
            <w:tcW w:w="3418" w:type="pct"/>
          </w:tcPr>
          <w:p w14:paraId="5F7D4F30">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&gt;10 MΩ</w:t>
            </w:r>
          </w:p>
        </w:tc>
      </w:tr>
      <w:tr w14:paraId="71960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11E522D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安装方式</w:t>
            </w:r>
          </w:p>
        </w:tc>
        <w:tc>
          <w:tcPr>
            <w:tcW w:w="3418" w:type="pct"/>
            <w:vAlign w:val="center"/>
          </w:tcPr>
          <w:p w14:paraId="184C5FD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bidi="ar"/>
              </w:rPr>
              <w:t>落地式</w:t>
            </w:r>
          </w:p>
        </w:tc>
      </w:tr>
      <w:tr w14:paraId="38D25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c>
          <w:tcPr>
            <w:tcW w:w="1581" w:type="pct"/>
            <w:tcMar>
              <w:top w:w="15" w:type="dxa"/>
              <w:left w:w="108" w:type="dxa"/>
              <w:right w:w="108" w:type="dxa"/>
            </w:tcMar>
            <w:vAlign w:val="center"/>
          </w:tcPr>
          <w:p w14:paraId="6932B66A">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lang w:bidi="ar"/>
              </w:rPr>
            </w:pPr>
            <w:r>
              <w:rPr>
                <w:rFonts w:hint="eastAsia" w:ascii="仿宋" w:hAnsi="仿宋" w:eastAsia="仿宋" w:cs="仿宋"/>
                <w:color w:val="auto"/>
                <w:szCs w:val="21"/>
                <w:highlight w:val="none"/>
                <w:lang w:bidi="ar"/>
              </w:rPr>
              <w:t>显示方式</w:t>
            </w:r>
          </w:p>
        </w:tc>
        <w:tc>
          <w:tcPr>
            <w:tcW w:w="3418" w:type="pct"/>
            <w:vAlign w:val="center"/>
          </w:tcPr>
          <w:p w14:paraId="32DAE5B1">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szCs w:val="21"/>
                <w:highlight w:val="none"/>
                <w:lang w:bidi="ar"/>
              </w:rPr>
            </w:pPr>
            <w:r>
              <w:rPr>
                <w:rFonts w:hint="eastAsia" w:ascii="仿宋" w:hAnsi="仿宋" w:eastAsia="仿宋" w:cs="仿宋"/>
                <w:color w:val="auto"/>
                <w:szCs w:val="21"/>
                <w:highlight w:val="none"/>
                <w:lang w:bidi="ar"/>
              </w:rPr>
              <w:t>/</w:t>
            </w:r>
          </w:p>
        </w:tc>
      </w:tr>
    </w:tbl>
    <w:p w14:paraId="466EA15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液冷直流充电终端技术要求</w:t>
      </w:r>
    </w:p>
    <w:tbl>
      <w:tblPr>
        <w:tblStyle w:val="64"/>
        <w:tblW w:w="911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0" w:type="dxa"/>
          <w:bottom w:w="0" w:type="dxa"/>
          <w:right w:w="0" w:type="dxa"/>
        </w:tblCellMar>
      </w:tblPr>
      <w:tblGrid>
        <w:gridCol w:w="2647"/>
        <w:gridCol w:w="3450"/>
        <w:gridCol w:w="3019"/>
      </w:tblGrid>
      <w:tr w14:paraId="2350E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6E7A8005">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指标小类</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top"/>
          </w:tcPr>
          <w:p w14:paraId="57479432">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液冷直流充电桩（终端）</w:t>
            </w:r>
          </w:p>
          <w:p w14:paraId="2207AA73">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Ⅰ</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top"/>
          </w:tcPr>
          <w:p w14:paraId="6D64088B">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液冷直流充电桩（终端）</w:t>
            </w:r>
          </w:p>
          <w:p w14:paraId="3717042C">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Ⅱ</w:t>
            </w:r>
          </w:p>
        </w:tc>
      </w:tr>
      <w:tr w14:paraId="4A633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26A8C7D9">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环境温度</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8210788">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-40℃～50℃</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1E54BC">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-40℃～50℃</w:t>
            </w:r>
          </w:p>
        </w:tc>
      </w:tr>
      <w:tr w14:paraId="65602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0E38C5DF">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相对湿度</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A7BCA8A">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5%~95%</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1947455">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5%~95%</w:t>
            </w:r>
          </w:p>
        </w:tc>
      </w:tr>
      <w:tr w14:paraId="48CDD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01584010">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海拔高度</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C92CE2">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低于2000m</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233977">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低于2000m</w:t>
            </w:r>
          </w:p>
        </w:tc>
      </w:tr>
      <w:tr w14:paraId="781365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1CB5F0F3">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大气压强</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85E59A5">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80kPa~101kPa</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AA5085">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80kPa~101kPa</w:t>
            </w:r>
          </w:p>
        </w:tc>
      </w:tr>
      <w:tr w14:paraId="0DC8D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62A50ECF">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辅助电源</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2FB3B3A">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12V</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top"/>
          </w:tcPr>
          <w:p w14:paraId="7051C6C6">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12V</w:t>
            </w:r>
          </w:p>
        </w:tc>
      </w:tr>
      <w:tr w14:paraId="725B1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19624052">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最大电流</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D85F2C">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400A</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top"/>
          </w:tcPr>
          <w:p w14:paraId="33D95C9D">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600A</w:t>
            </w:r>
          </w:p>
        </w:tc>
      </w:tr>
      <w:tr w14:paraId="5894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4057016B">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枪线长度</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87F7EDC">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外露3米</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8606B3">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外露3米</w:t>
            </w:r>
          </w:p>
        </w:tc>
      </w:tr>
      <w:tr w14:paraId="179F4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0278C768">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额定输入电压</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4CF969">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50-1000VDC</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A63530">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50-1000VDC</w:t>
            </w:r>
          </w:p>
        </w:tc>
      </w:tr>
      <w:tr w14:paraId="11568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6D511DB4">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防护等级</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30204F">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IP55</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A081D6A">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IP55</w:t>
            </w:r>
          </w:p>
        </w:tc>
      </w:tr>
      <w:tr w14:paraId="1049F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top"/>
          </w:tcPr>
          <w:p w14:paraId="72DFD0F8">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绝缘电阻</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top"/>
          </w:tcPr>
          <w:p w14:paraId="710AB9A4">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&gt;10MΩ</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top"/>
          </w:tcPr>
          <w:p w14:paraId="1A1C0E59">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&gt;10MΩ</w:t>
            </w:r>
          </w:p>
        </w:tc>
      </w:tr>
      <w:tr w14:paraId="776A2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347ABECF">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安装方式</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3FF945A">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落地式</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1F5CE1">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落地式</w:t>
            </w:r>
          </w:p>
        </w:tc>
      </w:tr>
      <w:tr w14:paraId="1EB8B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54E12B98">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冷却方式</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2A45947">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液冷枪线、循环流动导热</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4680CD">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液冷枪线、循环流动导热</w:t>
            </w:r>
          </w:p>
        </w:tc>
      </w:tr>
      <w:tr w14:paraId="4BA5B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27660F97">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枪线线径</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BEE51BA">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≤24mm</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F25154">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≤28mm</w:t>
            </w:r>
          </w:p>
        </w:tc>
      </w:tr>
      <w:tr w14:paraId="54456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12031FBB">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尺寸</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D0B9C1C">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不超过W*D*H=400mm*400mm*1600mm</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1C2773">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不超过W*D*H=400mm*400mm*1600mm</w:t>
            </w:r>
          </w:p>
        </w:tc>
      </w:tr>
      <w:tr w14:paraId="34BDB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2647" w:type="dxa"/>
            <w:tcBorders>
              <w:top w:val="single" w:color="000000" w:sz="2" w:space="0"/>
              <w:left w:val="single" w:color="000000" w:sz="2" w:space="0"/>
              <w:bottom w:val="single" w:color="000000" w:sz="2" w:space="0"/>
              <w:right w:val="single" w:color="000000" w:sz="2" w:space="0"/>
            </w:tcBorders>
            <w:shd w:val="clear" w:color="auto" w:fill="auto"/>
            <w:tcMar>
              <w:top w:w="15" w:type="dxa"/>
              <w:left w:w="108" w:type="dxa"/>
              <w:right w:w="108" w:type="dxa"/>
            </w:tcMar>
            <w:vAlign w:val="center"/>
          </w:tcPr>
          <w:p w14:paraId="3C2A671C">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显示方式</w:t>
            </w:r>
          </w:p>
        </w:tc>
        <w:tc>
          <w:tcPr>
            <w:tcW w:w="34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1AC509">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w:t>
            </w:r>
          </w:p>
        </w:tc>
        <w:tc>
          <w:tcPr>
            <w:tcW w:w="3019"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4ADCE1">
            <w:pPr>
              <w:keepNext w:val="0"/>
              <w:keepLines w:val="0"/>
              <w:pageBreakBefore w:val="0"/>
              <w:widowControl w:val="0"/>
              <w:suppressLineNumbers w:val="0"/>
              <w:kinsoku/>
              <w:wordWrap/>
              <w:overflowPunct/>
              <w:bidi w:val="0"/>
              <w:adjustRightInd w:val="0"/>
              <w:snapToGrid w:val="0"/>
              <w:spacing w:beforeAutospacing="0" w:afterAutospacing="0" w:line="360" w:lineRule="exact"/>
              <w:ind w:left="0" w:leftChars="0" w:right="0" w:firstLine="420" w:firstLineChars="200"/>
              <w:jc w:val="center"/>
              <w:rPr>
                <w:rFonts w:hint="eastAsia" w:ascii="仿宋" w:hAnsi="仿宋" w:eastAsia="仿宋" w:cs="仿宋"/>
                <w:color w:val="auto"/>
                <w:kern w:val="2"/>
                <w:sz w:val="21"/>
                <w:szCs w:val="21"/>
                <w:highlight w:val="none"/>
              </w:rPr>
            </w:pPr>
            <w:r>
              <w:rPr>
                <w:rFonts w:hint="eastAsia" w:ascii="仿宋" w:hAnsi="仿宋" w:eastAsia="仿宋" w:cs="仿宋"/>
                <w:color w:val="auto"/>
                <w:kern w:val="2"/>
                <w:sz w:val="21"/>
                <w:szCs w:val="21"/>
                <w:highlight w:val="none"/>
                <w:lang w:val="en-US" w:eastAsia="zh-CN" w:bidi="ar"/>
              </w:rPr>
              <w:t>/</w:t>
            </w:r>
          </w:p>
        </w:tc>
      </w:tr>
    </w:tbl>
    <w:p w14:paraId="0F21095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▲充电机配套直流充放电终端（桩）具备防腐蚀保护，满足一级保护功能。</w:t>
      </w:r>
      <w:r>
        <w:rPr>
          <w:rFonts w:hint="eastAsia" w:ascii="仿宋" w:hAnsi="仿宋" w:eastAsia="仿宋" w:cs="仿宋"/>
          <w:b w:val="0"/>
          <w:color w:val="auto"/>
          <w:kern w:val="2"/>
          <w:sz w:val="21"/>
          <w:szCs w:val="21"/>
          <w:highlight w:val="none"/>
          <w:lang w:val="en-US" w:eastAsia="zh-CN" w:bidi="ar-SA"/>
        </w:rPr>
        <w:t>提供480kW或以上分体式直流充电机检测报告（具有CMA和CNAS）。</w:t>
      </w:r>
    </w:p>
    <w:p w14:paraId="64466ECE">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分体式直流充放电机</w:t>
      </w:r>
    </w:p>
    <w:p w14:paraId="7EBBB9A0">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bookmarkStart w:id="43" w:name="_Toc411176409"/>
      <w:bookmarkStart w:id="44" w:name="_Toc387646173"/>
      <w:bookmarkStart w:id="45" w:name="_Toc428997271"/>
      <w:r>
        <w:rPr>
          <w:rFonts w:hint="eastAsia" w:ascii="仿宋" w:hAnsi="仿宋" w:eastAsia="仿宋" w:cs="仿宋"/>
          <w:color w:val="auto"/>
          <w:highlight w:val="none"/>
        </w:rPr>
        <w:t>技术参数</w:t>
      </w:r>
      <w:bookmarkEnd w:id="43"/>
      <w:bookmarkEnd w:id="44"/>
      <w:bookmarkEnd w:id="45"/>
    </w:p>
    <w:p w14:paraId="61E25E7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环境条件</w:t>
      </w:r>
    </w:p>
    <w:p w14:paraId="79C5E0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环境温度：-20℃～50℃；</w:t>
      </w:r>
    </w:p>
    <w:p w14:paraId="3D75132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相对湿度：5％～95％；</w:t>
      </w:r>
    </w:p>
    <w:p w14:paraId="01DC4E8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海拔高度：≤2000m；</w:t>
      </w:r>
    </w:p>
    <w:p w14:paraId="06A84AF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大气压强：80kPa～110kPa；</w:t>
      </w:r>
    </w:p>
    <w:p w14:paraId="1295070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电源条件</w:t>
      </w:r>
    </w:p>
    <w:p w14:paraId="04D4181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交流输入电压：380V±15％；</w:t>
      </w:r>
    </w:p>
    <w:p w14:paraId="543ECCE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交流电源频率：50Hz±1Hz。</w:t>
      </w:r>
    </w:p>
    <w:p w14:paraId="7EDBFD4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输出电压</w:t>
      </w:r>
    </w:p>
    <w:p w14:paraId="646970D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直流输出电压：50V-950V连续且不分段；</w:t>
      </w:r>
    </w:p>
    <w:p w14:paraId="565B5BC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恒功率输出范围：300V-950V连续且不分段；</w:t>
      </w:r>
    </w:p>
    <w:p w14:paraId="20CBC3A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单模块颗粒度≥20kW</w:t>
      </w:r>
    </w:p>
    <w:p w14:paraId="5928801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bookmarkStart w:id="46" w:name="_Toc411176426"/>
      <w:bookmarkStart w:id="47" w:name="_Toc428997288"/>
      <w:bookmarkStart w:id="48" w:name="_Toc387646190"/>
      <w:bookmarkStart w:id="49" w:name="_Toc352274280"/>
      <w:r>
        <w:rPr>
          <w:rFonts w:hint="eastAsia" w:ascii="仿宋" w:hAnsi="仿宋" w:eastAsia="仿宋" w:cs="仿宋"/>
          <w:color w:val="auto"/>
          <w:sz w:val="24"/>
          <w:szCs w:val="24"/>
          <w:highlight w:val="none"/>
          <w:lang w:val="en-US" w:eastAsia="zh-CN"/>
        </w:rPr>
        <w:t>（4）低压辅助电源</w:t>
      </w:r>
    </w:p>
    <w:p w14:paraId="797209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充放电机应能为电动汽车提供低压辅助电源，且具备过负荷、过压、过温保护功能。</w:t>
      </w:r>
    </w:p>
    <w:p w14:paraId="1711C18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辅助电源额定电压：12V；</w:t>
      </w:r>
    </w:p>
    <w:p w14:paraId="27C442F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纹波峰值系数：不超过±1%。</w:t>
      </w:r>
    </w:p>
    <w:p w14:paraId="21A7E4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（5）基本构成</w:t>
      </w:r>
    </w:p>
    <w:p w14:paraId="650B5F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bookmarkStart w:id="50" w:name="_Hlk35935998"/>
      <w:r>
        <w:rPr>
          <w:rFonts w:hint="eastAsia" w:ascii="仿宋" w:hAnsi="仿宋" w:eastAsia="仿宋" w:cs="仿宋"/>
          <w:color w:val="auto"/>
          <w:sz w:val="24"/>
          <w:szCs w:val="24"/>
          <w:highlight w:val="none"/>
          <w:lang w:val="en-US" w:eastAsia="zh-CN"/>
        </w:rPr>
        <w:t>分体式直流充放电机基本构成包括：动力电源输入单元、功率变换单元、充电控制单元、输出开关单元、计量单元、充电接口、人机交互等。</w:t>
      </w:r>
    </w:p>
    <w:bookmarkEnd w:id="50"/>
    <w:p w14:paraId="1E0BB19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体式直流充放电机由一台主机电源柜和多台直流充放电终端组成，多台直流充放电终端可同时输出电流，主机电源柜主要包括交流进线部分和充电功率模块，电源柜和终端之间通过线缆连接组成一套完整的充电系统。</w:t>
      </w:r>
    </w:p>
    <w:p w14:paraId="48A5084D">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功能要求</w:t>
      </w:r>
    </w:p>
    <w:p w14:paraId="1715E0F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（1）充/放电设定方式</w:t>
      </w:r>
    </w:p>
    <w:p w14:paraId="4539BEC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在充/放电过程中，充放电机依据电动汽车电池管理系统提供的数据动态调整充/放电参数，执行相应动作，完成充/放电过程。</w:t>
      </w:r>
    </w:p>
    <w:p w14:paraId="11BD1ED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（2）充电模式和连接方式</w:t>
      </w:r>
    </w:p>
    <w:p w14:paraId="32A1DC7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充放电机采用GB/T18487.1-2015附录B中规定的充电模式4和连接方式C对电动汽车进行充电。充电接口应满足GB/T20234.1-2015和GB/T20234.3-2015的规定。</w:t>
      </w:r>
    </w:p>
    <w:p w14:paraId="6F7E144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（3）控制导引和充电控制</w:t>
      </w:r>
    </w:p>
    <w:p w14:paraId="7E7AC0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充放电机应具备控制导引功能。控制导引电路及控制原理应满足GB/T18487.1-2015附录B中的规定。</w:t>
      </w:r>
    </w:p>
    <w:p w14:paraId="2C2A79D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（4）与电池管理系统通信功能</w:t>
      </w:r>
    </w:p>
    <w:p w14:paraId="3D070DE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充放电机应具有与电池管理系统通信的CAN接口，获得电池管理系统的充电参数和充电实时数据。通信协议应能满足GB/T 27930-2015的规定。</w:t>
      </w:r>
    </w:p>
    <w:p w14:paraId="3B599FE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bookmarkStart w:id="51" w:name="_Hlk35936202"/>
      <w:r>
        <w:rPr>
          <w:rFonts w:hint="eastAsia" w:ascii="仿宋" w:hAnsi="仿宋" w:eastAsia="仿宋" w:cs="仿宋"/>
          <w:color w:val="auto"/>
          <w:sz w:val="24"/>
          <w:szCs w:val="24"/>
          <w:highlight w:val="none"/>
          <w:lang w:val="en-US" w:eastAsia="zh-CN"/>
        </w:rPr>
        <w:t>（5）功率自动分配功能</w:t>
      </w:r>
    </w:p>
    <w:p w14:paraId="03F85A3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bookmarkStart w:id="52" w:name="_Hlk35936140"/>
      <w:r>
        <w:rPr>
          <w:rFonts w:hint="eastAsia" w:ascii="仿宋" w:hAnsi="仿宋" w:eastAsia="仿宋" w:cs="仿宋"/>
          <w:color w:val="auto"/>
          <w:sz w:val="24"/>
          <w:szCs w:val="24"/>
          <w:highlight w:val="none"/>
          <w:lang w:val="en-US" w:eastAsia="zh-CN"/>
        </w:rPr>
        <w:t>充放电机应具备动态功率分配功能。在充电过程中，充放电机根据用户充电请求、电池充电需求、当前功率变换单元负荷状态、上级监控管理系统调控指令。</w:t>
      </w:r>
    </w:p>
    <w:bookmarkEnd w:id="52"/>
    <w:p w14:paraId="0107FF9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▲（6）放电控制</w:t>
      </w:r>
    </w:p>
    <w:bookmarkEnd w:id="51"/>
    <w:p w14:paraId="6AD0CC0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能根据电动汽车和上级监控管理系统的控制指令，动态调整放电运行参数，执行相应操作，将电动汽车动力蓄电池能量反馈给电网（或负荷）。提供240kW分体式充放电机检测报告（报告封面带有CMA和CNAS标识）。</w:t>
      </w:r>
    </w:p>
    <w:p w14:paraId="481C8E1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▲（7）充放电转换</w:t>
      </w:r>
    </w:p>
    <w:p w14:paraId="23A6AE0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充放电机具备按照设定的充放电转换条件或上级监控管理系统控制指令进行充电到放电或放电到充电的状态转换功能。提供240kW分体式充放电机检测报告（报告封面带有CMA和CNAS标识）。</w:t>
      </w:r>
    </w:p>
    <w:p w14:paraId="007011F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（8）集中管控功能</w:t>
      </w:r>
    </w:p>
    <w:p w14:paraId="40F6422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充放电机支持区域组网实现集群控制和管理功能，根据用电负荷需求和配电能力，进行动态负荷调度或设定固定负荷上限，实时调控充电终端功率输出，满足充电需求。</w:t>
      </w:r>
    </w:p>
    <w:p w14:paraId="326B911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（9）人机交互功能</w:t>
      </w:r>
    </w:p>
    <w:p w14:paraId="76F111E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充放电终端应具备状态指示功能，通过LED状态灯的颜色变换展示不同充电状态，颜色不限于绿色、蓝色、红色等，状态不限于空闲、插枪、充电中、故障、急停未复位等。</w:t>
      </w:r>
    </w:p>
    <w:p w14:paraId="37BD6C7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（10）防逆流功能</w:t>
      </w:r>
    </w:p>
    <w:p w14:paraId="753F4EC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充放电机具备防逆流功能，功能投入时可监测并网点状态，动态调整设备放电功率，防止功率返送至电网。</w:t>
      </w:r>
    </w:p>
    <w:p w14:paraId="659E459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（11）主动防护功能</w:t>
      </w:r>
    </w:p>
    <w:p w14:paraId="7F4E949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充放电机具备主动监测电动汽车BMS运行状态、电池特性参数及充放电机自身运行状态等功能，须采用安全冗余设计，主动诊断并处理故障和异常，实现电动汽车充电过程的主动防护。</w:t>
      </w:r>
    </w:p>
    <w:p w14:paraId="0AFC9C0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（12）通信功能</w:t>
      </w:r>
    </w:p>
    <w:p w14:paraId="30439B8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置4G通讯模块，采用4G通讯流量卡连接网络，手机APP、PAD、PC登陆云平台进行充电状态的监控、查询及控制功能。受后台通讯频次与数据要求，配置流量卡具备每月不低于500M流量/终端，每个车位可单独计量、计费、通信，流量卡由投标人提供，自行计入成本，通讯运营商的选择根据充电站所在位置选择网络较好的运营商，由招标人在下单时提供。</w:t>
      </w:r>
    </w:p>
    <w:p w14:paraId="1C2BC76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（13）远程升级</w:t>
      </w:r>
    </w:p>
    <w:p w14:paraId="1B99581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配置4G通讯模块，可通过监控运维平台控制充放电机烧写程序，实现远程一键升级，远程更新所有通信协议，以及新国标更新等带来的控制模式升级。</w:t>
      </w:r>
    </w:p>
    <w:p w14:paraId="5D50025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（14）远程断电</w:t>
      </w:r>
    </w:p>
    <w:p w14:paraId="75F1A5B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配置4G通讯模块，面对应急突发事件，可通过调度室的远程监控运维平台，远程操作断电。</w:t>
      </w:r>
    </w:p>
    <w:p w14:paraId="3AD662B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（15）防孤岛保护</w:t>
      </w:r>
    </w:p>
    <w:p w14:paraId="2209270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充放电机具备快速检测孤岛且立即断开与电网连接的能力，防孤岛保护动作时间不大于2s</w:t>
      </w:r>
    </w:p>
    <w:p w14:paraId="4F1268B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耐气候环境要求</w:t>
      </w:r>
    </w:p>
    <w:p w14:paraId="5782742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（1）防护等级</w:t>
      </w:r>
    </w:p>
    <w:p w14:paraId="61643F9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充放电机防护等级不应低于GB 4208中IP32（室内）或IP54（室外）的规定。</w:t>
      </w:r>
    </w:p>
    <w:p w14:paraId="0B4A4E3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（2）三防（防潮湿，防霉变，防盐雾）保护</w:t>
      </w:r>
    </w:p>
    <w:p w14:paraId="605BBD1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充放电机内印刷线路板、接插件等电路应具有防潮湿、防霉变、防盐雾处理，保证充电桩在潮湿、盐雾环境下正常运行。</w:t>
      </w:r>
    </w:p>
    <w:p w14:paraId="6AC460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（3）防锈（防氧化）保护</w:t>
      </w:r>
    </w:p>
    <w:p w14:paraId="50D70E7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充放电机铁质外壳和暴露的铁质支架、零件应采用双层防锈措施，非铁质的金属外壳也应具有防氧化保护膜或防氧化处理。</w:t>
      </w:r>
    </w:p>
    <w:p w14:paraId="4CBA0FA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防护要求</w:t>
      </w:r>
    </w:p>
    <w:p w14:paraId="482133F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（1）允许温度</w:t>
      </w:r>
    </w:p>
    <w:p w14:paraId="0DCCD23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在40℃环境温度下，充放电机可用手接触部分允许的最高温度应为：</w:t>
      </w:r>
    </w:p>
    <w:p w14:paraId="3EC21E0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——金属部分，50℃；</w:t>
      </w:r>
    </w:p>
    <w:p w14:paraId="0C5F57E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——非金属部分，60℃。</w:t>
      </w:r>
    </w:p>
    <w:p w14:paraId="4348BE0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可以用手接触但不必紧握的部分，在同样条件下允许的最高温度应为：</w:t>
      </w:r>
    </w:p>
    <w:p w14:paraId="48DB7B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——金属部分，60℃；</w:t>
      </w:r>
    </w:p>
    <w:p w14:paraId="383301F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——非金属部分，85℃。</w:t>
      </w:r>
    </w:p>
    <w:p w14:paraId="0393332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（2）电击防护要求</w:t>
      </w:r>
    </w:p>
    <w:p w14:paraId="778FEA5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充放电机的电击防护应符合GB/T 18487.1-2015中第7章的要求。</w:t>
      </w:r>
    </w:p>
    <w:p w14:paraId="73B33A5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（3）电气间隙和爬电距离</w:t>
      </w:r>
    </w:p>
    <w:p w14:paraId="32B3D22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充放电机的电气间隙和爬电距离应符合GB/T 18487.1-2015中10.4节的规定。</w:t>
      </w:r>
    </w:p>
    <w:p w14:paraId="4426B9E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电气间隙和爬电距离</w:t>
      </w:r>
    </w:p>
    <w:tbl>
      <w:tblPr>
        <w:tblStyle w:val="64"/>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4"/>
        <w:gridCol w:w="2894"/>
        <w:gridCol w:w="3040"/>
      </w:tblGrid>
      <w:tr w14:paraId="1C86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4" w:type="dxa"/>
            <w:vAlign w:val="center"/>
          </w:tcPr>
          <w:p w14:paraId="0D7163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额定绝缘电压Ui</w:t>
            </w:r>
          </w:p>
          <w:p w14:paraId="2F166E2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（V）</w:t>
            </w:r>
          </w:p>
        </w:tc>
        <w:tc>
          <w:tcPr>
            <w:tcW w:w="2894" w:type="dxa"/>
            <w:vAlign w:val="center"/>
          </w:tcPr>
          <w:p w14:paraId="5AE6CC9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电气间隙</w:t>
            </w:r>
          </w:p>
          <w:p w14:paraId="7427FE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（mm）</w:t>
            </w:r>
          </w:p>
        </w:tc>
        <w:tc>
          <w:tcPr>
            <w:tcW w:w="3040" w:type="dxa"/>
            <w:vAlign w:val="center"/>
          </w:tcPr>
          <w:p w14:paraId="0ABD5DD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爬电距离</w:t>
            </w:r>
          </w:p>
          <w:p w14:paraId="38DEE2A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（mm）</w:t>
            </w:r>
          </w:p>
        </w:tc>
      </w:tr>
      <w:tr w14:paraId="652C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3184" w:type="dxa"/>
            <w:vAlign w:val="center"/>
          </w:tcPr>
          <w:p w14:paraId="5B45A39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Ui≤60</w:t>
            </w:r>
          </w:p>
        </w:tc>
        <w:tc>
          <w:tcPr>
            <w:tcW w:w="2894" w:type="dxa"/>
            <w:vAlign w:val="center"/>
          </w:tcPr>
          <w:p w14:paraId="2489D2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w:t>
            </w:r>
          </w:p>
        </w:tc>
        <w:tc>
          <w:tcPr>
            <w:tcW w:w="3040" w:type="dxa"/>
            <w:vAlign w:val="center"/>
          </w:tcPr>
          <w:p w14:paraId="7DAF826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w:t>
            </w:r>
          </w:p>
        </w:tc>
      </w:tr>
      <w:tr w14:paraId="5F96B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184" w:type="dxa"/>
            <w:vAlign w:val="center"/>
          </w:tcPr>
          <w:p w14:paraId="2CA3609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60＜Ui≤300</w:t>
            </w:r>
          </w:p>
        </w:tc>
        <w:tc>
          <w:tcPr>
            <w:tcW w:w="2894" w:type="dxa"/>
            <w:vAlign w:val="center"/>
          </w:tcPr>
          <w:p w14:paraId="080CA3D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w:t>
            </w:r>
          </w:p>
        </w:tc>
        <w:tc>
          <w:tcPr>
            <w:tcW w:w="3040" w:type="dxa"/>
            <w:vAlign w:val="center"/>
          </w:tcPr>
          <w:p w14:paraId="18B53B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6.0</w:t>
            </w:r>
          </w:p>
        </w:tc>
      </w:tr>
      <w:tr w14:paraId="1673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3184" w:type="dxa"/>
            <w:vAlign w:val="center"/>
          </w:tcPr>
          <w:p w14:paraId="2CBE64D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300＜Ui≤700</w:t>
            </w:r>
          </w:p>
        </w:tc>
        <w:tc>
          <w:tcPr>
            <w:tcW w:w="2894" w:type="dxa"/>
            <w:vAlign w:val="center"/>
          </w:tcPr>
          <w:p w14:paraId="2652FE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8.0</w:t>
            </w:r>
          </w:p>
        </w:tc>
        <w:tc>
          <w:tcPr>
            <w:tcW w:w="3040" w:type="dxa"/>
            <w:vAlign w:val="center"/>
          </w:tcPr>
          <w:p w14:paraId="5FCF27B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w:t>
            </w:r>
          </w:p>
        </w:tc>
      </w:tr>
      <w:tr w14:paraId="2503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9118" w:type="dxa"/>
            <w:gridSpan w:val="3"/>
            <w:vAlign w:val="center"/>
          </w:tcPr>
          <w:p w14:paraId="4EBF9CD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注1：当主电路与控制电路或辅助电路的额定绝缘电压不一致时，其电气间隙和爬电距离可分别按其额定值选取。</w:t>
            </w:r>
          </w:p>
          <w:p w14:paraId="3AFAE02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注2：具有不同额定值主电路或控制电路导电部分之间的电气间隙与爬电距离，应按最高额定绝缘电压选取。</w:t>
            </w:r>
          </w:p>
        </w:tc>
      </w:tr>
    </w:tbl>
    <w:p w14:paraId="48CFCFD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（4）接地要求</w:t>
      </w:r>
    </w:p>
    <w:p w14:paraId="4998691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充放电机的接地要求应能满足以下的规定：</w:t>
      </w:r>
    </w:p>
    <w:p w14:paraId="31A3C5B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充放电机金属壳体应设置接地螺栓，其直径不得小于6mm，并应有接地标志。</w:t>
      </w:r>
    </w:p>
    <w:p w14:paraId="3F9A67A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所有作为隔离带电导体的金属隔板、电气元件的金属外壳以及金属手柄等均应有效接地，连续性电阻不应大于0.1Ω。</w:t>
      </w:r>
    </w:p>
    <w:p w14:paraId="752AADE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充放电机的门、盖板、覆板和类似部件，应采用保护导体将这些部件和充放电机主体框架连接，此保护导体的截面积不得小于2.5mm2。</w:t>
      </w:r>
    </w:p>
    <w:p w14:paraId="7A412A9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接地母线和柜体之间的所有连接应躲开（或穿透绝缘层）喷漆层，以保证有效的电气连接。</w:t>
      </w:r>
    </w:p>
    <w:p w14:paraId="3A5170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（5）超温断电要求</w:t>
      </w:r>
    </w:p>
    <w:p w14:paraId="386B44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要求充电终端带有超温断电功能，提升设施防护安全性。</w:t>
      </w:r>
    </w:p>
    <w:p w14:paraId="640AC2C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当确认充电枪头温度达到90℃两分钟后，充放电机限制输出电流为当前直流电表检测值的90%；</w:t>
      </w:r>
    </w:p>
    <w:p w14:paraId="1C3FD9D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当确认充电枪头温度达到95℃两分钟后，充放电机限制输出电流为当前直流电表检测值的80%；</w:t>
      </w:r>
    </w:p>
    <w:p w14:paraId="49368AF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当确认充电枪头温度达到100℃两分钟后，充放电机限制输出电流为当前直流电表检测值的70%；</w:t>
      </w:r>
    </w:p>
    <w:p w14:paraId="5EA7D6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当确认充电枪头温度达到110℃两秒钟后，充放电机应能发出过温故障报警信号。</w:t>
      </w:r>
    </w:p>
    <w:p w14:paraId="38A12A3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绝缘性能</w:t>
      </w:r>
    </w:p>
    <w:p w14:paraId="3F6FB4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（1）绝缘电阻</w:t>
      </w:r>
    </w:p>
    <w:p w14:paraId="3F779E8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用开路电压为下表规定电压的测试仪器测量，充放电机非电气连接的各带电回路之间、各独立带电回路与地（金属外壳）之间绝缘电阻不应小于10MΩ。</w:t>
      </w:r>
    </w:p>
    <w:p w14:paraId="0CF2379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（2）工频耐压</w:t>
      </w:r>
    </w:p>
    <w:p w14:paraId="1D2D8BE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充放电机非电气连接的各带电回路之间、各独立带电回路与地（金属外壳）之间，按其工作电压应能承受下表所规定历时1 min的工频耐压试验（也可采用直流电压，试验电压为交流电压有效值的1.4倍）。试验过程中应无绝缘击穿和闪络现象。</w:t>
      </w:r>
    </w:p>
    <w:p w14:paraId="7DAD82C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（3）冲击电压</w:t>
      </w:r>
    </w:p>
    <w:p w14:paraId="09B2E2E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充放电机各带电回路、各带电电路对地（金属外壳）之间，按其工作电压应能承受下表所规定标准雷电波的短时冲击电压试验。试验过程中应无击穿放电。</w:t>
      </w:r>
    </w:p>
    <w:p w14:paraId="446EEF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绝缘试验的试验等级</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876"/>
        <w:gridCol w:w="3007"/>
        <w:gridCol w:w="2157"/>
        <w:gridCol w:w="1956"/>
      </w:tblGrid>
      <w:tr w14:paraId="3A1A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91" w:hRule="atLeast"/>
          <w:jc w:val="center"/>
        </w:trPr>
        <w:tc>
          <w:tcPr>
            <w:tcW w:w="1876" w:type="dxa"/>
            <w:vAlign w:val="center"/>
          </w:tcPr>
          <w:p w14:paraId="629CE72D">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额定绝缘电压Ui（V）</w:t>
            </w:r>
          </w:p>
        </w:tc>
        <w:tc>
          <w:tcPr>
            <w:tcW w:w="3007" w:type="dxa"/>
            <w:vAlign w:val="center"/>
          </w:tcPr>
          <w:p w14:paraId="616B2F8A">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绝缘电阻测试仪器的电压等级（V）</w:t>
            </w:r>
          </w:p>
        </w:tc>
        <w:tc>
          <w:tcPr>
            <w:tcW w:w="2157" w:type="dxa"/>
            <w:vAlign w:val="center"/>
          </w:tcPr>
          <w:p w14:paraId="1E17CDC5">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工频耐压试验电压（kV）</w:t>
            </w:r>
          </w:p>
        </w:tc>
        <w:tc>
          <w:tcPr>
            <w:tcW w:w="1956" w:type="dxa"/>
            <w:vAlign w:val="center"/>
          </w:tcPr>
          <w:p w14:paraId="39AFC8D3">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冲击耐压试验电压（kV）</w:t>
            </w:r>
          </w:p>
        </w:tc>
      </w:tr>
      <w:tr w14:paraId="0A35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876" w:type="dxa"/>
            <w:vAlign w:val="center"/>
          </w:tcPr>
          <w:p w14:paraId="6ADCE30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60</w:t>
            </w:r>
          </w:p>
        </w:tc>
        <w:tc>
          <w:tcPr>
            <w:tcW w:w="3007" w:type="dxa"/>
            <w:vAlign w:val="center"/>
          </w:tcPr>
          <w:p w14:paraId="34640AA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250</w:t>
            </w:r>
          </w:p>
        </w:tc>
        <w:tc>
          <w:tcPr>
            <w:tcW w:w="2157" w:type="dxa"/>
            <w:vAlign w:val="center"/>
          </w:tcPr>
          <w:p w14:paraId="52C8D9E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1.0(1.4)</w:t>
            </w:r>
          </w:p>
        </w:tc>
        <w:tc>
          <w:tcPr>
            <w:tcW w:w="1956" w:type="dxa"/>
            <w:vAlign w:val="center"/>
          </w:tcPr>
          <w:p w14:paraId="76064FF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r>
      <w:tr w14:paraId="3071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Align w:val="center"/>
          </w:tcPr>
          <w:p w14:paraId="02A0182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60＜UI ≤ 300</w:t>
            </w:r>
          </w:p>
        </w:tc>
        <w:tc>
          <w:tcPr>
            <w:tcW w:w="3007" w:type="dxa"/>
            <w:vAlign w:val="center"/>
          </w:tcPr>
          <w:p w14:paraId="652987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500</w:t>
            </w:r>
          </w:p>
        </w:tc>
        <w:tc>
          <w:tcPr>
            <w:tcW w:w="2157" w:type="dxa"/>
            <w:vAlign w:val="center"/>
          </w:tcPr>
          <w:p w14:paraId="5448D5D7">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2.0(2.8)</w:t>
            </w:r>
          </w:p>
        </w:tc>
        <w:tc>
          <w:tcPr>
            <w:tcW w:w="1956" w:type="dxa"/>
            <w:vAlign w:val="center"/>
          </w:tcPr>
          <w:p w14:paraId="795E0C7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r>
      <w:tr w14:paraId="7431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Align w:val="center"/>
          </w:tcPr>
          <w:p w14:paraId="32B8220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300＜UI≤ 700</w:t>
            </w:r>
          </w:p>
        </w:tc>
        <w:tc>
          <w:tcPr>
            <w:tcW w:w="3007" w:type="dxa"/>
            <w:vAlign w:val="center"/>
          </w:tcPr>
          <w:p w14:paraId="60A54F8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1000</w:t>
            </w:r>
          </w:p>
        </w:tc>
        <w:tc>
          <w:tcPr>
            <w:tcW w:w="2157" w:type="dxa"/>
            <w:vAlign w:val="center"/>
          </w:tcPr>
          <w:p w14:paraId="01BA0FF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2.4(3.36)</w:t>
            </w:r>
          </w:p>
        </w:tc>
        <w:tc>
          <w:tcPr>
            <w:tcW w:w="1956" w:type="dxa"/>
            <w:vAlign w:val="center"/>
          </w:tcPr>
          <w:p w14:paraId="0C60970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r>
      <w:tr w14:paraId="3135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6" w:type="dxa"/>
            <w:vAlign w:val="center"/>
          </w:tcPr>
          <w:p w14:paraId="5BC92562">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700＜UI≤ 950</w:t>
            </w:r>
          </w:p>
        </w:tc>
        <w:tc>
          <w:tcPr>
            <w:tcW w:w="3007" w:type="dxa"/>
            <w:vAlign w:val="center"/>
          </w:tcPr>
          <w:p w14:paraId="6CF11A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1000</w:t>
            </w:r>
          </w:p>
        </w:tc>
        <w:tc>
          <w:tcPr>
            <w:tcW w:w="2157" w:type="dxa"/>
            <w:vAlign w:val="center"/>
          </w:tcPr>
          <w:p w14:paraId="7E3D52B7">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2×UI +1.0</w:t>
            </w:r>
          </w:p>
          <w:p w14:paraId="78441431">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(2.8×UI +1.4)</w:t>
            </w:r>
          </w:p>
        </w:tc>
        <w:tc>
          <w:tcPr>
            <w:tcW w:w="1956" w:type="dxa"/>
            <w:vAlign w:val="center"/>
          </w:tcPr>
          <w:p w14:paraId="4D1EE6C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r>
      <w:tr w14:paraId="3C05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5" w:hRule="atLeast"/>
          <w:jc w:val="center"/>
        </w:trPr>
        <w:tc>
          <w:tcPr>
            <w:tcW w:w="8996" w:type="dxa"/>
            <w:gridSpan w:val="4"/>
            <w:vAlign w:val="center"/>
          </w:tcPr>
          <w:p w14:paraId="7FC4619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注：括号内数据为直流介质强度试验值。</w:t>
            </w:r>
          </w:p>
        </w:tc>
      </w:tr>
    </w:tbl>
    <w:p w14:paraId="650FED3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安全要求</w:t>
      </w:r>
    </w:p>
    <w:p w14:paraId="61663EB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（1）充放电机的安全性要求应满足GB/T 18487.1-2015附录B中对应的描述及技术参数要求。</w:t>
      </w:r>
    </w:p>
    <w:p w14:paraId="294BB38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（2）充放电机应具备电源输入侧的过压保护和欠压保护。</w:t>
      </w:r>
    </w:p>
    <w:p w14:paraId="5317AE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（3）充放电机应具备输出过压保护。</w:t>
      </w:r>
    </w:p>
    <w:p w14:paraId="691F07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（4）充放电机应具备输出过电流和短路保护。</w:t>
      </w:r>
    </w:p>
    <w:p w14:paraId="5264806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（5）充放电机应具备内部过温保护，当内部温度达到保护值时，采取降功率或停止输出。需具备超温断电功能，当温度过高时，可自动切断充电，防止发生高温自燃等意外，保护充电设备及新能源汽车安全。</w:t>
      </w:r>
    </w:p>
    <w:p w14:paraId="4BA332C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（6）充电过程中20分钟内温度升高超过15度保护。</w:t>
      </w:r>
    </w:p>
    <w:p w14:paraId="72826CF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（7）充放电机的绝缘检测功能应与车辆绝缘检测功能相配合。</w:t>
      </w:r>
    </w:p>
    <w:p w14:paraId="7B0D25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（8）充电过程中当发生下列情况时，充放电机应能在100ms内断开直流输出接触器，且直流输出电压应在1s内下降至60V以下。</w:t>
      </w:r>
    </w:p>
    <w:p w14:paraId="47DEB63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启动急停开关；</w:t>
      </w:r>
    </w:p>
    <w:p w14:paraId="5B1DF51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控制导引故障；</w:t>
      </w:r>
    </w:p>
    <w:p w14:paraId="52583F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保护接地线断开。</w:t>
      </w:r>
    </w:p>
    <w:p w14:paraId="7749BFF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（9）充放电机在启动充电时应人工确认启动。</w:t>
      </w:r>
    </w:p>
    <w:p w14:paraId="194DDAF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（10）充放电机应具备软启动功能，软启动时间为3s～8s。</w:t>
      </w:r>
    </w:p>
    <w:p w14:paraId="1B78832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（11）充放电机应具备限制冲击电流功能，冲击电流不应超过额定输入电流的110%。</w:t>
      </w:r>
    </w:p>
    <w:p w14:paraId="61D4096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（12）充放电机应具备电池反接保护功能。</w:t>
      </w:r>
    </w:p>
    <w:p w14:paraId="2FFDFFC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（13）充放电机在自动充电前，应具有电池电压检测功能。</w:t>
      </w:r>
    </w:p>
    <w:p w14:paraId="7627549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充放电机在充电过程中应具有防止充电连接器意外脱落的锁止功能，该锁止功能应符合GB/T20234.1的相关要求。车辆插头端应安装机械锁止装置，供电设备应能判断机械锁是否可靠锁止。车辆插头应安装电子锁止装置，电子锁处于锁止位置时，机械锁应无法操作，供电设备应能判断电子锁是否可靠锁止。当机械锁或电子锁未可靠锁止时，供电设备应停止充电或不启动充电。直流充电车辆接口锁止装置工作示例参见GB/T18487.1-2015附录C。</w:t>
      </w:r>
    </w:p>
    <w:p w14:paraId="210D354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（15）充电过程中BMS传递的SOC/V/I/Vcell Max/Temperature这些信息维持不变超过3分钟保护。</w:t>
      </w:r>
    </w:p>
    <w:p w14:paraId="4CA4D6B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（16）充放电机直流输出侧应配置防反二极管，具备防止动力电池电流倒灌功能，同时应具备防止多桩充电时，动力电池之间电流互灌功能。</w:t>
      </w:r>
    </w:p>
    <w:p w14:paraId="0AF3B35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充放电机应具备预充电功能。当充放电机检测到电动汽车直流接触器闭合后，充放电机应检测电池端电压；充放电机检测到电池端电压后需进行预充，将功率模块输出电压升到与电池端电压测量值之差小于10V后，方可闭合充放电机输出接触器。</w:t>
      </w:r>
    </w:p>
    <w:p w14:paraId="67542B8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（18）充放电机在每个充电周期内进行接触器触点烧结检测。当检测到接触器触点出现粘连的情况后，充放电机不得继续工作。</w:t>
      </w:r>
    </w:p>
    <w:p w14:paraId="2109224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（19）充放电机必须保证充放电机输出接触器闭合发生在车辆直流充电接触器闭合之后，其时间间隔不得低于500ms。</w:t>
      </w:r>
    </w:p>
    <w:p w14:paraId="7917FA1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（20）充放电机在充电停止状态下，应保证直流输出回路处于断开状态。</w:t>
      </w:r>
    </w:p>
    <w:p w14:paraId="0517722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即执行断电动作并告警。</w:t>
      </w:r>
    </w:p>
    <w:p w14:paraId="5F5DBB9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（21）充电终端待机状态下输入电源电压应不高于36V。</w:t>
      </w:r>
    </w:p>
    <w:p w14:paraId="0992B65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充电输出要求</w:t>
      </w:r>
    </w:p>
    <w:p w14:paraId="2D1B253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（1）输出电压误差</w:t>
      </w:r>
    </w:p>
    <w:p w14:paraId="215D69C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在恒压状态下，直流输出电压设定在规定的相应调节范围内，充放电机的输出电压误差不应超过±0.5％。</w:t>
      </w:r>
    </w:p>
    <w:p w14:paraId="52341AE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（2）输出电流误差</w:t>
      </w:r>
    </w:p>
    <w:p w14:paraId="24AEC4E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在恒流状态下，输出直流电流设定在规定的额定值的20%～100%范围内，在设定的直流输出电流≥30A时，充放电机的输出电流误差不应超过±1%；在设定的输出电流&lt;30A时，充放电机的输出电流误差不应超过±0.3A。</w:t>
      </w:r>
    </w:p>
    <w:p w14:paraId="4EB2668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（3）稳压精度</w:t>
      </w:r>
    </w:p>
    <w:p w14:paraId="3A699A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当交流电源电压在额定值的±15%范围内变化，直流输出电流在规定的额定值的0～100%范围内变化时，输出直流电压在规定的相应调节范围内任一数值上，充放电机的输出电压稳压精度不应超过±0.5%。</w:t>
      </w:r>
    </w:p>
    <w:p w14:paraId="30C5F6B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（4）稳流精度</w:t>
      </w:r>
    </w:p>
    <w:p w14:paraId="4B380E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当交流电源电压在额定值的±15%范围内变化，直流输出电压在规定的相应范围内变化时，直流输出电流在规定的额定值的20%～100%范围内任一数值上，充放电机的输出电流稳流精度不应超过±1%。</w:t>
      </w:r>
    </w:p>
    <w:p w14:paraId="268953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（5）纹波系数</w:t>
      </w:r>
    </w:p>
    <w:p w14:paraId="7F94F8B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当交流电源电压在额定值的±15%范围内变化，直流输出电流在规定的额定值的0～100%范围内变化时，直流输出电压在规定的相应调节范围任一数值上，充放电机的输出纹波峰值系数不应超过±1%。</w:t>
      </w:r>
    </w:p>
    <w:p w14:paraId="45928F3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（6）限压、限流特性</w:t>
      </w:r>
    </w:p>
    <w:p w14:paraId="2191EB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充放电机在恒流状态下运行时，当直流输出电压超过限压整定值时，应能立即进入恒压充电状态，自动限制其输出电压的增加。</w:t>
      </w:r>
    </w:p>
    <w:p w14:paraId="15A04FA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充放电机在恒压状态下运行时，当直流输出电流超过限流整定值时，应能立即进入限流充电状态，自动限制其输出电流的增加。</w:t>
      </w:r>
    </w:p>
    <w:p w14:paraId="3F48D04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（7）输出响应要求</w:t>
      </w:r>
    </w:p>
    <w:p w14:paraId="301A548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充电阶段，车辆向充放电机实时发送电池充电需求参数，充放电机应最长在1s以内将充电电压和充电电流调整到与车辆发送的电池充电需求命令值相一致，充放电机根据电池充电需求参数实时调整充电电压和充电电流。</w:t>
      </w:r>
    </w:p>
    <w:p w14:paraId="7AF685C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待机功耗</w:t>
      </w:r>
    </w:p>
    <w:p w14:paraId="26F5DC7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在额定输入电压下，充放电机的待机功耗不应大于N×50W。注：N表示充电接口数量。</w:t>
      </w:r>
    </w:p>
    <w:p w14:paraId="555D85A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效率和功率因数</w:t>
      </w:r>
    </w:p>
    <w:p w14:paraId="1695DB8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在额定输入电压下，充放电机效率、输入功率因数应符合下表的要求。</w:t>
      </w:r>
    </w:p>
    <w:p w14:paraId="3D31E1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充放电机效率、输入功率因数</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21"/>
        <w:gridCol w:w="2079"/>
        <w:gridCol w:w="3073"/>
      </w:tblGrid>
      <w:tr w14:paraId="76D7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2" w:type="pct"/>
            <w:vAlign w:val="center"/>
          </w:tcPr>
          <w:p w14:paraId="6019FFA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实际输出功率PO /额定输出功率PN</w:t>
            </w:r>
          </w:p>
        </w:tc>
        <w:tc>
          <w:tcPr>
            <w:tcW w:w="1133" w:type="pct"/>
            <w:vAlign w:val="center"/>
          </w:tcPr>
          <w:p w14:paraId="6C75E2A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效率</w:t>
            </w:r>
          </w:p>
        </w:tc>
        <w:tc>
          <w:tcPr>
            <w:tcW w:w="1674" w:type="pct"/>
            <w:vAlign w:val="center"/>
          </w:tcPr>
          <w:p w14:paraId="27CCB7C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输入功率因数</w:t>
            </w:r>
          </w:p>
        </w:tc>
      </w:tr>
      <w:tr w14:paraId="54E0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2" w:type="pct"/>
            <w:vAlign w:val="center"/>
          </w:tcPr>
          <w:p w14:paraId="626F393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20 %≤PO/PN ≤50 %</w:t>
            </w:r>
          </w:p>
        </w:tc>
        <w:tc>
          <w:tcPr>
            <w:tcW w:w="1133" w:type="pct"/>
            <w:vAlign w:val="center"/>
          </w:tcPr>
          <w:p w14:paraId="4397D20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≥89 %</w:t>
            </w:r>
          </w:p>
        </w:tc>
        <w:tc>
          <w:tcPr>
            <w:tcW w:w="1674" w:type="pct"/>
            <w:vAlign w:val="center"/>
          </w:tcPr>
          <w:p w14:paraId="3206D1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≥0.95</w:t>
            </w:r>
          </w:p>
        </w:tc>
      </w:tr>
      <w:tr w14:paraId="3BDA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2" w:type="pct"/>
            <w:vAlign w:val="center"/>
          </w:tcPr>
          <w:p w14:paraId="7BF194F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50 %＜PO/PN ≤100 %</w:t>
            </w:r>
          </w:p>
        </w:tc>
        <w:tc>
          <w:tcPr>
            <w:tcW w:w="1133" w:type="pct"/>
            <w:vAlign w:val="center"/>
          </w:tcPr>
          <w:p w14:paraId="0069730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≥93 %</w:t>
            </w:r>
          </w:p>
        </w:tc>
        <w:tc>
          <w:tcPr>
            <w:tcW w:w="1674" w:type="pct"/>
            <w:vAlign w:val="center"/>
          </w:tcPr>
          <w:p w14:paraId="1D2801A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≥0.98</w:t>
            </w:r>
          </w:p>
        </w:tc>
      </w:tr>
      <w:tr w14:paraId="6289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5F505D5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注：输入功率因数要求仅对交流供电充放电机有要求。</w:t>
            </w:r>
          </w:p>
        </w:tc>
      </w:tr>
    </w:tbl>
    <w:p w14:paraId="21BFBA0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噪声</w:t>
      </w:r>
    </w:p>
    <w:p w14:paraId="45B1F68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充放电机的噪声最大值应不大于65dB（A级）。</w:t>
      </w:r>
    </w:p>
    <w:p w14:paraId="2DEDF25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高低温和湿热性能</w:t>
      </w:r>
    </w:p>
    <w:p w14:paraId="70F411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（1）低温性能</w:t>
      </w:r>
    </w:p>
    <w:p w14:paraId="27841BE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按GB/T 2423.1-2008中试验Ad规定的方法进行试验，试验温度为规定的下限值，待达到试验温度后启动充放电机，充放电机应能正常工作。试验温度持续2小时后，测试充放电机的稳流精度应符合规定。</w:t>
      </w:r>
    </w:p>
    <w:p w14:paraId="3C397F7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（2）高温性能</w:t>
      </w:r>
    </w:p>
    <w:p w14:paraId="0841858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按GB/T 2423.2-2008中试验Bd规定的方法进行试验，试验温度为规定的上限值，待达到试验温度后启动充放电机，充放电机应能正常工作。试验温度持续2小时后，测试充放电机的稳流精度应符合规定。</w:t>
      </w:r>
    </w:p>
    <w:p w14:paraId="1531139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（3）湿热性能</w:t>
      </w:r>
    </w:p>
    <w:p w14:paraId="6DF8031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按GB/T 2423.4-2008中试验Db规定的方法进行试验，试验温度为（40±2）℃，循环次数为2次，在试验结束前2h进行绝缘电阻和介电强度检测，其中绝缘电阻不应小于1MΩ，介电强度按表2规定值的75％施加测量电压。试验结束后，恢复至正常大气条件，通电后检查充放电机各项功能应正常。</w:t>
      </w:r>
    </w:p>
    <w:p w14:paraId="0FE7388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机械强度</w:t>
      </w:r>
    </w:p>
    <w:p w14:paraId="3B12C0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按GB/T 2423.55-2006规定的方法进行试验，剧烈冲击能量为20J（5kg，在0.4m）。试验结束后，充放电机的IP等级不受影响，绝缘性能不应降低，门的操作和锁止点不应损坏。</w:t>
      </w:r>
    </w:p>
    <w:p w14:paraId="4264CBF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电磁兼容</w:t>
      </w:r>
    </w:p>
    <w:p w14:paraId="4F53C56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（1）抗扰度要求</w:t>
      </w:r>
    </w:p>
    <w:p w14:paraId="591169D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静电放电抗扰度：充放电机应能承受GB/T 17626.2-2006中第5章规定的试验等级为3级的静电放电抗扰度试验。</w:t>
      </w:r>
    </w:p>
    <w:p w14:paraId="4357E10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射频电磁场辐射抗扰度：充放电机应能承受GB/T 17626.3-2006中第5章规定的试验等级为3级的射频电磁场辐射抗扰度试验。</w:t>
      </w:r>
    </w:p>
    <w:p w14:paraId="17D6676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电快速瞬变脉冲群抗扰度 ：充放电机应能承受GB/T 17626.4-2008中第5章规定的试验等级为3级的电快速瞬变脉冲群抗扰度试验。</w:t>
      </w:r>
    </w:p>
    <w:p w14:paraId="09329DC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浪涌（冲击）抗扰度：充放电机应能承受GB/T 17626.5-2008中第5章规定的试验等级为3级的浪涌（冲击）抗扰度试验。</w:t>
      </w:r>
    </w:p>
    <w:p w14:paraId="1537D16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电压暂降、短时中断抗扰度：充放电机应能承受GB/T 17626.11-2008中第5章规定的电压试验等级在0%、40%、70%的额定工作电压的电压暂降、短时中断抗扰度试验。</w:t>
      </w:r>
    </w:p>
    <w:p w14:paraId="517640A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（2）电磁发射限制要求</w:t>
      </w:r>
    </w:p>
    <w:p w14:paraId="4C45AA4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传导和辐射发射限值要求：充放电机的电源端口应符合表5规定的传导发射限值，外壳端口应符合下表规定的辐射发射限值。</w:t>
      </w:r>
    </w:p>
    <w:p w14:paraId="6831BDD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传导发射限值</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2934"/>
        <w:gridCol w:w="2957"/>
      </w:tblGrid>
      <w:tr w14:paraId="07EC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7" w:type="dxa"/>
            <w:vMerge w:val="restart"/>
            <w:vAlign w:val="center"/>
          </w:tcPr>
          <w:p w14:paraId="73A9CED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频率范围（MHz）</w:t>
            </w:r>
          </w:p>
        </w:tc>
        <w:tc>
          <w:tcPr>
            <w:tcW w:w="5891" w:type="dxa"/>
            <w:gridSpan w:val="2"/>
            <w:vAlign w:val="center"/>
          </w:tcPr>
          <w:p w14:paraId="5C42EA4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发射限值dB(μV)</w:t>
            </w:r>
          </w:p>
        </w:tc>
      </w:tr>
      <w:tr w14:paraId="08CC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227" w:type="dxa"/>
            <w:vMerge w:val="continue"/>
            <w:vAlign w:val="center"/>
          </w:tcPr>
          <w:p w14:paraId="5263227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934" w:type="dxa"/>
            <w:vAlign w:val="center"/>
          </w:tcPr>
          <w:p w14:paraId="08AC37A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准峰值</w:t>
            </w:r>
          </w:p>
        </w:tc>
        <w:tc>
          <w:tcPr>
            <w:tcW w:w="2957" w:type="dxa"/>
            <w:vAlign w:val="center"/>
          </w:tcPr>
          <w:p w14:paraId="062EE8B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平均值</w:t>
            </w:r>
          </w:p>
        </w:tc>
      </w:tr>
      <w:tr w14:paraId="61CB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227" w:type="dxa"/>
            <w:vAlign w:val="center"/>
          </w:tcPr>
          <w:p w14:paraId="1BAE779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0.15～0.5（不含0.5）</w:t>
            </w:r>
          </w:p>
        </w:tc>
        <w:tc>
          <w:tcPr>
            <w:tcW w:w="2934" w:type="dxa"/>
            <w:vAlign w:val="center"/>
          </w:tcPr>
          <w:p w14:paraId="0F7539F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79</w:t>
            </w:r>
          </w:p>
        </w:tc>
        <w:tc>
          <w:tcPr>
            <w:tcW w:w="2957" w:type="dxa"/>
            <w:vAlign w:val="center"/>
          </w:tcPr>
          <w:p w14:paraId="5AD01AB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66</w:t>
            </w:r>
          </w:p>
        </w:tc>
      </w:tr>
      <w:tr w14:paraId="207D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3227" w:type="dxa"/>
            <w:vAlign w:val="center"/>
          </w:tcPr>
          <w:p w14:paraId="29E0102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0.5～30</w:t>
            </w:r>
          </w:p>
        </w:tc>
        <w:tc>
          <w:tcPr>
            <w:tcW w:w="2934" w:type="dxa"/>
            <w:vAlign w:val="center"/>
          </w:tcPr>
          <w:p w14:paraId="3EE3920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73</w:t>
            </w:r>
          </w:p>
        </w:tc>
        <w:tc>
          <w:tcPr>
            <w:tcW w:w="2957" w:type="dxa"/>
            <w:vAlign w:val="center"/>
          </w:tcPr>
          <w:p w14:paraId="01D7CBE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60</w:t>
            </w:r>
          </w:p>
        </w:tc>
      </w:tr>
    </w:tbl>
    <w:p w14:paraId="0E08639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辐射发射限值</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5891"/>
      </w:tblGrid>
      <w:tr w14:paraId="320D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3227" w:type="dxa"/>
            <w:vMerge w:val="restart"/>
            <w:vAlign w:val="center"/>
          </w:tcPr>
          <w:p w14:paraId="44CEEDF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频率范围（MHz）</w:t>
            </w:r>
          </w:p>
        </w:tc>
        <w:tc>
          <w:tcPr>
            <w:tcW w:w="5891" w:type="dxa"/>
            <w:vAlign w:val="center"/>
          </w:tcPr>
          <w:p w14:paraId="501E49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在10 m测量距离处辐射发射限值dB(μV/m)</w:t>
            </w:r>
          </w:p>
        </w:tc>
      </w:tr>
      <w:tr w14:paraId="17F9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3227" w:type="dxa"/>
            <w:vMerge w:val="continue"/>
            <w:vAlign w:val="center"/>
          </w:tcPr>
          <w:p w14:paraId="3E761D9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5891" w:type="dxa"/>
            <w:vAlign w:val="center"/>
          </w:tcPr>
          <w:p w14:paraId="0BCCF89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准峰值</w:t>
            </w:r>
          </w:p>
        </w:tc>
      </w:tr>
      <w:tr w14:paraId="7605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3227" w:type="dxa"/>
            <w:vAlign w:val="center"/>
          </w:tcPr>
          <w:p w14:paraId="09B1F50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30～230</w:t>
            </w:r>
          </w:p>
        </w:tc>
        <w:tc>
          <w:tcPr>
            <w:tcW w:w="5891" w:type="dxa"/>
            <w:vAlign w:val="center"/>
          </w:tcPr>
          <w:p w14:paraId="341E55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40</w:t>
            </w:r>
          </w:p>
        </w:tc>
      </w:tr>
      <w:tr w14:paraId="2491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3227" w:type="dxa"/>
            <w:vAlign w:val="center"/>
          </w:tcPr>
          <w:p w14:paraId="098B54A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230～1000（不含230）</w:t>
            </w:r>
          </w:p>
        </w:tc>
        <w:tc>
          <w:tcPr>
            <w:tcW w:w="5891" w:type="dxa"/>
            <w:vAlign w:val="center"/>
          </w:tcPr>
          <w:p w14:paraId="0E68ACB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47</w:t>
            </w:r>
          </w:p>
        </w:tc>
      </w:tr>
    </w:tbl>
    <w:p w14:paraId="20A23F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谐波电流限值要求：当输出功率为额定功率的50%～100%时，充放电机总谐波电流含有率不应大于5%。</w:t>
      </w:r>
    </w:p>
    <w:p w14:paraId="3145AC0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可靠性指标</w:t>
      </w:r>
    </w:p>
    <w:p w14:paraId="516B51E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充放电机平均故障间隔时间（MTBF）应大于等于26280 h。</w:t>
      </w:r>
    </w:p>
    <w:p w14:paraId="15158F25">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充放电机其它要求</w:t>
      </w:r>
    </w:p>
    <w:p w14:paraId="67933A0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充放电机柜体（桩体）应外观线条流畅、整体紧凑、简洁时尚，与安装地点周边环境相协调。</w:t>
      </w:r>
    </w:p>
    <w:p w14:paraId="3E173B9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充放电机柜体（桩体）应具备安装4G通信模块天线的位置，并确保壳体不对通信模块接收信号产生负面影响。</w:t>
      </w:r>
    </w:p>
    <w:p w14:paraId="11CBDE6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充放电机柜体（桩体）内部线束，应排布整齐、规整，标识清楚，捆扎牢固。</w:t>
      </w:r>
    </w:p>
    <w:p w14:paraId="0B8A7A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充放电机柜体（桩体）内元器件应模块化设计，布局合理，易耗易损元件方便更换。</w:t>
      </w:r>
    </w:p>
    <w:p w14:paraId="790ABA6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充放电机柜体（桩体）安装于户外时，应便于特殊天气条件下的日常维护。</w:t>
      </w:r>
    </w:p>
    <w:p w14:paraId="7899AEE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充放电机柜体（桩体）应采用抗冲击力强、抗老化的材质。</w:t>
      </w:r>
    </w:p>
    <w:p w14:paraId="307445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充放电机柜体（桩体）表面涂覆色泽层应均匀光洁，不起泡、不龟裂、不脱落。</w:t>
      </w:r>
    </w:p>
    <w:p w14:paraId="35BB0E5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非绝缘材料外壳应可靠接地，结构上应防止操作人员触及带电部件。</w:t>
      </w:r>
    </w:p>
    <w:p w14:paraId="2481444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充放电机数据通信接线应采用屏蔽线保护，屏蔽层应在桩体内可靠接地。</w:t>
      </w:r>
    </w:p>
    <w:p w14:paraId="130B7D0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充放电机柜体（桩体）在开门处应设置安全警示标识。</w:t>
      </w:r>
    </w:p>
    <w:p w14:paraId="74A9F4A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技术参数表</w:t>
      </w:r>
    </w:p>
    <w:tbl>
      <w:tblPr>
        <w:tblStyle w:val="6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3"/>
        <w:gridCol w:w="7160"/>
      </w:tblGrid>
      <w:tr w14:paraId="3197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000000" w:fill="BFBFBF"/>
            <w:vAlign w:val="center"/>
          </w:tcPr>
          <w:p w14:paraId="7AF95379">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交流参数</w:t>
            </w:r>
          </w:p>
        </w:tc>
      </w:tr>
      <w:tr w14:paraId="0223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116CDDB6">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额定功率</w:t>
            </w:r>
          </w:p>
        </w:tc>
        <w:tc>
          <w:tcPr>
            <w:tcW w:w="3903" w:type="pct"/>
            <w:shd w:val="clear" w:color="000000" w:fill="FFFFFF"/>
            <w:vAlign w:val="center"/>
          </w:tcPr>
          <w:p w14:paraId="37073A39">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240kW</w:t>
            </w:r>
          </w:p>
        </w:tc>
      </w:tr>
      <w:tr w14:paraId="764D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2C4C28D6">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电压范围</w:t>
            </w:r>
          </w:p>
        </w:tc>
        <w:tc>
          <w:tcPr>
            <w:tcW w:w="3903" w:type="pct"/>
            <w:shd w:val="clear" w:color="000000" w:fill="FFFFFF"/>
            <w:vAlign w:val="center"/>
          </w:tcPr>
          <w:p w14:paraId="4A67006B">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AC260V-AC456V</w:t>
            </w:r>
          </w:p>
        </w:tc>
      </w:tr>
      <w:tr w14:paraId="45E1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2FC8AF37">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电流范围</w:t>
            </w:r>
          </w:p>
        </w:tc>
        <w:tc>
          <w:tcPr>
            <w:tcW w:w="3903" w:type="pct"/>
            <w:shd w:val="clear" w:color="000000" w:fill="FFFFFF"/>
            <w:vAlign w:val="center"/>
          </w:tcPr>
          <w:p w14:paraId="7D1DED1F">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≥±38A（单模块）</w:t>
            </w:r>
          </w:p>
        </w:tc>
      </w:tr>
      <w:tr w14:paraId="44F8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38841B95">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频率</w:t>
            </w:r>
          </w:p>
        </w:tc>
        <w:tc>
          <w:tcPr>
            <w:tcW w:w="3903" w:type="pct"/>
            <w:shd w:val="clear" w:color="000000" w:fill="FFFFFF"/>
            <w:vAlign w:val="center"/>
          </w:tcPr>
          <w:p w14:paraId="3A135954">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50Hz±2Hz</w:t>
            </w:r>
          </w:p>
        </w:tc>
      </w:tr>
      <w:tr w14:paraId="5EDE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C584527">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功率因数</w:t>
            </w:r>
          </w:p>
        </w:tc>
        <w:tc>
          <w:tcPr>
            <w:tcW w:w="3903" w:type="pct"/>
            <w:shd w:val="clear" w:color="000000" w:fill="FFFFFF"/>
            <w:vAlign w:val="center"/>
          </w:tcPr>
          <w:p w14:paraId="152F7B2D">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±0.98</w:t>
            </w:r>
          </w:p>
        </w:tc>
      </w:tr>
      <w:tr w14:paraId="276B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15AA1243">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THDi（谐波）</w:t>
            </w:r>
          </w:p>
        </w:tc>
        <w:tc>
          <w:tcPr>
            <w:tcW w:w="3903" w:type="pct"/>
            <w:shd w:val="clear" w:color="000000" w:fill="FFFFFF"/>
            <w:vAlign w:val="center"/>
          </w:tcPr>
          <w:p w14:paraId="40745706">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r>
      <w:tr w14:paraId="459F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000000" w:fill="BFBFBF"/>
            <w:vAlign w:val="center"/>
          </w:tcPr>
          <w:p w14:paraId="020970C8">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直流参数</w:t>
            </w:r>
          </w:p>
        </w:tc>
      </w:tr>
      <w:tr w14:paraId="616F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B884CCA">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额定功率</w:t>
            </w:r>
          </w:p>
        </w:tc>
        <w:tc>
          <w:tcPr>
            <w:tcW w:w="3903" w:type="pct"/>
            <w:shd w:val="clear" w:color="000000" w:fill="FFFFFF"/>
            <w:vAlign w:val="center"/>
          </w:tcPr>
          <w:p w14:paraId="548FF65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240kW（最大6路输出）</w:t>
            </w:r>
          </w:p>
        </w:tc>
      </w:tr>
      <w:tr w14:paraId="1F36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0EF6B978">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电压范围</w:t>
            </w:r>
          </w:p>
        </w:tc>
        <w:tc>
          <w:tcPr>
            <w:tcW w:w="3903" w:type="pct"/>
            <w:shd w:val="clear" w:color="000000" w:fill="FFFFFF"/>
            <w:vAlign w:val="center"/>
          </w:tcPr>
          <w:p w14:paraId="78C4D2B4">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DC50V-DC950V</w:t>
            </w:r>
          </w:p>
        </w:tc>
      </w:tr>
      <w:tr w14:paraId="23A2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190EBCDC">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单路电流范围</w:t>
            </w:r>
          </w:p>
        </w:tc>
        <w:tc>
          <w:tcPr>
            <w:tcW w:w="3903" w:type="pct"/>
            <w:shd w:val="clear" w:color="000000" w:fill="FFFFFF"/>
            <w:vAlign w:val="center"/>
          </w:tcPr>
          <w:p w14:paraId="0F2A7D79">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±66.7A*12</w:t>
            </w:r>
          </w:p>
        </w:tc>
      </w:tr>
      <w:tr w14:paraId="6DE2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AB0014D">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稳压精度</w:t>
            </w:r>
          </w:p>
        </w:tc>
        <w:tc>
          <w:tcPr>
            <w:tcW w:w="3903" w:type="pct"/>
            <w:shd w:val="clear" w:color="000000" w:fill="FFFFFF"/>
            <w:vAlign w:val="center"/>
          </w:tcPr>
          <w:p w14:paraId="22A363C4">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≤0.5%</w:t>
            </w:r>
          </w:p>
        </w:tc>
      </w:tr>
      <w:tr w14:paraId="16206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5BE51D11">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稳流精度</w:t>
            </w:r>
          </w:p>
        </w:tc>
        <w:tc>
          <w:tcPr>
            <w:tcW w:w="3903" w:type="pct"/>
            <w:shd w:val="clear" w:color="000000" w:fill="FFFFFF"/>
            <w:vAlign w:val="center"/>
          </w:tcPr>
          <w:p w14:paraId="5B1F8CB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r>
      <w:tr w14:paraId="3E56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12B8A672">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限流特性</w:t>
            </w:r>
          </w:p>
        </w:tc>
        <w:tc>
          <w:tcPr>
            <w:tcW w:w="3903" w:type="pct"/>
            <w:shd w:val="clear" w:color="000000" w:fill="FFFFFF"/>
            <w:vAlign w:val="center"/>
          </w:tcPr>
          <w:p w14:paraId="7D2C3407">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具备</w:t>
            </w:r>
          </w:p>
        </w:tc>
      </w:tr>
      <w:tr w14:paraId="294C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39CA3A8D">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限压特性</w:t>
            </w:r>
          </w:p>
        </w:tc>
        <w:tc>
          <w:tcPr>
            <w:tcW w:w="3903" w:type="pct"/>
            <w:shd w:val="clear" w:color="000000" w:fill="FFFFFF"/>
            <w:vAlign w:val="center"/>
          </w:tcPr>
          <w:p w14:paraId="7FF6E76E">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具备</w:t>
            </w:r>
          </w:p>
        </w:tc>
      </w:tr>
      <w:tr w14:paraId="712D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000000" w:fill="BFBFBF"/>
            <w:vAlign w:val="center"/>
          </w:tcPr>
          <w:p w14:paraId="28EF9E3B">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基本特性</w:t>
            </w:r>
          </w:p>
        </w:tc>
      </w:tr>
      <w:tr w14:paraId="7AF3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2736CE3C">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充/放电效率</w:t>
            </w:r>
          </w:p>
        </w:tc>
        <w:tc>
          <w:tcPr>
            <w:tcW w:w="3903" w:type="pct"/>
            <w:shd w:val="clear" w:color="000000" w:fill="FFFFFF"/>
            <w:vAlign w:val="center"/>
          </w:tcPr>
          <w:p w14:paraId="2D5A1427">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≥95%（满载）</w:t>
            </w:r>
          </w:p>
        </w:tc>
      </w:tr>
      <w:tr w14:paraId="251B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69FC753">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正反向切换时间</w:t>
            </w:r>
          </w:p>
        </w:tc>
        <w:tc>
          <w:tcPr>
            <w:tcW w:w="3903" w:type="pct"/>
            <w:shd w:val="clear" w:color="000000" w:fill="FFFFFF"/>
            <w:vAlign w:val="center"/>
          </w:tcPr>
          <w:p w14:paraId="394AC51E">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≤20ms</w:t>
            </w:r>
          </w:p>
        </w:tc>
      </w:tr>
      <w:tr w14:paraId="30B0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5CAB2115">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BMS辅源</w:t>
            </w:r>
          </w:p>
        </w:tc>
        <w:tc>
          <w:tcPr>
            <w:tcW w:w="3903" w:type="pct"/>
            <w:shd w:val="clear" w:color="000000" w:fill="FFFFFF"/>
            <w:vAlign w:val="center"/>
          </w:tcPr>
          <w:p w14:paraId="7B3672C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标配12V</w:t>
            </w:r>
          </w:p>
        </w:tc>
      </w:tr>
      <w:tr w14:paraId="1F7D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FD31547">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待机损耗</w:t>
            </w:r>
          </w:p>
        </w:tc>
        <w:tc>
          <w:tcPr>
            <w:tcW w:w="3903" w:type="pct"/>
            <w:shd w:val="clear" w:color="000000" w:fill="FFFFFF"/>
            <w:vAlign w:val="center"/>
          </w:tcPr>
          <w:p w14:paraId="0174A588">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&lt;100W</w:t>
            </w:r>
          </w:p>
        </w:tc>
      </w:tr>
      <w:tr w14:paraId="4977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40C47AF">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单路最大电流</w:t>
            </w:r>
          </w:p>
        </w:tc>
        <w:tc>
          <w:tcPr>
            <w:tcW w:w="3903" w:type="pct"/>
            <w:shd w:val="clear" w:color="000000" w:fill="FFFFFF"/>
            <w:vAlign w:val="center"/>
          </w:tcPr>
          <w:p w14:paraId="49DDCA73">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400A</w:t>
            </w:r>
          </w:p>
        </w:tc>
      </w:tr>
      <w:tr w14:paraId="5792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42067DF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充电接口</w:t>
            </w:r>
          </w:p>
        </w:tc>
        <w:tc>
          <w:tcPr>
            <w:tcW w:w="3903" w:type="pct"/>
            <w:shd w:val="clear" w:color="000000" w:fill="FFFFFF"/>
            <w:vAlign w:val="center"/>
          </w:tcPr>
          <w:p w14:paraId="2BC2EF83">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6个</w:t>
            </w:r>
          </w:p>
        </w:tc>
      </w:tr>
      <w:tr w14:paraId="58D2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5D880B6F">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工作温度</w:t>
            </w:r>
          </w:p>
        </w:tc>
        <w:tc>
          <w:tcPr>
            <w:tcW w:w="3903" w:type="pct"/>
            <w:shd w:val="clear" w:color="000000" w:fill="FFFFFF"/>
            <w:vAlign w:val="center"/>
          </w:tcPr>
          <w:p w14:paraId="09BAE2A3">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-20℃～+50℃</w:t>
            </w:r>
          </w:p>
        </w:tc>
      </w:tr>
      <w:tr w14:paraId="5C4D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5F225DEB">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相对湿度</w:t>
            </w:r>
          </w:p>
        </w:tc>
        <w:tc>
          <w:tcPr>
            <w:tcW w:w="3903" w:type="pct"/>
            <w:shd w:val="clear" w:color="000000" w:fill="FFFFFF"/>
            <w:vAlign w:val="center"/>
          </w:tcPr>
          <w:p w14:paraId="55DBF768">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≤95%RH，无凝露</w:t>
            </w:r>
          </w:p>
        </w:tc>
      </w:tr>
      <w:tr w14:paraId="1EAE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451B4F02">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噪声</w:t>
            </w:r>
          </w:p>
        </w:tc>
        <w:tc>
          <w:tcPr>
            <w:tcW w:w="3903" w:type="pct"/>
            <w:shd w:val="clear" w:color="000000" w:fill="FFFFFF"/>
            <w:vAlign w:val="center"/>
          </w:tcPr>
          <w:p w14:paraId="4667FECA">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≤65dB</w:t>
            </w:r>
          </w:p>
        </w:tc>
      </w:tr>
      <w:tr w14:paraId="1CB2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C2EF0A8">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冷却方式</w:t>
            </w:r>
          </w:p>
        </w:tc>
        <w:tc>
          <w:tcPr>
            <w:tcW w:w="3903" w:type="pct"/>
            <w:shd w:val="clear" w:color="000000" w:fill="FFFFFF"/>
            <w:vAlign w:val="center"/>
          </w:tcPr>
          <w:p w14:paraId="67DC18F1">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智能强制风冷</w:t>
            </w:r>
          </w:p>
        </w:tc>
      </w:tr>
      <w:tr w14:paraId="5CF9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7EE91B63">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海拔高度</w:t>
            </w:r>
          </w:p>
        </w:tc>
        <w:tc>
          <w:tcPr>
            <w:tcW w:w="3903" w:type="pct"/>
            <w:shd w:val="clear" w:color="000000" w:fill="FFFFFF"/>
            <w:vAlign w:val="center"/>
          </w:tcPr>
          <w:p w14:paraId="07F13A08">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≤2000m</w:t>
            </w:r>
          </w:p>
        </w:tc>
      </w:tr>
      <w:tr w14:paraId="68EC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608912E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大气压强</w:t>
            </w:r>
          </w:p>
        </w:tc>
        <w:tc>
          <w:tcPr>
            <w:tcW w:w="3903" w:type="pct"/>
            <w:shd w:val="clear" w:color="000000" w:fill="FFFFFF"/>
            <w:vAlign w:val="center"/>
          </w:tcPr>
          <w:p w14:paraId="114BF894">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80kPa~101kPa</w:t>
            </w:r>
          </w:p>
        </w:tc>
      </w:tr>
      <w:tr w14:paraId="41BA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pct"/>
            <w:shd w:val="clear" w:color="000000" w:fill="FFFFFF"/>
            <w:vAlign w:val="center"/>
          </w:tcPr>
          <w:p w14:paraId="1B5213AA">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通信方式</w:t>
            </w:r>
          </w:p>
        </w:tc>
        <w:tc>
          <w:tcPr>
            <w:tcW w:w="3903" w:type="pct"/>
            <w:shd w:val="clear" w:color="000000" w:fill="FFFFFF"/>
            <w:vAlign w:val="center"/>
          </w:tcPr>
          <w:p w14:paraId="50E86370">
            <w:pPr>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CAN</w:t>
            </w:r>
          </w:p>
        </w:tc>
      </w:tr>
      <w:bookmarkEnd w:id="46"/>
      <w:bookmarkEnd w:id="47"/>
      <w:bookmarkEnd w:id="48"/>
      <w:bookmarkEnd w:id="49"/>
    </w:tbl>
    <w:p w14:paraId="28E408E8">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小功率直流充电机技术要求</w:t>
      </w:r>
    </w:p>
    <w:p w14:paraId="06F5251C">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技术要求</w:t>
      </w:r>
    </w:p>
    <w:p w14:paraId="184C4B2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（1）环境条件</w:t>
      </w:r>
    </w:p>
    <w:p w14:paraId="318D527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环境温度：-20℃～50℃</w:t>
      </w:r>
    </w:p>
    <w:p w14:paraId="461161F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相对湿度：5％～95％</w:t>
      </w:r>
    </w:p>
    <w:p w14:paraId="560C1FD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海拔高度：≤2000m</w:t>
      </w:r>
    </w:p>
    <w:p w14:paraId="3A279A2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大气压强：80kPa～110kPa</w:t>
      </w:r>
    </w:p>
    <w:p w14:paraId="27022BE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（2）电源条件</w:t>
      </w:r>
    </w:p>
    <w:p w14:paraId="16E3DAD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交流输入电压：380V±15％</w:t>
      </w:r>
    </w:p>
    <w:p w14:paraId="11AAD2D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交流电源频率：50Hz±1Hz</w:t>
      </w:r>
    </w:p>
    <w:p w14:paraId="4280AC1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（3）直流输出电压、电流和额定功率</w:t>
      </w:r>
    </w:p>
    <w:p w14:paraId="520027F0">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直流输出电压：200V-1000V</w:t>
      </w:r>
    </w:p>
    <w:p w14:paraId="52D3C36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恒功率电压范围：400-1000V</w:t>
      </w:r>
    </w:p>
    <w:p w14:paraId="70CEFF1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最大输出电流：50A</w:t>
      </w:r>
    </w:p>
    <w:p w14:paraId="63143CB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（4）低压辅助电源</w:t>
      </w:r>
    </w:p>
    <w:p w14:paraId="4515C20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充电机应能为电动汽车提供低压辅助电源，且具备过负荷、过压、过温保护功能。</w:t>
      </w:r>
    </w:p>
    <w:p w14:paraId="745A6EF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a)辅助电源电压：12V</w:t>
      </w:r>
    </w:p>
    <w:p w14:paraId="06E4CA3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b)纹波峰值系数：不超过±1%</w:t>
      </w:r>
    </w:p>
    <w:p w14:paraId="0FEA91F7">
      <w:pPr>
        <w:pageBreakBefore w:val="0"/>
        <w:kinsoku/>
        <w:wordWrap/>
        <w:overflowPunct/>
        <w:bidi w:val="0"/>
        <w:spacing w:line="360" w:lineRule="exact"/>
        <w:ind w:left="0" w:leftChars="0" w:firstLine="42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结构要求</w:t>
      </w:r>
    </w:p>
    <w:p w14:paraId="6BA3134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充电机分采用分体式结构形式。基本构成包括：功率单元、功率分配单元、充电控制器、计量表计、充电接口等。</w:t>
      </w:r>
    </w:p>
    <w:p w14:paraId="3F212DE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（1）结构形式</w:t>
      </w:r>
    </w:p>
    <w:p w14:paraId="0690002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完整的充电机由整流柜和直流充电枪端（桩）两部分构成，它们之间通过电缆连接组成一套完整的充电机。形式：</w:t>
      </w:r>
    </w:p>
    <w:p w14:paraId="67977E4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一套小功率直流充电机连接多个直流充电枪端（桩），多个直流充电枪端（桩）同时只有一把枪为车辆进行充电。</w:t>
      </w:r>
    </w:p>
    <w:p w14:paraId="17602B5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（2）外壳要求</w:t>
      </w:r>
    </w:p>
    <w:p w14:paraId="41A52BB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充电机铁质外壳和暴露在外的铁质支架、零件应采取双层防锈措施，非铁质的金属外壳也应具有防氧化保护膜或进行防氧化处理。</w:t>
      </w:r>
    </w:p>
    <w:p w14:paraId="41019B01">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功能要求</w:t>
      </w:r>
    </w:p>
    <w:p w14:paraId="52E4D7E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（1）充电设定方式</w:t>
      </w:r>
    </w:p>
    <w:p w14:paraId="4EE7308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在充电过程中，充电机依据电动汽车电池管理系统提供的数据动态调整充电参数，执行相应动作，完成充电过程。</w:t>
      </w:r>
    </w:p>
    <w:p w14:paraId="57B9BA3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（2）充电模式和连接方式</w:t>
      </w:r>
    </w:p>
    <w:p w14:paraId="0D79D167">
      <w:pPr>
        <w:pageBreakBefore w:val="0"/>
        <w:kinsoku/>
        <w:wordWrap/>
        <w:overflowPunct/>
        <w:bidi w:val="0"/>
        <w:spacing w:line="360" w:lineRule="exact"/>
        <w:ind w:left="0" w:leftChars="0" w:firstLine="480" w:firstLineChars="200"/>
        <w:rPr>
          <w:rFonts w:hint="eastAsia" w:ascii="仿宋" w:hAnsi="仿宋" w:eastAsia="仿宋" w:cs="仿宋"/>
          <w:color w:val="auto"/>
          <w:highlight w:val="none"/>
        </w:rPr>
      </w:pPr>
      <w:r>
        <w:rPr>
          <w:rFonts w:hint="eastAsia" w:ascii="仿宋" w:hAnsi="仿宋" w:eastAsia="仿宋" w:cs="仿宋"/>
          <w:color w:val="auto"/>
          <w:sz w:val="24"/>
          <w:highlight w:val="none"/>
        </w:rPr>
        <w:t>充电机采用GB/T18487.1-2015附录B中规定的充电模式4和连接方式C对电动汽车进行充电。充电接口应满足GB/T20234.1-2015和 GB/T20234.3-2015的规定。</w:t>
      </w:r>
    </w:p>
    <w:p w14:paraId="0DB82F5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（3）充电控制</w:t>
      </w:r>
    </w:p>
    <w:p w14:paraId="69915E8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具备VIN自动识别充电：通过插枪，自动识别车辆BMS传回的VIN码，集中控制器识别正确，自动启动充电或遵循后台设置的启动充电时间，自动启动；充电结束后，自动停止，充电未结束时，通过手机、PAD、PC等枪端，可直接选择充电枪，终止充电。</w:t>
      </w:r>
    </w:p>
    <w:p w14:paraId="49AB5E0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定时充电功能：可以自动或手动设置充电时间，充分利用低谷电价，降低运营成本。</w:t>
      </w:r>
    </w:p>
    <w:p w14:paraId="5CD61A1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智能充电功能；区域组网，本地所有充电桩协同，智能错峰充电。</w:t>
      </w:r>
    </w:p>
    <w:p w14:paraId="5E500FC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（4）与电池管理系统通信功能</w:t>
      </w:r>
    </w:p>
    <w:p w14:paraId="0C212BF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充电机应具有与电池管理系统通信的CAN接口，获得电池管理系统的充电参数和充电实时数据。通信协议应能满足 GB/T 27930-2015的规定。</w:t>
      </w:r>
    </w:p>
    <w:p w14:paraId="11AE7438">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（5）主动防护过充设计</w:t>
      </w:r>
    </w:p>
    <w:p w14:paraId="125C7888">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具备主动监测电动汽车BMS运行状态、电池特性参数及充电机自身的运行状态等功能，须采用安全冗余设计，主动诊断并处理故障和异常，实现电动汽车充电过程的主动防护。</w:t>
      </w:r>
    </w:p>
    <w:p w14:paraId="227C3AF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（6）计量功能</w:t>
      </w:r>
    </w:p>
    <w:p w14:paraId="2959657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充电机采用直流侧计量，应具有对每个充电接口输出电能进行计量的功能，电能计量装置应符合国家计量器具检定相关要求，精确度等级1.0级。</w:t>
      </w:r>
    </w:p>
    <w:p w14:paraId="28210CF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（7）通信功能</w:t>
      </w:r>
    </w:p>
    <w:p w14:paraId="5BC126C8">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配置4G通讯模块，采用4G通讯流量卡连接网络，手机APP、PAD、PC登陆云平台进行充电状态的监控、查询及控制功能。受后台通讯频次与数据要求，配置流量卡具备每月不低于500M流量／桩，每个车位可单独计量、计费、通信，流量卡由投标人提供，自行计入成本，通讯运营商的选择根据充电站所在位置选择网络较好的运营商，由招标人在下单时提供。自行配置工业级无线路由器（全网通通信模块，兼容4G/3G/2G频段，有线加无线双网互备）。</w:t>
      </w:r>
    </w:p>
    <w:p w14:paraId="657AD62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（8）远程升级</w:t>
      </w:r>
    </w:p>
    <w:p w14:paraId="320FB50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配置4G／3G通讯模块，充电机烧写程序可通过联网后通过监控运维平台控制，远程一键升级，远程更新所有通信协议，以及新国标更新等带来的控制模式升级。</w:t>
      </w:r>
    </w:p>
    <w:p w14:paraId="1F768F4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（9）远程断电</w:t>
      </w:r>
    </w:p>
    <w:p w14:paraId="419B3AA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配置4G／3G通讯模块，具备面对应急突发事件，可通过调度室的远程监控运维平台，远程操作断电，闭合进线开关。</w:t>
      </w:r>
    </w:p>
    <w:p w14:paraId="18CA4E5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（10）备份存储自动上传</w:t>
      </w:r>
    </w:p>
    <w:p w14:paraId="29A7CD9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本地系统自动备份离网数据，并实现上传。</w:t>
      </w:r>
    </w:p>
    <w:p w14:paraId="43F4C0A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（11）锁止功能</w:t>
      </w:r>
    </w:p>
    <w:p w14:paraId="6E355BD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充电枪应安装电子锁止装置，具有锁止功能，须防止充/放电过程中的意外断开，无法拔枪。当电子锁未可靠锁止时，供电设备或电动汽车应停止充/放电或不启动充/放电。</w:t>
      </w:r>
    </w:p>
    <w:p w14:paraId="3B5876E2">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耐气候环境要求</w:t>
      </w:r>
    </w:p>
    <w:p w14:paraId="3AD902A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（1）防护等级</w:t>
      </w:r>
    </w:p>
    <w:p w14:paraId="7506ECF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充电机的柜体防护等级不应低于GB 4208-2008中IP54（室外）的规定。</w:t>
      </w:r>
    </w:p>
    <w:p w14:paraId="4FDEBAD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（2）三防（防潮湿，防霉变，防盐雾）保护</w:t>
      </w:r>
    </w:p>
    <w:p w14:paraId="516E925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充电机内印刷线路板、接插件等电路应进行防潮湿、防霉变、防盐雾处理。</w:t>
      </w:r>
    </w:p>
    <w:p w14:paraId="34DEADE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（3）防锈(防氧化)保护</w:t>
      </w:r>
    </w:p>
    <w:p w14:paraId="719B61A0">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充电机铁质外壳和暴露在外的铁质支架、零件应采取双层防锈措施，非铁质的金属外壳也应具有防氧化保护膜或进行防氧化处理。</w:t>
      </w:r>
    </w:p>
    <w:p w14:paraId="62185EF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（4）防风保护</w:t>
      </w:r>
    </w:p>
    <w:p w14:paraId="4FD9D85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充电机应能承受GB/T 4797.5-2008中规定的不同地区最大风速的侵袭。</w:t>
      </w:r>
    </w:p>
    <w:p w14:paraId="5BE9D0BB">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防护要求</w:t>
      </w:r>
    </w:p>
    <w:p w14:paraId="02353B7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（1）允许温度</w:t>
      </w:r>
    </w:p>
    <w:p w14:paraId="1F27E08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在40℃环境温度下，充电机可用手接触部分允许的最高温度应为：</w:t>
      </w:r>
    </w:p>
    <w:p w14:paraId="4EEAAE1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——金属部分，50℃；</w:t>
      </w:r>
    </w:p>
    <w:p w14:paraId="1B1A03B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——非金属部分，60℃。</w:t>
      </w:r>
    </w:p>
    <w:p w14:paraId="22CCF4D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可以用手接触但不必紧握的部分，在同样条件下允许的最高温度应为：</w:t>
      </w:r>
    </w:p>
    <w:p w14:paraId="4D7B048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——金属部分，60℃；</w:t>
      </w:r>
    </w:p>
    <w:p w14:paraId="4F153E1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——非金属部分，85℃。</w:t>
      </w:r>
    </w:p>
    <w:p w14:paraId="6E1D00E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（2）电击防护</w:t>
      </w:r>
    </w:p>
    <w:p w14:paraId="2BD0F5A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充电机的电击防护应符合GB/T 18487.1-2015中第7章的要求。</w:t>
      </w:r>
    </w:p>
    <w:p w14:paraId="453A9E9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（3）电气间隙和爬电距离</w:t>
      </w:r>
    </w:p>
    <w:p w14:paraId="1CC03F7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充电机的电气间隙和爬电距离应符合表2的规定。</w:t>
      </w:r>
    </w:p>
    <w:p w14:paraId="46B592BD">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表2  电气间隙和爬电距离</w:t>
      </w:r>
    </w:p>
    <w:tbl>
      <w:tblPr>
        <w:tblStyle w:val="64"/>
        <w:tblW w:w="912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185"/>
        <w:gridCol w:w="2894"/>
        <w:gridCol w:w="3041"/>
      </w:tblGrid>
      <w:tr w14:paraId="25E0A3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85" w:type="dxa"/>
            <w:tcBorders>
              <w:top w:val="single" w:color="auto" w:sz="8" w:space="0"/>
              <w:left w:val="single" w:color="auto" w:sz="8" w:space="0"/>
              <w:bottom w:val="single" w:color="auto" w:sz="8" w:space="0"/>
              <w:right w:val="single" w:color="auto" w:sz="4" w:space="0"/>
            </w:tcBorders>
            <w:shd w:val="clear" w:color="auto" w:fill="auto"/>
            <w:vAlign w:val="center"/>
          </w:tcPr>
          <w:p w14:paraId="3A245B31">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额定绝缘电压Ui（V）</w:t>
            </w:r>
          </w:p>
        </w:tc>
        <w:tc>
          <w:tcPr>
            <w:tcW w:w="2894" w:type="dxa"/>
            <w:tcBorders>
              <w:top w:val="single" w:color="auto" w:sz="8" w:space="0"/>
              <w:left w:val="single" w:color="auto" w:sz="4" w:space="0"/>
              <w:bottom w:val="single" w:color="auto" w:sz="8" w:space="0"/>
              <w:right w:val="single" w:color="auto" w:sz="4" w:space="0"/>
            </w:tcBorders>
            <w:shd w:val="clear" w:color="auto" w:fill="auto"/>
            <w:vAlign w:val="center"/>
          </w:tcPr>
          <w:p w14:paraId="397D89E8">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电气间隙（mm）</w:t>
            </w:r>
          </w:p>
        </w:tc>
        <w:tc>
          <w:tcPr>
            <w:tcW w:w="3041" w:type="dxa"/>
            <w:tcBorders>
              <w:top w:val="single" w:color="auto" w:sz="8" w:space="0"/>
              <w:left w:val="single" w:color="auto" w:sz="4" w:space="0"/>
              <w:bottom w:val="single" w:color="auto" w:sz="8" w:space="0"/>
              <w:right w:val="single" w:color="auto" w:sz="8" w:space="0"/>
            </w:tcBorders>
            <w:shd w:val="clear" w:color="auto" w:fill="auto"/>
            <w:vAlign w:val="center"/>
          </w:tcPr>
          <w:p w14:paraId="0B6186F6">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爬电距离（mm）</w:t>
            </w:r>
          </w:p>
        </w:tc>
      </w:tr>
      <w:tr w14:paraId="7BEBCB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85" w:type="dxa"/>
            <w:tcBorders>
              <w:top w:val="single" w:color="auto" w:sz="8" w:space="0"/>
              <w:left w:val="single" w:color="auto" w:sz="8" w:space="0"/>
              <w:bottom w:val="single" w:color="auto" w:sz="8" w:space="0"/>
              <w:right w:val="single" w:color="auto" w:sz="4" w:space="0"/>
            </w:tcBorders>
            <w:shd w:val="clear" w:color="auto" w:fill="auto"/>
            <w:vAlign w:val="center"/>
          </w:tcPr>
          <w:p w14:paraId="1011C7FF">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Ui≤60</w:t>
            </w:r>
          </w:p>
        </w:tc>
        <w:tc>
          <w:tcPr>
            <w:tcW w:w="2894" w:type="dxa"/>
            <w:tcBorders>
              <w:top w:val="single" w:color="auto" w:sz="8" w:space="0"/>
              <w:left w:val="single" w:color="auto" w:sz="4" w:space="0"/>
              <w:bottom w:val="single" w:color="auto" w:sz="8" w:space="0"/>
              <w:right w:val="single" w:color="auto" w:sz="4" w:space="0"/>
            </w:tcBorders>
            <w:shd w:val="clear" w:color="auto" w:fill="auto"/>
            <w:vAlign w:val="center"/>
          </w:tcPr>
          <w:p w14:paraId="2309E9D2">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c>
          <w:tcPr>
            <w:tcW w:w="3041" w:type="dxa"/>
            <w:tcBorders>
              <w:top w:val="single" w:color="auto" w:sz="8" w:space="0"/>
              <w:left w:val="single" w:color="auto" w:sz="4" w:space="0"/>
              <w:bottom w:val="single" w:color="auto" w:sz="8" w:space="0"/>
              <w:right w:val="single" w:color="auto" w:sz="8" w:space="0"/>
            </w:tcBorders>
            <w:shd w:val="clear" w:color="auto" w:fill="auto"/>
            <w:vAlign w:val="center"/>
          </w:tcPr>
          <w:p w14:paraId="0A2810EC">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w:t>
            </w:r>
          </w:p>
        </w:tc>
      </w:tr>
      <w:tr w14:paraId="1B0163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85" w:type="dxa"/>
            <w:tcBorders>
              <w:top w:val="single" w:color="auto" w:sz="8" w:space="0"/>
              <w:left w:val="single" w:color="auto" w:sz="8" w:space="0"/>
              <w:bottom w:val="single" w:color="auto" w:sz="8" w:space="0"/>
              <w:right w:val="single" w:color="auto" w:sz="4" w:space="0"/>
            </w:tcBorders>
            <w:shd w:val="clear" w:color="auto" w:fill="auto"/>
            <w:vAlign w:val="center"/>
          </w:tcPr>
          <w:p w14:paraId="034D3C28">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60＜Ui≤300</w:t>
            </w:r>
          </w:p>
        </w:tc>
        <w:tc>
          <w:tcPr>
            <w:tcW w:w="2894" w:type="dxa"/>
            <w:tcBorders>
              <w:top w:val="single" w:color="auto" w:sz="8" w:space="0"/>
              <w:left w:val="single" w:color="auto" w:sz="4" w:space="0"/>
              <w:bottom w:val="single" w:color="auto" w:sz="8" w:space="0"/>
              <w:right w:val="single" w:color="auto" w:sz="4" w:space="0"/>
            </w:tcBorders>
            <w:shd w:val="clear" w:color="auto" w:fill="auto"/>
            <w:vAlign w:val="center"/>
          </w:tcPr>
          <w:p w14:paraId="4137D306">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5.0</w:t>
            </w:r>
          </w:p>
        </w:tc>
        <w:tc>
          <w:tcPr>
            <w:tcW w:w="3041" w:type="dxa"/>
            <w:tcBorders>
              <w:top w:val="single" w:color="auto" w:sz="8" w:space="0"/>
              <w:left w:val="single" w:color="auto" w:sz="4" w:space="0"/>
              <w:bottom w:val="single" w:color="auto" w:sz="8" w:space="0"/>
              <w:right w:val="single" w:color="auto" w:sz="8" w:space="0"/>
            </w:tcBorders>
            <w:shd w:val="clear" w:color="auto" w:fill="auto"/>
            <w:vAlign w:val="center"/>
          </w:tcPr>
          <w:p w14:paraId="576018EA">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6.0</w:t>
            </w:r>
          </w:p>
        </w:tc>
      </w:tr>
      <w:tr w14:paraId="616838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85" w:type="dxa"/>
            <w:tcBorders>
              <w:top w:val="single" w:color="auto" w:sz="8" w:space="0"/>
              <w:left w:val="single" w:color="auto" w:sz="8" w:space="0"/>
              <w:bottom w:val="single" w:color="auto" w:sz="8" w:space="0"/>
              <w:right w:val="single" w:color="auto" w:sz="4" w:space="0"/>
            </w:tcBorders>
            <w:shd w:val="clear" w:color="auto" w:fill="auto"/>
            <w:vAlign w:val="center"/>
          </w:tcPr>
          <w:p w14:paraId="1B374224">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300＜Ui≤700</w:t>
            </w:r>
          </w:p>
        </w:tc>
        <w:tc>
          <w:tcPr>
            <w:tcW w:w="2894" w:type="dxa"/>
            <w:tcBorders>
              <w:top w:val="single" w:color="auto" w:sz="8" w:space="0"/>
              <w:left w:val="single" w:color="auto" w:sz="4" w:space="0"/>
              <w:bottom w:val="single" w:color="auto" w:sz="8" w:space="0"/>
              <w:right w:val="single" w:color="auto" w:sz="4" w:space="0"/>
            </w:tcBorders>
            <w:shd w:val="clear" w:color="auto" w:fill="auto"/>
            <w:vAlign w:val="center"/>
          </w:tcPr>
          <w:p w14:paraId="06490BE8">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8.0</w:t>
            </w:r>
          </w:p>
        </w:tc>
        <w:tc>
          <w:tcPr>
            <w:tcW w:w="3041" w:type="dxa"/>
            <w:tcBorders>
              <w:top w:val="single" w:color="auto" w:sz="8" w:space="0"/>
              <w:left w:val="single" w:color="auto" w:sz="4" w:space="0"/>
              <w:bottom w:val="single" w:color="auto" w:sz="8" w:space="0"/>
              <w:right w:val="single" w:color="auto" w:sz="8" w:space="0"/>
            </w:tcBorders>
            <w:shd w:val="clear" w:color="auto" w:fill="auto"/>
            <w:vAlign w:val="center"/>
          </w:tcPr>
          <w:p w14:paraId="5B2538D3">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10.0</w:t>
            </w:r>
          </w:p>
        </w:tc>
      </w:tr>
      <w:tr w14:paraId="69A99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120" w:type="dxa"/>
            <w:gridSpan w:val="3"/>
            <w:tcBorders>
              <w:top w:val="single" w:color="auto" w:sz="8" w:space="0"/>
              <w:left w:val="single" w:color="auto" w:sz="8" w:space="0"/>
              <w:bottom w:val="single" w:color="auto" w:sz="8" w:space="0"/>
              <w:right w:val="single" w:color="auto" w:sz="8" w:space="0"/>
            </w:tcBorders>
            <w:shd w:val="clear" w:color="auto" w:fill="auto"/>
            <w:vAlign w:val="center"/>
          </w:tcPr>
          <w:p w14:paraId="37FA3EA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注1：当主电路与控制电路或辅助电路的额定绝缘电压不一致时，其电气间隙和爬电距离可分别按其额定值选取。</w:t>
            </w:r>
          </w:p>
          <w:p w14:paraId="5F4B2A9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注2：具有不同额定值主电路或控制电路导电部分之间的电气间隙与爬电距离，应按最高额定绝缘电压选取。</w:t>
            </w:r>
          </w:p>
          <w:p w14:paraId="0F1447F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注3：小母线、汇流排或不同级的裸露的带电导体之间，以及裸露的带电导体与未经绝缘的不带电导体之间的电气间隙不小于12mm，爬电距离不小于20mm。</w:t>
            </w:r>
          </w:p>
        </w:tc>
      </w:tr>
    </w:tbl>
    <w:p w14:paraId="268C203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（4）接地要求</w:t>
      </w:r>
    </w:p>
    <w:p w14:paraId="7B874D9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充电机的接地要求应能满足以下的规定：</w:t>
      </w:r>
    </w:p>
    <w:p w14:paraId="0DB9B25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a)充电机金属壳体应设置接地螺栓，其直径不得小于6mm，并应有接地标志。</w:t>
      </w:r>
    </w:p>
    <w:p w14:paraId="0A36757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b)所有作为隔离带电导体的金属隔板、电气元件的金属外壳以及金属手柄等均应有效接地，连续性电阻不应大于0.1Ω。</w:t>
      </w:r>
    </w:p>
    <w:p w14:paraId="6D5C31A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c)充电机的门、盖板、覆板和类似部件，应采用保护导体将这些部件和充电机主体框架连接，此保护导体的截面积不得小于2.5mm2。</w:t>
      </w:r>
    </w:p>
    <w:p w14:paraId="2BEDE02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d)接地母线和柜体之间的所有连接应躲开（或穿透绝缘层）喷漆层，以保证有效的电气连接。</w:t>
      </w:r>
    </w:p>
    <w:p w14:paraId="794280E8">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安全要求</w:t>
      </w:r>
    </w:p>
    <w:p w14:paraId="1107FB7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充电机的安全性要求应满足GB/T 18487.1-2015附录B中对应的描述及技术参数要求。以下需提供第三方检验检测机构出具的检测报告佐证。</w:t>
      </w:r>
    </w:p>
    <w:p w14:paraId="76A44C5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充电机应具备电源输入侧的过压保护和欠压保护。</w:t>
      </w:r>
    </w:p>
    <w:p w14:paraId="2A02321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充电机应具备输出过压保护。</w:t>
      </w:r>
    </w:p>
    <w:p w14:paraId="23C1921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充电机应具备输出过电流和短路保护。</w:t>
      </w:r>
    </w:p>
    <w:p w14:paraId="00A1FAB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充电机应具备内部过温保护，当内部温度达到保护值时，采取降功率或停止输出。需具备超温断电功能，当温度过高时，可自动切断充电，防止发生高温自燃等意外，保护充电设备及新能源汽车安全。</w:t>
      </w:r>
    </w:p>
    <w:p w14:paraId="55987A1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充电过程中20分钟内温度升高超过15度保护。</w:t>
      </w:r>
    </w:p>
    <w:p w14:paraId="66B76AC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充电机的绝缘检测功能应与车辆绝缘检测功能相配合。</w:t>
      </w:r>
    </w:p>
    <w:p w14:paraId="0328CEA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充电过程中当发生下列情况时，充电机应能在100ms内断开直流输出接触器，且直流输出电压应在1s内下降至60V以下。</w:t>
      </w:r>
    </w:p>
    <w:p w14:paraId="41544C0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启动急停开关；</w:t>
      </w:r>
    </w:p>
    <w:p w14:paraId="08CF8EA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控制导引故障。</w:t>
      </w:r>
    </w:p>
    <w:p w14:paraId="15AE2FA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充电机在启动充电时应人工确认启动。</w:t>
      </w:r>
    </w:p>
    <w:p w14:paraId="2D775A5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充电机应具备软启动功能，软启动时间为3s～8s。</w:t>
      </w:r>
    </w:p>
    <w:p w14:paraId="21BD50E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充电机应具备限制冲击电流功能，冲击电流不应超过额定输入电流的110%。</w:t>
      </w:r>
    </w:p>
    <w:p w14:paraId="2AF4A05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充电机应具备电池反接保护功能。</w:t>
      </w:r>
    </w:p>
    <w:p w14:paraId="72F5DD1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充电机在自动充电前，应具有电池电压检测功能。</w:t>
      </w:r>
    </w:p>
    <w:p w14:paraId="73BE4A3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在充电过程中应具有防止充电连接器意外脱落的锁止装置，直流充电时，车辆接口应具有锁止功能，该锁止功能应符合GB/T20234.1的相关要求。车辆插头端应安装机械锁止装置，供电设备应能判断机械锁是否可靠锁止。车辆插头应安装电子锁止装置，电子锁处于锁止位置时，机械锁应无法操作，供电设备应能判断电子锁是否可靠锁止。当机械锁或电子锁未可靠锁止时，供电设备应停止充电或不启动充电。直流充电车辆接口锁止装置工作示例参见GB/T18487.1-2015附录C。</w:t>
      </w:r>
    </w:p>
    <w:p w14:paraId="68EE2280">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充电过程中BMS传递的SOC/V/I/Vcell Max/Tempture这些信息维持不变超过3分钟保护。</w:t>
      </w:r>
    </w:p>
    <w:p w14:paraId="6F3A668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充电机应具备防止电池电流倒灌功能。</w:t>
      </w:r>
    </w:p>
    <w:p w14:paraId="2264B5E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具备预充电功能。当充电机检测到电动汽车直流接触器闭合后，充电机应检测电池端电压；充电机检测到电池端电压后需进行预充，将功率模块输出电压升到与电池端电压测量值之差小于10V后，方可闭合充电机输出接触器。</w:t>
      </w:r>
    </w:p>
    <w:p w14:paraId="5763F88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充电机在每个充电周期内进行接触器触点烧结检测。当检测到接触器触点出现粘连的情况后，充电机不得继续工作。</w:t>
      </w:r>
    </w:p>
    <w:p w14:paraId="2450627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充电机必须保证充电机输出接触器闭合发生在车辆直流充电接触器闭合之后，其时间间隔不得低于500ms。</w:t>
      </w:r>
    </w:p>
    <w:p w14:paraId="7AF3656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充电机在充电停止状态下，应保证直流输出回路处于断开状态。</w:t>
      </w:r>
    </w:p>
    <w:p w14:paraId="26C687A0">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温升</w:t>
      </w:r>
    </w:p>
    <w:p w14:paraId="45D75FC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正常试验条件下，交流输入为额定值，在额定负载下长期连续运行，充电机内部各发热元器件及各部位的温升不应超过中的规定。</w:t>
      </w:r>
    </w:p>
    <w:p w14:paraId="36F1A3FD">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充电机各部件极限温升</w:t>
      </w:r>
    </w:p>
    <w:tbl>
      <w:tblPr>
        <w:tblStyle w:val="64"/>
        <w:tblW w:w="8522" w:type="dxa"/>
        <w:tblInd w:w="0" w:type="dxa"/>
        <w:tblLayout w:type="fixed"/>
        <w:tblCellMar>
          <w:top w:w="0" w:type="dxa"/>
          <w:left w:w="108" w:type="dxa"/>
          <w:bottom w:w="0" w:type="dxa"/>
          <w:right w:w="108" w:type="dxa"/>
        </w:tblCellMar>
      </w:tblPr>
      <w:tblGrid>
        <w:gridCol w:w="4551"/>
        <w:gridCol w:w="3971"/>
      </w:tblGrid>
      <w:tr w14:paraId="2AD73167">
        <w:tblPrEx>
          <w:tblCellMar>
            <w:top w:w="0" w:type="dxa"/>
            <w:left w:w="108" w:type="dxa"/>
            <w:bottom w:w="0" w:type="dxa"/>
            <w:right w:w="108" w:type="dxa"/>
          </w:tblCellMar>
        </w:tblPrEx>
        <w:trPr>
          <w:trHeight w:val="170" w:hRule="atLeast"/>
        </w:trPr>
        <w:tc>
          <w:tcPr>
            <w:tcW w:w="45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282C0D">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部 件 或 器 件</w:t>
            </w:r>
          </w:p>
        </w:tc>
        <w:tc>
          <w:tcPr>
            <w:tcW w:w="39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6DC2EF">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极 限 温 升（K）</w:t>
            </w:r>
          </w:p>
        </w:tc>
      </w:tr>
      <w:tr w14:paraId="6E3E5DCE">
        <w:tblPrEx>
          <w:tblCellMar>
            <w:top w:w="0" w:type="dxa"/>
            <w:left w:w="108" w:type="dxa"/>
            <w:bottom w:w="0" w:type="dxa"/>
            <w:right w:w="108" w:type="dxa"/>
          </w:tblCellMar>
        </w:tblPrEx>
        <w:trPr>
          <w:trHeight w:val="170" w:hRule="atLeast"/>
        </w:trPr>
        <w:tc>
          <w:tcPr>
            <w:tcW w:w="45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46941E">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功率开关器件</w:t>
            </w:r>
          </w:p>
        </w:tc>
        <w:tc>
          <w:tcPr>
            <w:tcW w:w="39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A6D7F0E">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70</w:t>
            </w:r>
          </w:p>
        </w:tc>
      </w:tr>
      <w:tr w14:paraId="01A90959">
        <w:tblPrEx>
          <w:tblCellMar>
            <w:top w:w="0" w:type="dxa"/>
            <w:left w:w="108" w:type="dxa"/>
            <w:bottom w:w="0" w:type="dxa"/>
            <w:right w:w="108" w:type="dxa"/>
          </w:tblCellMar>
        </w:tblPrEx>
        <w:trPr>
          <w:trHeight w:val="170" w:hRule="atLeast"/>
        </w:trPr>
        <w:tc>
          <w:tcPr>
            <w:tcW w:w="45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A999C50">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整流变压器、电抗器（B级绝缘绕组）</w:t>
            </w:r>
          </w:p>
        </w:tc>
        <w:tc>
          <w:tcPr>
            <w:tcW w:w="39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C9CDF0">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80</w:t>
            </w:r>
          </w:p>
        </w:tc>
      </w:tr>
      <w:tr w14:paraId="33EEBB24">
        <w:tblPrEx>
          <w:tblCellMar>
            <w:top w:w="0" w:type="dxa"/>
            <w:left w:w="108" w:type="dxa"/>
            <w:bottom w:w="0" w:type="dxa"/>
            <w:right w:w="108" w:type="dxa"/>
          </w:tblCellMar>
        </w:tblPrEx>
        <w:trPr>
          <w:trHeight w:val="170" w:hRule="atLeast"/>
        </w:trPr>
        <w:tc>
          <w:tcPr>
            <w:tcW w:w="45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7F95F9C">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与半导体器件的连接处</w:t>
            </w:r>
          </w:p>
        </w:tc>
        <w:tc>
          <w:tcPr>
            <w:tcW w:w="39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BE17C3">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55</w:t>
            </w:r>
          </w:p>
        </w:tc>
      </w:tr>
      <w:tr w14:paraId="31E1426F">
        <w:tblPrEx>
          <w:tblCellMar>
            <w:top w:w="0" w:type="dxa"/>
            <w:left w:w="108" w:type="dxa"/>
            <w:bottom w:w="0" w:type="dxa"/>
            <w:right w:w="108" w:type="dxa"/>
          </w:tblCellMar>
        </w:tblPrEx>
        <w:trPr>
          <w:trHeight w:val="170" w:hRule="atLeast"/>
        </w:trPr>
        <w:tc>
          <w:tcPr>
            <w:tcW w:w="45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9BC9E2">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与半导体器件的连接处的塑料绝缘线</w:t>
            </w:r>
          </w:p>
        </w:tc>
        <w:tc>
          <w:tcPr>
            <w:tcW w:w="39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9716B1">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25</w:t>
            </w:r>
          </w:p>
        </w:tc>
      </w:tr>
      <w:tr w14:paraId="52E67F92">
        <w:tblPrEx>
          <w:tblCellMar>
            <w:top w:w="0" w:type="dxa"/>
            <w:left w:w="108" w:type="dxa"/>
            <w:bottom w:w="0" w:type="dxa"/>
            <w:right w:w="108" w:type="dxa"/>
          </w:tblCellMar>
        </w:tblPrEx>
        <w:trPr>
          <w:trHeight w:val="170" w:hRule="atLeast"/>
        </w:trPr>
        <w:tc>
          <w:tcPr>
            <w:tcW w:w="455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FE265A">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母线连接处</w:t>
            </w:r>
          </w:p>
          <w:p w14:paraId="50771B76">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铜与铜</w:t>
            </w:r>
          </w:p>
          <w:p w14:paraId="560F5FAC">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铜搪锡——铜搪锡</w:t>
            </w:r>
          </w:p>
        </w:tc>
        <w:tc>
          <w:tcPr>
            <w:tcW w:w="39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2599EB">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50</w:t>
            </w:r>
          </w:p>
          <w:p w14:paraId="6A8DA63B">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50</w:t>
            </w:r>
          </w:p>
          <w:p w14:paraId="33A675A2">
            <w:pPr>
              <w:pageBreakBefore w:val="0"/>
              <w:kinsoku/>
              <w:wordWrap/>
              <w:overflowPunct/>
              <w:bidi w:val="0"/>
              <w:spacing w:line="360" w:lineRule="exact"/>
              <w:ind w:left="0" w:leftChars="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60</w:t>
            </w:r>
          </w:p>
        </w:tc>
      </w:tr>
    </w:tbl>
    <w:p w14:paraId="372CA5A3">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高低温和湿热性能</w:t>
      </w:r>
    </w:p>
    <w:p w14:paraId="31452FA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（1）低温性能</w:t>
      </w:r>
    </w:p>
    <w:p w14:paraId="2F182D7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试验温度为规定的下限值，待达到试验温度后启动充电机，充电机应能正常工作。测试充电机的稳压精度应不超过±0.5%。</w:t>
      </w:r>
    </w:p>
    <w:p w14:paraId="0746CE0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（2）高温性能</w:t>
      </w:r>
    </w:p>
    <w:p w14:paraId="150C0BB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试验温度为规定的上限值，待达到试验温度后启动充电机，充电机应能正常工作。测试充电机的稳压精度应不超过±0.5%。</w:t>
      </w:r>
    </w:p>
    <w:p w14:paraId="4410C82F">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（3）湿热性能</w:t>
      </w:r>
    </w:p>
    <w:p w14:paraId="0B219AE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按GB/T 2423.4-2008中试验Db规定的方法进行试验，试验温度为（40±2）℃，循环次数为2次，在试验结束前2h进行绝缘电阻和介电强度检测，其中绝缘电阻不应小于1MΩ，介电强度按规定值的75%施加测量电压。试验结束后，恢复至正常大气条件，通电后检查充电机各项功能应正常。</w:t>
      </w:r>
    </w:p>
    <w:p w14:paraId="6C1D6156">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机械强度</w:t>
      </w:r>
    </w:p>
    <w:p w14:paraId="3358199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按GB/T 2423.55-2006规定的方法进行试验，剧烈冲击能量为20J（5kg，在0.4m）。试验结束后，充电机的IP等级不受影响，绝缘性能不应降低，门的操作和锁止点不应损坏。</w:t>
      </w:r>
    </w:p>
    <w:p w14:paraId="41B4D50B">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充电输出参数、电磁兼容、可靠性要求</w:t>
      </w:r>
    </w:p>
    <w:tbl>
      <w:tblPr>
        <w:tblStyle w:val="64"/>
        <w:tblW w:w="4997" w:type="pct"/>
        <w:jc w:val="center"/>
        <w:tblLayout w:type="autofit"/>
        <w:tblCellMar>
          <w:top w:w="32" w:type="dxa"/>
          <w:left w:w="64" w:type="dxa"/>
          <w:bottom w:w="32" w:type="dxa"/>
          <w:right w:w="64" w:type="dxa"/>
        </w:tblCellMar>
      </w:tblPr>
      <w:tblGrid>
        <w:gridCol w:w="745"/>
        <w:gridCol w:w="627"/>
        <w:gridCol w:w="3750"/>
        <w:gridCol w:w="867"/>
        <w:gridCol w:w="3091"/>
      </w:tblGrid>
      <w:tr w14:paraId="50079276">
        <w:tblPrEx>
          <w:tblCellMar>
            <w:top w:w="32" w:type="dxa"/>
            <w:left w:w="64" w:type="dxa"/>
            <w:bottom w:w="32" w:type="dxa"/>
            <w:right w:w="64" w:type="dxa"/>
          </w:tblCellMar>
        </w:tblPrEx>
        <w:trPr>
          <w:trHeight w:val="0" w:hRule="atLeast"/>
          <w:jc w:val="center"/>
        </w:trPr>
        <w:tc>
          <w:tcPr>
            <w:tcW w:w="410" w:type="pct"/>
            <w:tcBorders>
              <w:top w:val="single" w:color="auto" w:sz="4" w:space="0"/>
              <w:left w:val="single" w:color="auto" w:sz="4" w:space="0"/>
              <w:bottom w:val="single" w:color="auto" w:sz="4" w:space="0"/>
              <w:right w:val="single" w:color="auto" w:sz="4" w:space="0"/>
            </w:tcBorders>
            <w:shd w:val="clear" w:color="auto" w:fill="auto"/>
            <w:vAlign w:val="center"/>
          </w:tcPr>
          <w:p w14:paraId="7E6517ED">
            <w:pPr>
              <w:pageBreakBefore w:val="0"/>
              <w:kinsoku/>
              <w:wordWrap/>
              <w:overflowPunct/>
              <w:bidi w:val="0"/>
              <w:snapToGrid w:val="0"/>
              <w:spacing w:line="360" w:lineRule="exact"/>
              <w:jc w:val="center"/>
              <w:rPr>
                <w:rFonts w:hint="eastAsia" w:ascii="仿宋" w:hAnsi="仿宋" w:eastAsia="仿宋" w:cs="仿宋"/>
                <w:b/>
                <w:color w:val="auto"/>
                <w:szCs w:val="21"/>
                <w:highlight w:val="none"/>
              </w:rPr>
            </w:pPr>
            <w:r>
              <w:rPr>
                <w:rFonts w:hint="eastAsia" w:ascii="仿宋" w:hAnsi="仿宋" w:eastAsia="仿宋" w:cs="仿宋"/>
                <w:b/>
                <w:color w:val="auto"/>
                <w:sz w:val="21"/>
                <w:szCs w:val="21"/>
                <w:highlight w:val="none"/>
                <w:lang w:eastAsia="zh-CN"/>
              </w:rPr>
              <w:t>序号</w:t>
            </w:r>
          </w:p>
        </w:tc>
        <w:tc>
          <w:tcPr>
            <w:tcW w:w="345" w:type="pct"/>
            <w:tcBorders>
              <w:top w:val="single" w:color="auto" w:sz="4" w:space="0"/>
              <w:left w:val="nil"/>
              <w:bottom w:val="single" w:color="auto" w:sz="4" w:space="0"/>
              <w:right w:val="single" w:color="auto" w:sz="4" w:space="0"/>
            </w:tcBorders>
            <w:shd w:val="clear" w:color="auto" w:fill="auto"/>
            <w:vAlign w:val="center"/>
          </w:tcPr>
          <w:p w14:paraId="1B37CB74">
            <w:pPr>
              <w:pageBreakBefore w:val="0"/>
              <w:kinsoku/>
              <w:wordWrap/>
              <w:overflowPunct/>
              <w:bidi w:val="0"/>
              <w:snapToGrid w:val="0"/>
              <w:spacing w:line="360" w:lineRule="exact"/>
              <w:jc w:val="center"/>
              <w:rPr>
                <w:rFonts w:hint="eastAsia" w:ascii="仿宋" w:hAnsi="仿宋" w:eastAsia="仿宋" w:cs="仿宋"/>
                <w:b/>
                <w:color w:val="auto"/>
                <w:szCs w:val="21"/>
                <w:highlight w:val="none"/>
              </w:rPr>
            </w:pPr>
            <w:r>
              <w:rPr>
                <w:rFonts w:hint="eastAsia" w:ascii="仿宋" w:hAnsi="仿宋" w:eastAsia="仿宋" w:cs="仿宋"/>
                <w:b/>
                <w:color w:val="auto"/>
                <w:sz w:val="21"/>
                <w:szCs w:val="21"/>
                <w:highlight w:val="none"/>
                <w:lang w:eastAsia="zh-CN"/>
              </w:rPr>
              <w:t>名称</w:t>
            </w:r>
          </w:p>
        </w:tc>
        <w:tc>
          <w:tcPr>
            <w:tcW w:w="2064" w:type="pct"/>
            <w:tcBorders>
              <w:top w:val="single" w:color="auto" w:sz="4" w:space="0"/>
              <w:left w:val="nil"/>
              <w:bottom w:val="single" w:color="auto" w:sz="4" w:space="0"/>
              <w:right w:val="single" w:color="auto" w:sz="4" w:space="0"/>
            </w:tcBorders>
            <w:shd w:val="clear" w:color="auto" w:fill="auto"/>
            <w:vAlign w:val="center"/>
          </w:tcPr>
          <w:p w14:paraId="20629C1E">
            <w:pPr>
              <w:pageBreakBefore w:val="0"/>
              <w:kinsoku/>
              <w:wordWrap/>
              <w:overflowPunct/>
              <w:bidi w:val="0"/>
              <w:snapToGrid w:val="0"/>
              <w:spacing w:line="360" w:lineRule="exact"/>
              <w:ind w:left="0" w:leftChars="0" w:firstLine="422" w:firstLineChars="200"/>
              <w:jc w:val="center"/>
              <w:rPr>
                <w:rFonts w:hint="eastAsia" w:ascii="仿宋" w:hAnsi="仿宋" w:eastAsia="仿宋" w:cs="仿宋"/>
                <w:b/>
                <w:color w:val="auto"/>
                <w:szCs w:val="21"/>
                <w:highlight w:val="none"/>
              </w:rPr>
            </w:pPr>
            <w:r>
              <w:rPr>
                <w:rFonts w:hint="eastAsia" w:ascii="仿宋" w:hAnsi="仿宋" w:eastAsia="仿宋" w:cs="仿宋"/>
                <w:b/>
                <w:color w:val="auto"/>
                <w:sz w:val="21"/>
                <w:szCs w:val="21"/>
                <w:highlight w:val="none"/>
                <w:lang w:eastAsia="zh-CN"/>
              </w:rPr>
              <w:t>项目</w:t>
            </w:r>
          </w:p>
        </w:tc>
        <w:tc>
          <w:tcPr>
            <w:tcW w:w="477" w:type="pct"/>
            <w:tcBorders>
              <w:top w:val="single" w:color="auto" w:sz="4" w:space="0"/>
              <w:left w:val="nil"/>
              <w:bottom w:val="single" w:color="auto" w:sz="4" w:space="0"/>
              <w:right w:val="single" w:color="auto" w:sz="4" w:space="0"/>
            </w:tcBorders>
            <w:shd w:val="clear" w:color="auto" w:fill="auto"/>
            <w:vAlign w:val="center"/>
          </w:tcPr>
          <w:p w14:paraId="002BB8F7">
            <w:pPr>
              <w:pageBreakBefore w:val="0"/>
              <w:kinsoku/>
              <w:wordWrap/>
              <w:overflowPunct/>
              <w:bidi w:val="0"/>
              <w:snapToGrid w:val="0"/>
              <w:spacing w:line="360" w:lineRule="exact"/>
              <w:jc w:val="center"/>
              <w:rPr>
                <w:rFonts w:hint="eastAsia" w:ascii="仿宋" w:hAnsi="仿宋" w:eastAsia="仿宋" w:cs="仿宋"/>
                <w:b/>
                <w:color w:val="auto"/>
                <w:szCs w:val="21"/>
                <w:highlight w:val="none"/>
              </w:rPr>
            </w:pPr>
            <w:r>
              <w:rPr>
                <w:rFonts w:hint="eastAsia" w:ascii="仿宋" w:hAnsi="仿宋" w:eastAsia="仿宋" w:cs="仿宋"/>
                <w:b/>
                <w:color w:val="auto"/>
                <w:sz w:val="21"/>
                <w:szCs w:val="21"/>
                <w:highlight w:val="none"/>
                <w:lang w:eastAsia="zh-CN"/>
              </w:rPr>
              <w:t>单位</w:t>
            </w:r>
          </w:p>
        </w:tc>
        <w:tc>
          <w:tcPr>
            <w:tcW w:w="1701" w:type="pct"/>
            <w:tcBorders>
              <w:top w:val="single" w:color="auto" w:sz="4" w:space="0"/>
              <w:left w:val="nil"/>
              <w:bottom w:val="single" w:color="auto" w:sz="4" w:space="0"/>
              <w:right w:val="single" w:color="auto" w:sz="4" w:space="0"/>
            </w:tcBorders>
            <w:shd w:val="clear" w:color="auto" w:fill="auto"/>
            <w:vAlign w:val="center"/>
          </w:tcPr>
          <w:p w14:paraId="7841546B">
            <w:pPr>
              <w:pageBreakBefore w:val="0"/>
              <w:kinsoku/>
              <w:wordWrap/>
              <w:overflowPunct/>
              <w:bidi w:val="0"/>
              <w:snapToGrid w:val="0"/>
              <w:spacing w:line="360" w:lineRule="exact"/>
              <w:ind w:left="0" w:leftChars="0" w:firstLine="422" w:firstLineChars="200"/>
              <w:jc w:val="center"/>
              <w:rPr>
                <w:rFonts w:hint="eastAsia" w:ascii="仿宋" w:hAnsi="仿宋" w:eastAsia="仿宋" w:cs="仿宋"/>
                <w:b/>
                <w:color w:val="auto"/>
                <w:szCs w:val="21"/>
                <w:highlight w:val="none"/>
              </w:rPr>
            </w:pPr>
            <w:r>
              <w:rPr>
                <w:rFonts w:hint="eastAsia" w:ascii="仿宋" w:hAnsi="仿宋" w:eastAsia="仿宋" w:cs="仿宋"/>
                <w:b/>
                <w:color w:val="auto"/>
                <w:sz w:val="21"/>
                <w:szCs w:val="21"/>
                <w:highlight w:val="none"/>
                <w:lang w:eastAsia="zh-CN"/>
              </w:rPr>
              <w:t>技术参数要求</w:t>
            </w:r>
          </w:p>
        </w:tc>
      </w:tr>
      <w:tr w14:paraId="5AFB8C57">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7215448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345" w:type="pct"/>
            <w:vMerge w:val="restart"/>
            <w:tcBorders>
              <w:top w:val="nil"/>
              <w:left w:val="single" w:color="auto" w:sz="4" w:space="0"/>
              <w:bottom w:val="single" w:color="auto" w:sz="4" w:space="0"/>
              <w:right w:val="single" w:color="auto" w:sz="4" w:space="0"/>
            </w:tcBorders>
            <w:shd w:val="clear" w:color="auto" w:fill="auto"/>
            <w:vAlign w:val="center"/>
          </w:tcPr>
          <w:p w14:paraId="0DE9FB5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02564EA1">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交流输入电压</w:t>
            </w:r>
          </w:p>
        </w:tc>
        <w:tc>
          <w:tcPr>
            <w:tcW w:w="477" w:type="pct"/>
            <w:tcBorders>
              <w:top w:val="nil"/>
              <w:left w:val="nil"/>
              <w:bottom w:val="single" w:color="auto" w:sz="4" w:space="0"/>
              <w:right w:val="single" w:color="auto" w:sz="4" w:space="0"/>
            </w:tcBorders>
            <w:shd w:val="clear" w:color="auto" w:fill="auto"/>
            <w:vAlign w:val="center"/>
          </w:tcPr>
          <w:p w14:paraId="73CDF80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V</w:t>
            </w:r>
          </w:p>
        </w:tc>
        <w:tc>
          <w:tcPr>
            <w:tcW w:w="1701" w:type="pct"/>
            <w:tcBorders>
              <w:top w:val="nil"/>
              <w:left w:val="nil"/>
              <w:bottom w:val="single" w:color="auto" w:sz="4" w:space="0"/>
              <w:right w:val="single" w:color="auto" w:sz="4" w:space="0"/>
            </w:tcBorders>
            <w:shd w:val="clear" w:color="auto" w:fill="auto"/>
            <w:vAlign w:val="center"/>
          </w:tcPr>
          <w:p w14:paraId="6DF48606">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三相380：323～437</w:t>
            </w:r>
          </w:p>
        </w:tc>
      </w:tr>
      <w:tr w14:paraId="189EFFC3">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68B7AD01">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2CEB850A">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11CB11B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交流电源频率</w:t>
            </w:r>
          </w:p>
        </w:tc>
        <w:tc>
          <w:tcPr>
            <w:tcW w:w="477" w:type="pct"/>
            <w:tcBorders>
              <w:top w:val="nil"/>
              <w:left w:val="nil"/>
              <w:bottom w:val="single" w:color="auto" w:sz="4" w:space="0"/>
              <w:right w:val="single" w:color="auto" w:sz="4" w:space="0"/>
            </w:tcBorders>
            <w:shd w:val="clear" w:color="auto" w:fill="auto"/>
            <w:vAlign w:val="center"/>
          </w:tcPr>
          <w:p w14:paraId="34AF87B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Hz</w:t>
            </w:r>
          </w:p>
        </w:tc>
        <w:tc>
          <w:tcPr>
            <w:tcW w:w="1701" w:type="pct"/>
            <w:tcBorders>
              <w:top w:val="nil"/>
              <w:left w:val="nil"/>
              <w:bottom w:val="single" w:color="auto" w:sz="4" w:space="0"/>
              <w:right w:val="single" w:color="auto" w:sz="4" w:space="0"/>
            </w:tcBorders>
            <w:shd w:val="clear" w:color="auto" w:fill="auto"/>
            <w:vAlign w:val="center"/>
          </w:tcPr>
          <w:p w14:paraId="0F9F799A">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50±1</w:t>
            </w:r>
          </w:p>
        </w:tc>
      </w:tr>
      <w:tr w14:paraId="3691908C">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12AB90F7">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4</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014F64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41E8E98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输入功率因数</w:t>
            </w:r>
          </w:p>
        </w:tc>
        <w:tc>
          <w:tcPr>
            <w:tcW w:w="477" w:type="pct"/>
            <w:tcBorders>
              <w:top w:val="nil"/>
              <w:left w:val="nil"/>
              <w:bottom w:val="single" w:color="auto" w:sz="4" w:space="0"/>
              <w:right w:val="single" w:color="auto" w:sz="4" w:space="0"/>
            </w:tcBorders>
            <w:shd w:val="clear" w:color="auto" w:fill="auto"/>
            <w:vAlign w:val="center"/>
          </w:tcPr>
          <w:p w14:paraId="5A7EB494">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3E4529F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≥0.99</w:t>
            </w:r>
          </w:p>
        </w:tc>
      </w:tr>
      <w:tr w14:paraId="2745FA62">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2811D7F4">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20DD013">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380D788A">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直流电压调节范围</w:t>
            </w:r>
          </w:p>
        </w:tc>
        <w:tc>
          <w:tcPr>
            <w:tcW w:w="477" w:type="pct"/>
            <w:tcBorders>
              <w:top w:val="nil"/>
              <w:left w:val="nil"/>
              <w:bottom w:val="single" w:color="auto" w:sz="4" w:space="0"/>
              <w:right w:val="single" w:color="auto" w:sz="4" w:space="0"/>
            </w:tcBorders>
            <w:shd w:val="clear" w:color="auto" w:fill="auto"/>
            <w:vAlign w:val="center"/>
          </w:tcPr>
          <w:p w14:paraId="61E97DA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V</w:t>
            </w:r>
          </w:p>
        </w:tc>
        <w:tc>
          <w:tcPr>
            <w:tcW w:w="1701" w:type="pct"/>
            <w:tcBorders>
              <w:top w:val="nil"/>
              <w:left w:val="nil"/>
              <w:bottom w:val="single" w:color="auto" w:sz="4" w:space="0"/>
              <w:right w:val="single" w:color="auto" w:sz="4" w:space="0"/>
            </w:tcBorders>
            <w:shd w:val="clear" w:color="auto" w:fill="auto"/>
            <w:vAlign w:val="center"/>
          </w:tcPr>
          <w:p w14:paraId="3D80A023">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200-1000V</w:t>
            </w:r>
          </w:p>
        </w:tc>
      </w:tr>
      <w:tr w14:paraId="3F76DA2F">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53BF8C65">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6</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42BB2B1">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10ED518F">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高频开关电源模块</w:t>
            </w:r>
          </w:p>
        </w:tc>
        <w:tc>
          <w:tcPr>
            <w:tcW w:w="477" w:type="pct"/>
            <w:tcBorders>
              <w:top w:val="nil"/>
              <w:left w:val="nil"/>
              <w:bottom w:val="single" w:color="auto" w:sz="4" w:space="0"/>
              <w:right w:val="single" w:color="auto" w:sz="4" w:space="0"/>
            </w:tcBorders>
            <w:shd w:val="clear" w:color="auto" w:fill="auto"/>
            <w:vAlign w:val="center"/>
          </w:tcPr>
          <w:p w14:paraId="50B9C57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kW</w:t>
            </w:r>
          </w:p>
        </w:tc>
        <w:tc>
          <w:tcPr>
            <w:tcW w:w="1701" w:type="pct"/>
            <w:tcBorders>
              <w:top w:val="nil"/>
              <w:left w:val="nil"/>
              <w:bottom w:val="single" w:color="auto" w:sz="4" w:space="0"/>
              <w:right w:val="single" w:color="auto" w:sz="4" w:space="0"/>
            </w:tcBorders>
            <w:shd w:val="clear" w:color="auto" w:fill="auto"/>
            <w:vAlign w:val="center"/>
          </w:tcPr>
          <w:p w14:paraId="3288B268">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20</w:t>
            </w:r>
          </w:p>
        </w:tc>
      </w:tr>
      <w:tr w14:paraId="3B27717F">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3ED02006">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2C14D80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F02B656">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电流连续可调范围</w:t>
            </w:r>
          </w:p>
        </w:tc>
        <w:tc>
          <w:tcPr>
            <w:tcW w:w="477" w:type="pct"/>
            <w:tcBorders>
              <w:top w:val="nil"/>
              <w:left w:val="nil"/>
              <w:bottom w:val="single" w:color="auto" w:sz="4" w:space="0"/>
              <w:right w:val="single" w:color="auto" w:sz="4" w:space="0"/>
            </w:tcBorders>
            <w:shd w:val="clear" w:color="auto" w:fill="auto"/>
            <w:vAlign w:val="center"/>
          </w:tcPr>
          <w:p w14:paraId="6A05678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A</w:t>
            </w:r>
          </w:p>
        </w:tc>
        <w:tc>
          <w:tcPr>
            <w:tcW w:w="1701" w:type="pct"/>
            <w:tcBorders>
              <w:top w:val="nil"/>
              <w:left w:val="nil"/>
              <w:bottom w:val="single" w:color="auto" w:sz="4" w:space="0"/>
              <w:right w:val="single" w:color="auto" w:sz="4" w:space="0"/>
            </w:tcBorders>
            <w:shd w:val="clear" w:color="auto" w:fill="auto"/>
            <w:vAlign w:val="center"/>
          </w:tcPr>
          <w:p w14:paraId="4B1B81E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0-50</w:t>
            </w:r>
          </w:p>
        </w:tc>
      </w:tr>
      <w:tr w14:paraId="27A50F7D">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7992F6B7">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8</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32E779F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0F705AAC">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电压精度</w:t>
            </w:r>
          </w:p>
        </w:tc>
        <w:tc>
          <w:tcPr>
            <w:tcW w:w="477" w:type="pct"/>
            <w:tcBorders>
              <w:top w:val="nil"/>
              <w:left w:val="nil"/>
              <w:bottom w:val="single" w:color="auto" w:sz="4" w:space="0"/>
              <w:right w:val="single" w:color="auto" w:sz="4" w:space="0"/>
            </w:tcBorders>
            <w:shd w:val="clear" w:color="auto" w:fill="auto"/>
            <w:vAlign w:val="center"/>
          </w:tcPr>
          <w:p w14:paraId="7383B724">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01" w:type="pct"/>
            <w:tcBorders>
              <w:top w:val="nil"/>
              <w:left w:val="nil"/>
              <w:bottom w:val="single" w:color="auto" w:sz="4" w:space="0"/>
              <w:right w:val="single" w:color="auto" w:sz="4" w:space="0"/>
            </w:tcBorders>
            <w:shd w:val="clear" w:color="auto" w:fill="auto"/>
            <w:vAlign w:val="center"/>
          </w:tcPr>
          <w:p w14:paraId="0E304223">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不超过±0.5</w:t>
            </w:r>
          </w:p>
        </w:tc>
      </w:tr>
      <w:tr w14:paraId="0F2B6B9B">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5DC564F1">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9</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DF001B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11A90031">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整机电流精度</w:t>
            </w:r>
          </w:p>
        </w:tc>
        <w:tc>
          <w:tcPr>
            <w:tcW w:w="477" w:type="pct"/>
            <w:tcBorders>
              <w:top w:val="nil"/>
              <w:left w:val="nil"/>
              <w:bottom w:val="single" w:color="auto" w:sz="4" w:space="0"/>
              <w:right w:val="single" w:color="auto" w:sz="4" w:space="0"/>
            </w:tcBorders>
            <w:shd w:val="clear" w:color="auto" w:fill="auto"/>
            <w:vAlign w:val="center"/>
          </w:tcPr>
          <w:p w14:paraId="2035C704">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19E9E38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≥30A：不超过±1</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＜30A：不超过±0.3A</w:t>
            </w:r>
          </w:p>
        </w:tc>
      </w:tr>
      <w:tr w14:paraId="05F95C61">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61746F82">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10</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6D1668B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4BE9F8B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稳压精度</w:t>
            </w:r>
          </w:p>
        </w:tc>
        <w:tc>
          <w:tcPr>
            <w:tcW w:w="477" w:type="pct"/>
            <w:tcBorders>
              <w:top w:val="nil"/>
              <w:left w:val="nil"/>
              <w:bottom w:val="single" w:color="auto" w:sz="4" w:space="0"/>
              <w:right w:val="single" w:color="auto" w:sz="4" w:space="0"/>
            </w:tcBorders>
            <w:shd w:val="clear" w:color="auto" w:fill="auto"/>
            <w:vAlign w:val="center"/>
          </w:tcPr>
          <w:p w14:paraId="4EAD7768">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01" w:type="pct"/>
            <w:tcBorders>
              <w:top w:val="nil"/>
              <w:left w:val="nil"/>
              <w:bottom w:val="single" w:color="auto" w:sz="4" w:space="0"/>
              <w:right w:val="single" w:color="auto" w:sz="4" w:space="0"/>
            </w:tcBorders>
            <w:shd w:val="clear" w:color="auto" w:fill="auto"/>
            <w:vAlign w:val="center"/>
          </w:tcPr>
          <w:p w14:paraId="40589EB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不超过±0.5</w:t>
            </w:r>
          </w:p>
        </w:tc>
      </w:tr>
      <w:tr w14:paraId="31436C82">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06A9748B">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11</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0DAD9D6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7E62994">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稳流精度</w:t>
            </w:r>
          </w:p>
        </w:tc>
        <w:tc>
          <w:tcPr>
            <w:tcW w:w="477" w:type="pct"/>
            <w:tcBorders>
              <w:top w:val="nil"/>
              <w:left w:val="nil"/>
              <w:bottom w:val="single" w:color="auto" w:sz="4" w:space="0"/>
              <w:right w:val="single" w:color="auto" w:sz="4" w:space="0"/>
            </w:tcBorders>
            <w:shd w:val="clear" w:color="auto" w:fill="auto"/>
            <w:vAlign w:val="center"/>
          </w:tcPr>
          <w:p w14:paraId="29B4AA2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01" w:type="pct"/>
            <w:tcBorders>
              <w:top w:val="nil"/>
              <w:left w:val="nil"/>
              <w:bottom w:val="single" w:color="auto" w:sz="4" w:space="0"/>
              <w:right w:val="single" w:color="auto" w:sz="4" w:space="0"/>
            </w:tcBorders>
            <w:shd w:val="clear" w:color="auto" w:fill="auto"/>
            <w:vAlign w:val="center"/>
          </w:tcPr>
          <w:p w14:paraId="7113B5A0">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不超过±1</w:t>
            </w:r>
          </w:p>
        </w:tc>
      </w:tr>
      <w:tr w14:paraId="34367DC3">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114D48D8">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6B9F5C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765121D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输入冲击电流</w:t>
            </w:r>
          </w:p>
        </w:tc>
        <w:tc>
          <w:tcPr>
            <w:tcW w:w="477" w:type="pct"/>
            <w:tcBorders>
              <w:top w:val="nil"/>
              <w:left w:val="nil"/>
              <w:bottom w:val="single" w:color="auto" w:sz="4" w:space="0"/>
              <w:right w:val="single" w:color="auto" w:sz="4" w:space="0"/>
            </w:tcBorders>
            <w:shd w:val="clear" w:color="auto" w:fill="auto"/>
            <w:vAlign w:val="center"/>
          </w:tcPr>
          <w:p w14:paraId="10C81B98">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A</w:t>
            </w:r>
          </w:p>
        </w:tc>
        <w:tc>
          <w:tcPr>
            <w:tcW w:w="1701" w:type="pct"/>
            <w:tcBorders>
              <w:top w:val="nil"/>
              <w:left w:val="nil"/>
              <w:bottom w:val="single" w:color="auto" w:sz="4" w:space="0"/>
              <w:right w:val="single" w:color="auto" w:sz="4" w:space="0"/>
            </w:tcBorders>
            <w:shd w:val="clear" w:color="auto" w:fill="auto"/>
            <w:vAlign w:val="center"/>
          </w:tcPr>
          <w:p w14:paraId="4CF18F5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≤120%额定输入电流</w:t>
            </w:r>
          </w:p>
        </w:tc>
      </w:tr>
      <w:tr w14:paraId="13DEBF9F">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5AAE48D3">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13</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42E4E57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343E107A">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输出过冲电压</w:t>
            </w:r>
          </w:p>
        </w:tc>
        <w:tc>
          <w:tcPr>
            <w:tcW w:w="477" w:type="pct"/>
            <w:tcBorders>
              <w:top w:val="nil"/>
              <w:left w:val="nil"/>
              <w:bottom w:val="single" w:color="auto" w:sz="4" w:space="0"/>
              <w:right w:val="single" w:color="auto" w:sz="4" w:space="0"/>
            </w:tcBorders>
            <w:shd w:val="clear" w:color="auto" w:fill="auto"/>
            <w:vAlign w:val="center"/>
          </w:tcPr>
          <w:p w14:paraId="010D3CA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V</w:t>
            </w:r>
          </w:p>
        </w:tc>
        <w:tc>
          <w:tcPr>
            <w:tcW w:w="1701" w:type="pct"/>
            <w:tcBorders>
              <w:top w:val="nil"/>
              <w:left w:val="nil"/>
              <w:bottom w:val="single" w:color="auto" w:sz="4" w:space="0"/>
              <w:right w:val="single" w:color="auto" w:sz="4" w:space="0"/>
            </w:tcBorders>
            <w:shd w:val="clear" w:color="auto" w:fill="auto"/>
            <w:vAlign w:val="center"/>
          </w:tcPr>
          <w:p w14:paraId="2E38F6F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≤110%稳态输出电压</w:t>
            </w:r>
          </w:p>
        </w:tc>
      </w:tr>
      <w:tr w14:paraId="00FC2584">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41FC46A4">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14</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092AAAFA">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6DF63746">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效率</w:t>
            </w:r>
          </w:p>
        </w:tc>
        <w:tc>
          <w:tcPr>
            <w:tcW w:w="477" w:type="pct"/>
            <w:tcBorders>
              <w:top w:val="nil"/>
              <w:left w:val="nil"/>
              <w:bottom w:val="single" w:color="auto" w:sz="4" w:space="0"/>
              <w:right w:val="single" w:color="auto" w:sz="4" w:space="0"/>
            </w:tcBorders>
            <w:shd w:val="clear" w:color="auto" w:fill="auto"/>
            <w:vAlign w:val="center"/>
          </w:tcPr>
          <w:p w14:paraId="7D2F81B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01" w:type="pct"/>
            <w:tcBorders>
              <w:top w:val="nil"/>
              <w:left w:val="nil"/>
              <w:bottom w:val="single" w:color="auto" w:sz="4" w:space="0"/>
              <w:right w:val="single" w:color="auto" w:sz="4" w:space="0"/>
            </w:tcBorders>
            <w:shd w:val="clear" w:color="auto" w:fill="auto"/>
            <w:vAlign w:val="center"/>
          </w:tcPr>
          <w:p w14:paraId="0DB63382">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≥93%</w:t>
            </w:r>
          </w:p>
        </w:tc>
      </w:tr>
      <w:tr w14:paraId="26C051A4">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428D796E">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16</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13CEFC36">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4BD2D1D0">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振荡波抗扰度</w:t>
            </w:r>
          </w:p>
        </w:tc>
        <w:tc>
          <w:tcPr>
            <w:tcW w:w="477" w:type="pct"/>
            <w:tcBorders>
              <w:top w:val="nil"/>
              <w:left w:val="nil"/>
              <w:bottom w:val="single" w:color="auto" w:sz="4" w:space="0"/>
              <w:right w:val="single" w:color="auto" w:sz="4" w:space="0"/>
            </w:tcBorders>
            <w:shd w:val="clear" w:color="auto" w:fill="auto"/>
            <w:vAlign w:val="center"/>
          </w:tcPr>
          <w:p w14:paraId="6266FDC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35156D7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3级（1MHz和100kHz）</w:t>
            </w:r>
          </w:p>
        </w:tc>
      </w:tr>
      <w:tr w14:paraId="1BF40B84">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783680C5">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17</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29BBF82A">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0DEBC06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静电放电抗扰度</w:t>
            </w:r>
          </w:p>
        </w:tc>
        <w:tc>
          <w:tcPr>
            <w:tcW w:w="477" w:type="pct"/>
            <w:tcBorders>
              <w:top w:val="nil"/>
              <w:left w:val="nil"/>
              <w:bottom w:val="single" w:color="auto" w:sz="4" w:space="0"/>
              <w:right w:val="single" w:color="auto" w:sz="4" w:space="0"/>
            </w:tcBorders>
            <w:shd w:val="clear" w:color="auto" w:fill="auto"/>
            <w:vAlign w:val="center"/>
          </w:tcPr>
          <w:p w14:paraId="703E8BD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4082AD92">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3级</w:t>
            </w:r>
          </w:p>
        </w:tc>
      </w:tr>
      <w:tr w14:paraId="3E17109C">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2D07EB5F">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19</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6AA7D672">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03033C9F">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射频电磁场辐射抗扰度</w:t>
            </w:r>
          </w:p>
        </w:tc>
        <w:tc>
          <w:tcPr>
            <w:tcW w:w="477" w:type="pct"/>
            <w:tcBorders>
              <w:top w:val="nil"/>
              <w:left w:val="nil"/>
              <w:bottom w:val="single" w:color="auto" w:sz="4" w:space="0"/>
              <w:right w:val="single" w:color="auto" w:sz="4" w:space="0"/>
            </w:tcBorders>
            <w:shd w:val="clear" w:color="auto" w:fill="auto"/>
            <w:vAlign w:val="center"/>
          </w:tcPr>
          <w:p w14:paraId="57F4DF6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293C2CC0">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3级</w:t>
            </w:r>
          </w:p>
        </w:tc>
      </w:tr>
      <w:tr w14:paraId="691B74AB">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10047205">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20</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38556B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89691E7">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电快速瞬变脉冲群抗扰度</w:t>
            </w:r>
          </w:p>
        </w:tc>
        <w:tc>
          <w:tcPr>
            <w:tcW w:w="477" w:type="pct"/>
            <w:tcBorders>
              <w:top w:val="nil"/>
              <w:left w:val="nil"/>
              <w:bottom w:val="single" w:color="auto" w:sz="4" w:space="0"/>
              <w:right w:val="single" w:color="auto" w:sz="4" w:space="0"/>
            </w:tcBorders>
            <w:shd w:val="clear" w:color="auto" w:fill="auto"/>
            <w:vAlign w:val="center"/>
          </w:tcPr>
          <w:p w14:paraId="446FA39F">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44EF6262">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3级</w:t>
            </w:r>
          </w:p>
        </w:tc>
      </w:tr>
      <w:tr w14:paraId="65E22764">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58ED7B61">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21</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50F69852">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2C826427">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浪涌（冲击）抗扰度</w:t>
            </w:r>
          </w:p>
        </w:tc>
        <w:tc>
          <w:tcPr>
            <w:tcW w:w="477" w:type="pct"/>
            <w:tcBorders>
              <w:top w:val="nil"/>
              <w:left w:val="nil"/>
              <w:bottom w:val="single" w:color="auto" w:sz="4" w:space="0"/>
              <w:right w:val="single" w:color="auto" w:sz="4" w:space="0"/>
            </w:tcBorders>
            <w:shd w:val="clear" w:color="auto" w:fill="auto"/>
            <w:vAlign w:val="center"/>
          </w:tcPr>
          <w:p w14:paraId="3AD85BD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7EC33BCF">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3级</w:t>
            </w:r>
          </w:p>
        </w:tc>
      </w:tr>
      <w:tr w14:paraId="3FDA6102">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31495E55">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22</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1FCA9C3D">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32867D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射频场感应的传导骚扰抗扰度</w:t>
            </w:r>
          </w:p>
        </w:tc>
        <w:tc>
          <w:tcPr>
            <w:tcW w:w="477" w:type="pct"/>
            <w:tcBorders>
              <w:top w:val="nil"/>
              <w:left w:val="nil"/>
              <w:bottom w:val="single" w:color="auto" w:sz="4" w:space="0"/>
              <w:right w:val="single" w:color="auto" w:sz="4" w:space="0"/>
            </w:tcBorders>
            <w:shd w:val="clear" w:color="auto" w:fill="auto"/>
            <w:vAlign w:val="center"/>
          </w:tcPr>
          <w:p w14:paraId="03F5F286">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64683B22">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3级</w:t>
            </w:r>
          </w:p>
        </w:tc>
      </w:tr>
      <w:tr w14:paraId="27EC2BA2">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2527D4FC">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23</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3CACA569">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22520C3">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谐波电流限值要求（THD）</w:t>
            </w:r>
          </w:p>
        </w:tc>
        <w:tc>
          <w:tcPr>
            <w:tcW w:w="477" w:type="pct"/>
            <w:tcBorders>
              <w:top w:val="nil"/>
              <w:left w:val="nil"/>
              <w:bottom w:val="single" w:color="auto" w:sz="4" w:space="0"/>
              <w:right w:val="single" w:color="auto" w:sz="4" w:space="0"/>
            </w:tcBorders>
            <w:shd w:val="clear" w:color="auto" w:fill="auto"/>
            <w:vAlign w:val="center"/>
          </w:tcPr>
          <w:p w14:paraId="3C88FF5E">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01" w:type="pct"/>
            <w:tcBorders>
              <w:top w:val="nil"/>
              <w:left w:val="nil"/>
              <w:bottom w:val="single" w:color="auto" w:sz="4" w:space="0"/>
              <w:right w:val="single" w:color="auto" w:sz="4" w:space="0"/>
            </w:tcBorders>
            <w:shd w:val="clear" w:color="auto" w:fill="auto"/>
            <w:vAlign w:val="center"/>
          </w:tcPr>
          <w:p w14:paraId="23ACE6B1">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p>
        </w:tc>
      </w:tr>
      <w:tr w14:paraId="58B3BD5C">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67FAFE87">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24</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429CA1CF">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8ADECCF">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充电机结构形式</w:t>
            </w:r>
          </w:p>
        </w:tc>
        <w:tc>
          <w:tcPr>
            <w:tcW w:w="477" w:type="pct"/>
            <w:tcBorders>
              <w:top w:val="nil"/>
              <w:left w:val="nil"/>
              <w:bottom w:val="single" w:color="auto" w:sz="4" w:space="0"/>
              <w:right w:val="single" w:color="auto" w:sz="4" w:space="0"/>
            </w:tcBorders>
            <w:shd w:val="clear" w:color="auto" w:fill="auto"/>
            <w:vAlign w:val="center"/>
          </w:tcPr>
          <w:p w14:paraId="1B32EF98">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1701" w:type="pct"/>
            <w:tcBorders>
              <w:top w:val="nil"/>
              <w:left w:val="nil"/>
              <w:bottom w:val="single" w:color="auto" w:sz="4" w:space="0"/>
              <w:right w:val="single" w:color="auto" w:sz="4" w:space="0"/>
            </w:tcBorders>
            <w:shd w:val="clear" w:color="auto" w:fill="auto"/>
            <w:vAlign w:val="center"/>
          </w:tcPr>
          <w:p w14:paraId="2ECDFF2B">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分体式</w:t>
            </w:r>
          </w:p>
        </w:tc>
      </w:tr>
      <w:tr w14:paraId="0C7F3CA8">
        <w:tblPrEx>
          <w:tblCellMar>
            <w:top w:w="32" w:type="dxa"/>
            <w:left w:w="64" w:type="dxa"/>
            <w:bottom w:w="32" w:type="dxa"/>
            <w:right w:w="64" w:type="dxa"/>
          </w:tblCellMar>
        </w:tblPrEx>
        <w:trPr>
          <w:trHeight w:val="0" w:hRule="atLeast"/>
          <w:jc w:val="center"/>
        </w:trPr>
        <w:tc>
          <w:tcPr>
            <w:tcW w:w="410" w:type="pct"/>
            <w:tcBorders>
              <w:top w:val="nil"/>
              <w:left w:val="single" w:color="auto" w:sz="4" w:space="0"/>
              <w:bottom w:val="single" w:color="auto" w:sz="4" w:space="0"/>
              <w:right w:val="single" w:color="auto" w:sz="4" w:space="0"/>
            </w:tcBorders>
            <w:shd w:val="clear" w:color="auto" w:fill="auto"/>
            <w:vAlign w:val="center"/>
          </w:tcPr>
          <w:p w14:paraId="0FDB7D2F">
            <w:pPr>
              <w:pageBreakBefore w:val="0"/>
              <w:tabs>
                <w:tab w:val="left" w:pos="420"/>
              </w:tabs>
              <w:kinsoku/>
              <w:wordWrap/>
              <w:overflowPunct/>
              <w:bidi w:val="0"/>
              <w:snapToGrid w:val="0"/>
              <w:spacing w:line="360" w:lineRule="exac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25</w:t>
            </w:r>
          </w:p>
        </w:tc>
        <w:tc>
          <w:tcPr>
            <w:tcW w:w="345" w:type="pct"/>
            <w:vMerge w:val="continue"/>
            <w:tcBorders>
              <w:top w:val="nil"/>
              <w:left w:val="single" w:color="auto" w:sz="4" w:space="0"/>
              <w:bottom w:val="single" w:color="auto" w:sz="4" w:space="0"/>
              <w:right w:val="single" w:color="auto" w:sz="4" w:space="0"/>
            </w:tcBorders>
            <w:shd w:val="clear" w:color="auto" w:fill="auto"/>
            <w:vAlign w:val="center"/>
          </w:tcPr>
          <w:p w14:paraId="1F9C9176">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p>
        </w:tc>
        <w:tc>
          <w:tcPr>
            <w:tcW w:w="2064" w:type="pct"/>
            <w:tcBorders>
              <w:top w:val="nil"/>
              <w:left w:val="nil"/>
              <w:bottom w:val="single" w:color="auto" w:sz="4" w:space="0"/>
              <w:right w:val="single" w:color="auto" w:sz="4" w:space="0"/>
            </w:tcBorders>
            <w:shd w:val="clear" w:color="auto" w:fill="auto"/>
            <w:vAlign w:val="center"/>
          </w:tcPr>
          <w:p w14:paraId="5B862AA5">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有源功率因数校正电路</w:t>
            </w:r>
          </w:p>
        </w:tc>
        <w:tc>
          <w:tcPr>
            <w:tcW w:w="477" w:type="pct"/>
            <w:tcBorders>
              <w:top w:val="nil"/>
              <w:left w:val="nil"/>
              <w:bottom w:val="single" w:color="auto" w:sz="4" w:space="0"/>
              <w:right w:val="single" w:color="auto" w:sz="4" w:space="0"/>
            </w:tcBorders>
            <w:shd w:val="clear" w:color="auto" w:fill="auto"/>
            <w:vAlign w:val="center"/>
          </w:tcPr>
          <w:p w14:paraId="55FECC91">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w:t>
            </w:r>
          </w:p>
        </w:tc>
        <w:tc>
          <w:tcPr>
            <w:tcW w:w="1701" w:type="pct"/>
            <w:tcBorders>
              <w:top w:val="nil"/>
              <w:left w:val="nil"/>
              <w:bottom w:val="single" w:color="auto" w:sz="4" w:space="0"/>
              <w:right w:val="single" w:color="auto" w:sz="4" w:space="0"/>
            </w:tcBorders>
            <w:shd w:val="clear" w:color="auto" w:fill="auto"/>
            <w:vAlign w:val="center"/>
          </w:tcPr>
          <w:p w14:paraId="6D331344">
            <w:pPr>
              <w:pageBreakBefore w:val="0"/>
              <w:kinsoku/>
              <w:wordWrap/>
              <w:overflowPunct/>
              <w:bidi w:val="0"/>
              <w:snapToGrid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带</w:t>
            </w:r>
          </w:p>
        </w:tc>
      </w:tr>
    </w:tbl>
    <w:p w14:paraId="4653C8C1">
      <w:pPr>
        <w:pageBreakBefore w:val="0"/>
        <w:kinsoku/>
        <w:wordWrap/>
        <w:overflowPunct/>
        <w:bidi w:val="0"/>
        <w:spacing w:line="360" w:lineRule="exact"/>
        <w:ind w:left="0" w:leftChars="0"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充电机要求</w:t>
      </w:r>
    </w:p>
    <w:p w14:paraId="010CAF0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充电机应外观线条流畅、整体紧凑、简洁时尚，与安装地点周边环境相协调。</w:t>
      </w:r>
    </w:p>
    <w:p w14:paraId="40BCFE8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充电机内部线束，应排布整齐、规整，标识清楚，捆扎牢固。</w:t>
      </w:r>
    </w:p>
    <w:p w14:paraId="3E5B30F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充电机内元器件应布局合理，易耗易损元件方便更换。</w:t>
      </w:r>
    </w:p>
    <w:p w14:paraId="60D0FA6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充电机安装于户外时，应便于特殊天气条件下的日常维护。</w:t>
      </w:r>
    </w:p>
    <w:p w14:paraId="1086BFB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充电机应采用抗冲击力强、抗老化的材质。</w:t>
      </w:r>
    </w:p>
    <w:p w14:paraId="5C79FED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充电机表面涂覆色泽层应均匀光洁，不起泡、不龟裂、不脱落。</w:t>
      </w:r>
    </w:p>
    <w:p w14:paraId="77E2175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非绝缘材料外壳应可靠接地，结构上应防止操作人员触及带电部件。</w:t>
      </w:r>
    </w:p>
    <w:p w14:paraId="68633CB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要求充电枪在非充电状态下，整体不带电，拔下充电枪，就地充电装置没有任何电源，插入充电枪、认证信息后通电，无安全隐患。</w:t>
      </w:r>
    </w:p>
    <w:p w14:paraId="62FFFD5A">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小功率直流充电终端技术要求</w:t>
      </w:r>
    </w:p>
    <w:p w14:paraId="5939AA9C">
      <w:pPr>
        <w:pageBreakBefore w:val="0"/>
        <w:kinsoku/>
        <w:wordWrap/>
        <w:overflowPunct/>
        <w:bidi w:val="0"/>
        <w:spacing w:line="360" w:lineRule="exact"/>
        <w:ind w:left="0" w:leftChars="0" w:firstLine="42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环境条件</w:t>
      </w:r>
    </w:p>
    <w:p w14:paraId="1BAD2EB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环境温度：-20℃～50℃；</w:t>
      </w:r>
    </w:p>
    <w:p w14:paraId="6CE358D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相对湿度：5％～95％；</w:t>
      </w:r>
    </w:p>
    <w:p w14:paraId="7DA6297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海拔高度：≤2000m；</w:t>
      </w:r>
    </w:p>
    <w:p w14:paraId="2BCDEAF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大气压强：80kPa～110kPa；</w:t>
      </w:r>
    </w:p>
    <w:p w14:paraId="53DE9CF4">
      <w:pPr>
        <w:pageBreakBefore w:val="0"/>
        <w:kinsoku/>
        <w:wordWrap/>
        <w:overflowPunct/>
        <w:bidi w:val="0"/>
        <w:spacing w:line="360" w:lineRule="exact"/>
        <w:ind w:left="0" w:leftChars="0" w:firstLine="42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参数要求</w:t>
      </w:r>
    </w:p>
    <w:tbl>
      <w:tblPr>
        <w:tblStyle w:val="64"/>
        <w:tblW w:w="8522" w:type="dxa"/>
        <w:tblInd w:w="0" w:type="dxa"/>
        <w:tblLayout w:type="fixed"/>
        <w:tblCellMar>
          <w:top w:w="0" w:type="dxa"/>
          <w:left w:w="108" w:type="dxa"/>
          <w:bottom w:w="0" w:type="dxa"/>
          <w:right w:w="108" w:type="dxa"/>
        </w:tblCellMar>
      </w:tblPr>
      <w:tblGrid>
        <w:gridCol w:w="2635"/>
        <w:gridCol w:w="5887"/>
      </w:tblGrid>
      <w:tr w14:paraId="6AE3C0A9">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1637C67E">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名称</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44EFEA14">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参数</w:t>
            </w:r>
          </w:p>
        </w:tc>
      </w:tr>
      <w:tr w14:paraId="00A6A7EC">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7AD7082B">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产品尺寸（宽*深*高）</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475E6D25">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不大于400×400×1500mm</w:t>
            </w:r>
          </w:p>
        </w:tc>
      </w:tr>
      <w:tr w14:paraId="6FFB280A">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34ACB09D">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枪线长度</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16AAB22D">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不少于3m</w:t>
            </w:r>
          </w:p>
        </w:tc>
      </w:tr>
      <w:tr w14:paraId="248CB2E2">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01496942">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安装方式</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735CE21E">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落地/壁挂</w:t>
            </w:r>
          </w:p>
        </w:tc>
      </w:tr>
      <w:tr w14:paraId="645779D1">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43710134">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充电接口</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74A06554">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1个（GB/T 20234.1-2015）</w:t>
            </w:r>
          </w:p>
        </w:tc>
      </w:tr>
      <w:tr w14:paraId="34AE25F4">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578EB142">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充电枪载流量</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59AB6E1B">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50A</w:t>
            </w:r>
          </w:p>
        </w:tc>
      </w:tr>
      <w:tr w14:paraId="0217CDF6">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511DA04A">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机械寿命</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5A0C0642">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空载插拔＞10000次</w:t>
            </w:r>
          </w:p>
        </w:tc>
      </w:tr>
      <w:tr w14:paraId="235C631A">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29EC33D8">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防护等级</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5A625A47">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IP54</w:t>
            </w:r>
          </w:p>
        </w:tc>
      </w:tr>
      <w:tr w14:paraId="64A523EE">
        <w:tblPrEx>
          <w:tblCellMar>
            <w:top w:w="0" w:type="dxa"/>
            <w:left w:w="108" w:type="dxa"/>
            <w:bottom w:w="0" w:type="dxa"/>
            <w:right w:w="108" w:type="dxa"/>
          </w:tblCellMar>
        </w:tblPrEx>
        <w:trPr>
          <w:trHeight w:val="170" w:hRule="atLeast"/>
        </w:trPr>
        <w:tc>
          <w:tcPr>
            <w:tcW w:w="2635" w:type="dxa"/>
            <w:tcBorders>
              <w:top w:val="single" w:color="auto" w:sz="4" w:space="0"/>
              <w:left w:val="single" w:color="auto" w:sz="4" w:space="0"/>
              <w:bottom w:val="single" w:color="auto" w:sz="4" w:space="0"/>
              <w:right w:val="single" w:color="auto" w:sz="4" w:space="0"/>
            </w:tcBorders>
            <w:shd w:val="clear" w:color="auto" w:fill="auto"/>
            <w:vAlign w:val="center"/>
          </w:tcPr>
          <w:p w14:paraId="563ED392">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工作环境温度</w:t>
            </w:r>
          </w:p>
        </w:tc>
        <w:tc>
          <w:tcPr>
            <w:tcW w:w="5887" w:type="dxa"/>
            <w:tcBorders>
              <w:top w:val="single" w:color="auto" w:sz="4" w:space="0"/>
              <w:left w:val="single" w:color="auto" w:sz="4" w:space="0"/>
              <w:bottom w:val="single" w:color="auto" w:sz="4" w:space="0"/>
              <w:right w:val="single" w:color="auto" w:sz="4" w:space="0"/>
            </w:tcBorders>
            <w:shd w:val="clear" w:color="auto" w:fill="auto"/>
            <w:vAlign w:val="center"/>
          </w:tcPr>
          <w:p w14:paraId="688B141E">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-20℃～＋50℃</w:t>
            </w:r>
          </w:p>
        </w:tc>
      </w:tr>
    </w:tbl>
    <w:p w14:paraId="6ADB9F79">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lang w:val="en-US" w:eastAsia="zh-CN"/>
        </w:rPr>
      </w:pPr>
    </w:p>
    <w:p w14:paraId="18E3BA48">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小功率直流充放电机技术要求</w:t>
      </w:r>
    </w:p>
    <w:p w14:paraId="3233865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技术要求</w:t>
      </w:r>
    </w:p>
    <w:p w14:paraId="60F8F677">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（1）环境条件</w:t>
      </w:r>
    </w:p>
    <w:p w14:paraId="1EF95BD6">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环境温度：-20℃～50℃</w:t>
      </w:r>
    </w:p>
    <w:p w14:paraId="5C6CA8A3">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相对湿度：5％～95％</w:t>
      </w:r>
    </w:p>
    <w:p w14:paraId="54018C8D">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海拔高度：≤2000m</w:t>
      </w:r>
    </w:p>
    <w:p w14:paraId="4D453FD7">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大气压强：80kPa～110kPa</w:t>
      </w:r>
    </w:p>
    <w:p w14:paraId="259BE3FD">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（2）电源条件</w:t>
      </w:r>
    </w:p>
    <w:p w14:paraId="1DAE5C3E">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交流输入电压：380V±15％</w:t>
      </w:r>
    </w:p>
    <w:p w14:paraId="63017DFD">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交流电源频率：50Hz±1Hz</w:t>
      </w:r>
    </w:p>
    <w:p w14:paraId="18FEDDDD">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（3）直流输出电压、电流和额定功率</w:t>
      </w:r>
    </w:p>
    <w:p w14:paraId="30D9CDE3">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直流输出电压：200V-950V</w:t>
      </w:r>
    </w:p>
    <w:p w14:paraId="07B146C8">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恒功率电压范围：400-950V</w:t>
      </w:r>
    </w:p>
    <w:p w14:paraId="5F4F7D56">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最大输出电流：50A</w:t>
      </w:r>
    </w:p>
    <w:p w14:paraId="097CF182">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（4）低压辅助电源</w:t>
      </w:r>
    </w:p>
    <w:p w14:paraId="410E6772">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充放电机应能为电动汽车提供低压辅助电源，且具备过负荷、过压、过温保护功能。</w:t>
      </w:r>
    </w:p>
    <w:p w14:paraId="4B8C1528">
      <w:pPr>
        <w:pageBreakBefore w:val="0"/>
        <w:kinsoku/>
        <w:wordWrap/>
        <w:overflowPunct/>
        <w:bidi w:val="0"/>
        <w:spacing w:line="360" w:lineRule="exact"/>
        <w:ind w:left="0" w:leftChars="0" w:firstLine="440" w:firstLineChars="200"/>
        <w:rPr>
          <w:rFonts w:hint="eastAsia" w:ascii="仿宋" w:hAnsi="仿宋" w:eastAsia="仿宋" w:cs="仿宋"/>
          <w:color w:val="auto"/>
          <w:sz w:val="22"/>
          <w:szCs w:val="28"/>
          <w:highlight w:val="none"/>
        </w:rPr>
      </w:pPr>
      <w:r>
        <w:rPr>
          <w:rFonts w:hint="eastAsia" w:ascii="仿宋" w:hAnsi="仿宋" w:eastAsia="仿宋" w:cs="仿宋"/>
          <w:color w:val="auto"/>
          <w:sz w:val="22"/>
          <w:szCs w:val="28"/>
          <w:highlight w:val="none"/>
        </w:rPr>
        <w:t>a)辅助电源电压：12V</w:t>
      </w:r>
    </w:p>
    <w:p w14:paraId="714956FB">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b)纹波峰值系数：不超过±1%</w:t>
      </w:r>
    </w:p>
    <w:p w14:paraId="2048BF8A">
      <w:pPr>
        <w:pStyle w:val="4"/>
        <w:pageBreakBefore w:val="0"/>
        <w:kinsoku/>
        <w:wordWrap/>
        <w:overflowPunct/>
        <w:bidi w:val="0"/>
        <w:spacing w:before="0" w:after="0" w:line="360" w:lineRule="exact"/>
        <w:ind w:left="0" w:leftChars="0" w:firstLine="482"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结构要求</w:t>
      </w:r>
    </w:p>
    <w:p w14:paraId="3F7735B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充放电机分采用分体式结构形式。基本构成包括：功率单元、功率分配单元、充放电控制器、计量表计、充电接口等。</w:t>
      </w:r>
    </w:p>
    <w:p w14:paraId="77F7978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（1）结构形式</w:t>
      </w:r>
    </w:p>
    <w:p w14:paraId="04E484A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完整的充放电机由整流柜和直流充电枪端（桩）两部分构成，它们之间通过电缆连接组成一套完整的充放电机。形式：</w:t>
      </w:r>
    </w:p>
    <w:p w14:paraId="003F052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一套小功率直流充放电机连接多个直流充电枪端（桩），多个直流充电枪端（桩）同时只有一把枪为车辆进行充电。</w:t>
      </w:r>
    </w:p>
    <w:p w14:paraId="23AAA0A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（2）外壳要求</w:t>
      </w:r>
    </w:p>
    <w:p w14:paraId="7150FB05">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充放电机铁质外壳和暴露在外的铁质支架、零件应采取双层防锈措施，非铁质的金属外壳也应具有防氧化保护膜或进行防氧化处理。</w:t>
      </w:r>
    </w:p>
    <w:p w14:paraId="289E6E06">
      <w:pPr>
        <w:pStyle w:val="4"/>
        <w:pageBreakBefore w:val="0"/>
        <w:kinsoku/>
        <w:wordWrap/>
        <w:overflowPunct/>
        <w:bidi w:val="0"/>
        <w:spacing w:before="0" w:after="0" w:line="360" w:lineRule="exact"/>
        <w:ind w:left="0" w:leftChars="0" w:firstLine="482"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功能要求</w:t>
      </w:r>
    </w:p>
    <w:p w14:paraId="3084A2D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（1）充/放电设定方式</w:t>
      </w:r>
    </w:p>
    <w:p w14:paraId="25B1B3A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在充/放电过程中，充放电机依据电动汽车电池管理系统提供的数据动态调整充/放电参数，执行相应动作，完成充/放电过程。</w:t>
      </w:r>
    </w:p>
    <w:p w14:paraId="064C9C3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（2）充电模式和连接方式</w:t>
      </w:r>
    </w:p>
    <w:p w14:paraId="2C603EA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充放电机采用GB/T18487.1-2015附录B中规定的充电模式4和连接方式C对电动汽车进行充电。充电接口应满足GB/T20234.1-2015和 GB/T20234.3-2015的规定。</w:t>
      </w:r>
    </w:p>
    <w:p w14:paraId="77B99E3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（3）充放电控制</w:t>
      </w:r>
    </w:p>
    <w:p w14:paraId="688A18C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通过APP对单终端实现充/放电的启动和停止功能。</w:t>
      </w:r>
    </w:p>
    <w:p w14:paraId="313913F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（4）与电池管理系统通信功能</w:t>
      </w:r>
    </w:p>
    <w:p w14:paraId="55F9FE9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充放电机应具有与电池管理系统通信的CAN接口，获得电池管理系统的充电参数和充电实时数据。通信协议应能满足 GB/T 27930-2015的规定。</w:t>
      </w:r>
    </w:p>
    <w:p w14:paraId="2B950F70">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（5）主动防护过充设计</w:t>
      </w:r>
    </w:p>
    <w:p w14:paraId="4E112C8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具备主动监测电动汽车BMS运行状态、电池特性参数及充放电机自身的运行状态等功能，须采用安全冗余设计，主动诊断并处理故障和异常，实现电动汽车充电过程的主动防护。</w:t>
      </w:r>
    </w:p>
    <w:p w14:paraId="41E7F40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（6）计量功能</w:t>
      </w:r>
    </w:p>
    <w:p w14:paraId="3D60F70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充放电机采用直流侧计量，应具有对每个充电接口输出电能进行计量的功能，电能计量装置应符合国家计量器具检定相关要求，精确度等级1.0级。</w:t>
      </w:r>
    </w:p>
    <w:p w14:paraId="78DBAD9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（7）通信功能</w:t>
      </w:r>
    </w:p>
    <w:p w14:paraId="3DC4E9E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配置4G通讯模块，采用4G通讯流量卡连接网络，手机APP、PAD、PC登陆云平台进行充电状态的监控、查询及控制功能。受后台通讯频次与数据要求，配置流量卡具备每月不低于500M流量／桩，每个车位可单独计量、计费、通信，流量卡由投标人提供，自行计入成本，通讯运营商的选择根据充电站所在位置选择网络较好的运营商，由招标人在下单时提供。自行配置工业级无线路由器（全网通通信模块，兼容4G/3G/2G频段，有线加无线双网互备）。</w:t>
      </w:r>
    </w:p>
    <w:p w14:paraId="3CB57AAC">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（8）远程升级</w:t>
      </w:r>
    </w:p>
    <w:p w14:paraId="504E928D">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配置4G／3G通讯模块，充放电机烧写程序可通过联网后通过监控运维平台控制，远程一键升级，远程更新所有通信协议，以及新国标更新等带来的控制模式升级。</w:t>
      </w:r>
    </w:p>
    <w:p w14:paraId="7354A718">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（9）远程断电</w:t>
      </w:r>
    </w:p>
    <w:p w14:paraId="06B81F71">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配置4G／3G通讯模块，具备面对应急突发事件，可通过调度室的远程监控运维平台，远程操作断电，闭合进线开关。</w:t>
      </w:r>
    </w:p>
    <w:p w14:paraId="218A7DD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（10）备份存储自动上传</w:t>
      </w:r>
    </w:p>
    <w:p w14:paraId="70CC0BE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本地系统自动备份离网数据，并实现上传。</w:t>
      </w:r>
    </w:p>
    <w:p w14:paraId="1E12601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（11）锁止功能</w:t>
      </w:r>
    </w:p>
    <w:p w14:paraId="7FDC38E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充电枪应安装电子锁止装置，具有锁止功能，须防止充/放电过程中的意外断开，无法拔枪。当电子锁未可靠锁止时，供电设备或电动汽车应停止充/放电或不启动充/放电。</w:t>
      </w:r>
    </w:p>
    <w:p w14:paraId="4707492E">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充电输出参数、电磁兼容、可靠性要求</w:t>
      </w:r>
    </w:p>
    <w:tbl>
      <w:tblPr>
        <w:tblStyle w:val="64"/>
        <w:tblW w:w="8295" w:type="dxa"/>
        <w:jc w:val="center"/>
        <w:tblLayout w:type="fixed"/>
        <w:tblCellMar>
          <w:top w:w="0" w:type="dxa"/>
          <w:left w:w="108" w:type="dxa"/>
          <w:bottom w:w="0" w:type="dxa"/>
          <w:right w:w="108" w:type="dxa"/>
        </w:tblCellMar>
      </w:tblPr>
      <w:tblGrid>
        <w:gridCol w:w="658"/>
        <w:gridCol w:w="997"/>
        <w:gridCol w:w="3021"/>
        <w:gridCol w:w="992"/>
        <w:gridCol w:w="2627"/>
      </w:tblGrid>
      <w:tr w14:paraId="7399335B">
        <w:tblPrEx>
          <w:tblCellMar>
            <w:top w:w="0" w:type="dxa"/>
            <w:left w:w="108" w:type="dxa"/>
            <w:bottom w:w="0" w:type="dxa"/>
            <w:right w:w="108" w:type="dxa"/>
          </w:tblCellMar>
        </w:tblPrEx>
        <w:trPr>
          <w:trHeight w:val="113" w:hRule="atLeast"/>
          <w:tblHeader/>
          <w:jc w:val="center"/>
        </w:trPr>
        <w:tc>
          <w:tcPr>
            <w:tcW w:w="659" w:type="dxa"/>
            <w:tcBorders>
              <w:top w:val="single" w:color="auto" w:sz="4" w:space="0"/>
              <w:left w:val="single" w:color="auto" w:sz="4" w:space="0"/>
              <w:bottom w:val="single" w:color="auto" w:sz="4" w:space="0"/>
              <w:right w:val="single" w:color="auto" w:sz="4" w:space="0"/>
            </w:tcBorders>
            <w:shd w:val="clear" w:color="auto" w:fill="auto"/>
            <w:vAlign w:val="center"/>
          </w:tcPr>
          <w:p w14:paraId="6A19FA0E">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996" w:type="dxa"/>
            <w:tcBorders>
              <w:top w:val="single" w:color="auto" w:sz="4" w:space="0"/>
              <w:left w:val="nil"/>
              <w:bottom w:val="single" w:color="auto" w:sz="4" w:space="0"/>
              <w:right w:val="single" w:color="auto" w:sz="4" w:space="0"/>
            </w:tcBorders>
            <w:shd w:val="clear" w:color="auto" w:fill="auto"/>
            <w:vAlign w:val="center"/>
          </w:tcPr>
          <w:p w14:paraId="7164C883">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名称</w:t>
            </w:r>
          </w:p>
        </w:tc>
        <w:tc>
          <w:tcPr>
            <w:tcW w:w="3019" w:type="dxa"/>
            <w:tcBorders>
              <w:top w:val="single" w:color="auto" w:sz="4" w:space="0"/>
              <w:left w:val="nil"/>
              <w:bottom w:val="single" w:color="auto" w:sz="4" w:space="0"/>
              <w:right w:val="single" w:color="auto" w:sz="4" w:space="0"/>
            </w:tcBorders>
            <w:shd w:val="clear" w:color="auto" w:fill="auto"/>
            <w:vAlign w:val="center"/>
          </w:tcPr>
          <w:p w14:paraId="515E01CD">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w:t>
            </w:r>
          </w:p>
        </w:tc>
        <w:tc>
          <w:tcPr>
            <w:tcW w:w="991" w:type="dxa"/>
            <w:tcBorders>
              <w:top w:val="single" w:color="auto" w:sz="4" w:space="0"/>
              <w:left w:val="nil"/>
              <w:bottom w:val="single" w:color="auto" w:sz="4" w:space="0"/>
              <w:right w:val="single" w:color="auto" w:sz="4" w:space="0"/>
            </w:tcBorders>
            <w:shd w:val="clear" w:color="auto" w:fill="auto"/>
            <w:vAlign w:val="center"/>
          </w:tcPr>
          <w:p w14:paraId="48BC091D">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w:t>
            </w:r>
          </w:p>
        </w:tc>
        <w:tc>
          <w:tcPr>
            <w:tcW w:w="2625" w:type="dxa"/>
            <w:tcBorders>
              <w:top w:val="single" w:color="auto" w:sz="4" w:space="0"/>
              <w:left w:val="nil"/>
              <w:bottom w:val="single" w:color="auto" w:sz="4" w:space="0"/>
              <w:right w:val="single" w:color="auto" w:sz="4" w:space="0"/>
            </w:tcBorders>
            <w:shd w:val="clear" w:color="auto" w:fill="auto"/>
            <w:vAlign w:val="center"/>
          </w:tcPr>
          <w:p w14:paraId="181F7546">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技术参数要求</w:t>
            </w:r>
          </w:p>
        </w:tc>
      </w:tr>
      <w:tr w14:paraId="4C929250">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13EA5CA8">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6" w:type="dxa"/>
            <w:vMerge w:val="restart"/>
            <w:tcBorders>
              <w:top w:val="nil"/>
              <w:left w:val="single" w:color="auto" w:sz="4" w:space="0"/>
              <w:bottom w:val="single" w:color="auto" w:sz="4" w:space="0"/>
              <w:right w:val="single" w:color="auto" w:sz="4" w:space="0"/>
            </w:tcBorders>
            <w:shd w:val="clear" w:color="auto" w:fill="auto"/>
            <w:vAlign w:val="center"/>
          </w:tcPr>
          <w:p w14:paraId="2621BEFC">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小功率直流充放电机</w:t>
            </w:r>
          </w:p>
        </w:tc>
        <w:tc>
          <w:tcPr>
            <w:tcW w:w="3019" w:type="dxa"/>
            <w:tcBorders>
              <w:top w:val="nil"/>
              <w:left w:val="nil"/>
              <w:bottom w:val="single" w:color="auto" w:sz="4" w:space="0"/>
              <w:right w:val="single" w:color="auto" w:sz="4" w:space="0"/>
            </w:tcBorders>
            <w:shd w:val="clear" w:color="auto" w:fill="auto"/>
            <w:vAlign w:val="center"/>
          </w:tcPr>
          <w:p w14:paraId="4567ABD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交流输入电压</w:t>
            </w:r>
          </w:p>
        </w:tc>
        <w:tc>
          <w:tcPr>
            <w:tcW w:w="991" w:type="dxa"/>
            <w:tcBorders>
              <w:top w:val="nil"/>
              <w:left w:val="nil"/>
              <w:bottom w:val="single" w:color="auto" w:sz="4" w:space="0"/>
              <w:right w:val="single" w:color="auto" w:sz="4" w:space="0"/>
            </w:tcBorders>
            <w:shd w:val="clear" w:color="auto" w:fill="auto"/>
            <w:vAlign w:val="center"/>
          </w:tcPr>
          <w:p w14:paraId="3CA10CF5">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Vac</w:t>
            </w:r>
          </w:p>
        </w:tc>
        <w:tc>
          <w:tcPr>
            <w:tcW w:w="2625" w:type="dxa"/>
            <w:tcBorders>
              <w:top w:val="nil"/>
              <w:left w:val="nil"/>
              <w:bottom w:val="single" w:color="auto" w:sz="4" w:space="0"/>
              <w:right w:val="single" w:color="auto" w:sz="4" w:space="0"/>
            </w:tcBorders>
            <w:shd w:val="clear" w:color="auto" w:fill="auto"/>
            <w:vAlign w:val="center"/>
          </w:tcPr>
          <w:p w14:paraId="651D423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260-456</w:t>
            </w:r>
          </w:p>
        </w:tc>
      </w:tr>
      <w:tr w14:paraId="49405F16">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C47E7DD">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700C4835">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5EFB67FB">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直流输入电压</w:t>
            </w:r>
          </w:p>
        </w:tc>
        <w:tc>
          <w:tcPr>
            <w:tcW w:w="991" w:type="dxa"/>
            <w:tcBorders>
              <w:top w:val="nil"/>
              <w:left w:val="nil"/>
              <w:bottom w:val="single" w:color="auto" w:sz="4" w:space="0"/>
              <w:right w:val="single" w:color="auto" w:sz="4" w:space="0"/>
            </w:tcBorders>
            <w:shd w:val="clear" w:color="auto" w:fill="auto"/>
            <w:vAlign w:val="center"/>
          </w:tcPr>
          <w:p w14:paraId="79904A0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Vdc</w:t>
            </w:r>
          </w:p>
        </w:tc>
        <w:tc>
          <w:tcPr>
            <w:tcW w:w="2625" w:type="dxa"/>
            <w:tcBorders>
              <w:top w:val="nil"/>
              <w:left w:val="nil"/>
              <w:bottom w:val="single" w:color="auto" w:sz="4" w:space="0"/>
              <w:right w:val="single" w:color="auto" w:sz="4" w:space="0"/>
            </w:tcBorders>
            <w:shd w:val="clear" w:color="auto" w:fill="auto"/>
            <w:vAlign w:val="center"/>
          </w:tcPr>
          <w:p w14:paraId="4B5C00B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200-950</w:t>
            </w:r>
          </w:p>
        </w:tc>
      </w:tr>
      <w:tr w14:paraId="69CC2853">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2410165E">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39EAF2B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61FEAEC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交流电源频率</w:t>
            </w:r>
          </w:p>
        </w:tc>
        <w:tc>
          <w:tcPr>
            <w:tcW w:w="991" w:type="dxa"/>
            <w:tcBorders>
              <w:top w:val="nil"/>
              <w:left w:val="nil"/>
              <w:bottom w:val="single" w:color="auto" w:sz="4" w:space="0"/>
              <w:right w:val="single" w:color="auto" w:sz="4" w:space="0"/>
            </w:tcBorders>
            <w:shd w:val="clear" w:color="auto" w:fill="auto"/>
            <w:vAlign w:val="center"/>
          </w:tcPr>
          <w:p w14:paraId="1B7930E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Hz</w:t>
            </w:r>
          </w:p>
        </w:tc>
        <w:tc>
          <w:tcPr>
            <w:tcW w:w="2625" w:type="dxa"/>
            <w:tcBorders>
              <w:top w:val="nil"/>
              <w:left w:val="nil"/>
              <w:bottom w:val="single" w:color="auto" w:sz="4" w:space="0"/>
              <w:right w:val="single" w:color="auto" w:sz="4" w:space="0"/>
            </w:tcBorders>
            <w:shd w:val="clear" w:color="auto" w:fill="auto"/>
            <w:vAlign w:val="center"/>
          </w:tcPr>
          <w:p w14:paraId="28062C36">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50±1</w:t>
            </w:r>
          </w:p>
        </w:tc>
      </w:tr>
      <w:tr w14:paraId="14642759">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3BF6A56E">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3EDD1265">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4D42523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输入功率因数</w:t>
            </w:r>
          </w:p>
        </w:tc>
        <w:tc>
          <w:tcPr>
            <w:tcW w:w="991" w:type="dxa"/>
            <w:tcBorders>
              <w:top w:val="nil"/>
              <w:left w:val="nil"/>
              <w:bottom w:val="single" w:color="auto" w:sz="4" w:space="0"/>
              <w:right w:val="single" w:color="auto" w:sz="4" w:space="0"/>
            </w:tcBorders>
            <w:shd w:val="clear" w:color="auto" w:fill="auto"/>
            <w:vAlign w:val="center"/>
          </w:tcPr>
          <w:p w14:paraId="33CF260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68B8A42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≥0.95</w:t>
            </w:r>
          </w:p>
        </w:tc>
      </w:tr>
      <w:tr w14:paraId="6DD77B85">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3DA9D7D2">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6141314B">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13B4AFDB">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直流输出电压调节范围</w:t>
            </w:r>
          </w:p>
        </w:tc>
        <w:tc>
          <w:tcPr>
            <w:tcW w:w="991" w:type="dxa"/>
            <w:tcBorders>
              <w:top w:val="nil"/>
              <w:left w:val="nil"/>
              <w:bottom w:val="single" w:color="auto" w:sz="4" w:space="0"/>
              <w:right w:val="single" w:color="auto" w:sz="4" w:space="0"/>
            </w:tcBorders>
            <w:shd w:val="clear" w:color="auto" w:fill="auto"/>
            <w:vAlign w:val="center"/>
          </w:tcPr>
          <w:p w14:paraId="3BC212D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Vdc</w:t>
            </w:r>
          </w:p>
        </w:tc>
        <w:tc>
          <w:tcPr>
            <w:tcW w:w="2625" w:type="dxa"/>
            <w:tcBorders>
              <w:top w:val="nil"/>
              <w:left w:val="nil"/>
              <w:bottom w:val="single" w:color="auto" w:sz="4" w:space="0"/>
              <w:right w:val="single" w:color="auto" w:sz="4" w:space="0"/>
            </w:tcBorders>
            <w:shd w:val="clear" w:color="auto" w:fill="auto"/>
            <w:vAlign w:val="center"/>
          </w:tcPr>
          <w:p w14:paraId="6AF196D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200-950V</w:t>
            </w:r>
          </w:p>
        </w:tc>
      </w:tr>
      <w:tr w14:paraId="5105680D">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D17B3C2">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4882898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0256954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交流输出电压调节范围</w:t>
            </w:r>
          </w:p>
        </w:tc>
        <w:tc>
          <w:tcPr>
            <w:tcW w:w="991" w:type="dxa"/>
            <w:tcBorders>
              <w:top w:val="nil"/>
              <w:left w:val="nil"/>
              <w:bottom w:val="single" w:color="auto" w:sz="4" w:space="0"/>
              <w:right w:val="single" w:color="auto" w:sz="4" w:space="0"/>
            </w:tcBorders>
            <w:shd w:val="clear" w:color="auto" w:fill="auto"/>
            <w:vAlign w:val="center"/>
          </w:tcPr>
          <w:p w14:paraId="4A9D6B8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Vac</w:t>
            </w:r>
          </w:p>
        </w:tc>
        <w:tc>
          <w:tcPr>
            <w:tcW w:w="2625" w:type="dxa"/>
            <w:tcBorders>
              <w:top w:val="nil"/>
              <w:left w:val="nil"/>
              <w:bottom w:val="single" w:color="auto" w:sz="4" w:space="0"/>
              <w:right w:val="single" w:color="auto" w:sz="4" w:space="0"/>
            </w:tcBorders>
            <w:shd w:val="clear" w:color="auto" w:fill="auto"/>
            <w:vAlign w:val="center"/>
          </w:tcPr>
          <w:p w14:paraId="0918448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260-456V</w:t>
            </w:r>
          </w:p>
        </w:tc>
      </w:tr>
      <w:tr w14:paraId="5BD7398E">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751A0B1">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5280656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89C5B9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高频开关电源模块</w:t>
            </w:r>
          </w:p>
        </w:tc>
        <w:tc>
          <w:tcPr>
            <w:tcW w:w="991" w:type="dxa"/>
            <w:tcBorders>
              <w:top w:val="nil"/>
              <w:left w:val="nil"/>
              <w:bottom w:val="single" w:color="auto" w:sz="4" w:space="0"/>
              <w:right w:val="single" w:color="auto" w:sz="4" w:space="0"/>
            </w:tcBorders>
            <w:shd w:val="clear" w:color="auto" w:fill="auto"/>
            <w:vAlign w:val="center"/>
          </w:tcPr>
          <w:p w14:paraId="0B9BAC2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kW</w:t>
            </w:r>
          </w:p>
        </w:tc>
        <w:tc>
          <w:tcPr>
            <w:tcW w:w="2625" w:type="dxa"/>
            <w:tcBorders>
              <w:top w:val="nil"/>
              <w:left w:val="nil"/>
              <w:bottom w:val="single" w:color="auto" w:sz="4" w:space="0"/>
              <w:right w:val="single" w:color="auto" w:sz="4" w:space="0"/>
            </w:tcBorders>
            <w:shd w:val="clear" w:color="auto" w:fill="auto"/>
            <w:vAlign w:val="center"/>
          </w:tcPr>
          <w:p w14:paraId="10531C0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r>
      <w:tr w14:paraId="7545D4CF">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0A719C3D">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2B99998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3D941FC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直流输出电流连续可调范围</w:t>
            </w:r>
          </w:p>
        </w:tc>
        <w:tc>
          <w:tcPr>
            <w:tcW w:w="991" w:type="dxa"/>
            <w:tcBorders>
              <w:top w:val="nil"/>
              <w:left w:val="nil"/>
              <w:bottom w:val="single" w:color="auto" w:sz="4" w:space="0"/>
              <w:right w:val="single" w:color="auto" w:sz="4" w:space="0"/>
            </w:tcBorders>
            <w:shd w:val="clear" w:color="auto" w:fill="auto"/>
            <w:vAlign w:val="center"/>
          </w:tcPr>
          <w:p w14:paraId="45AA39AD">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w:t>
            </w:r>
          </w:p>
        </w:tc>
        <w:tc>
          <w:tcPr>
            <w:tcW w:w="2625" w:type="dxa"/>
            <w:tcBorders>
              <w:top w:val="nil"/>
              <w:left w:val="nil"/>
              <w:bottom w:val="single" w:color="auto" w:sz="4" w:space="0"/>
              <w:right w:val="single" w:color="auto" w:sz="4" w:space="0"/>
            </w:tcBorders>
            <w:shd w:val="clear" w:color="auto" w:fill="auto"/>
            <w:vAlign w:val="center"/>
          </w:tcPr>
          <w:p w14:paraId="7249D6A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0-50</w:t>
            </w:r>
          </w:p>
        </w:tc>
      </w:tr>
      <w:tr w14:paraId="7ACABF14">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12CE0CFB">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025A18B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3BE998D">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交流输出电流连续可调范围</w:t>
            </w:r>
          </w:p>
        </w:tc>
        <w:tc>
          <w:tcPr>
            <w:tcW w:w="991" w:type="dxa"/>
            <w:tcBorders>
              <w:top w:val="nil"/>
              <w:left w:val="nil"/>
              <w:bottom w:val="single" w:color="auto" w:sz="4" w:space="0"/>
              <w:right w:val="single" w:color="auto" w:sz="4" w:space="0"/>
            </w:tcBorders>
            <w:shd w:val="clear" w:color="auto" w:fill="auto"/>
            <w:vAlign w:val="center"/>
          </w:tcPr>
          <w:p w14:paraId="0039BA2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w:t>
            </w:r>
          </w:p>
        </w:tc>
        <w:tc>
          <w:tcPr>
            <w:tcW w:w="2625" w:type="dxa"/>
            <w:tcBorders>
              <w:top w:val="nil"/>
              <w:left w:val="nil"/>
              <w:bottom w:val="single" w:color="auto" w:sz="4" w:space="0"/>
              <w:right w:val="single" w:color="auto" w:sz="4" w:space="0"/>
            </w:tcBorders>
            <w:shd w:val="clear" w:color="auto" w:fill="auto"/>
            <w:vAlign w:val="center"/>
          </w:tcPr>
          <w:p w14:paraId="542C405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0-36</w:t>
            </w:r>
          </w:p>
        </w:tc>
      </w:tr>
      <w:tr w14:paraId="31FD52C9">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10069B59">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782760C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437B7AA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直流输出电压精度</w:t>
            </w:r>
          </w:p>
        </w:tc>
        <w:tc>
          <w:tcPr>
            <w:tcW w:w="991" w:type="dxa"/>
            <w:tcBorders>
              <w:top w:val="nil"/>
              <w:left w:val="nil"/>
              <w:bottom w:val="single" w:color="auto" w:sz="4" w:space="0"/>
              <w:right w:val="single" w:color="auto" w:sz="4" w:space="0"/>
            </w:tcBorders>
            <w:shd w:val="clear" w:color="auto" w:fill="auto"/>
            <w:vAlign w:val="center"/>
          </w:tcPr>
          <w:p w14:paraId="145D7E9D">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03D3B85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 -20℃~+55℃</w:t>
            </w:r>
          </w:p>
          <w:p w14:paraId="5A1E6285">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≤±1%:-40℃~-20℃和+55℃~+75℃</w:t>
            </w:r>
          </w:p>
        </w:tc>
      </w:tr>
      <w:tr w14:paraId="3694AEF5">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29CFCD1F">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559E864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1B270B64">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直流输出电流精度</w:t>
            </w:r>
          </w:p>
        </w:tc>
        <w:tc>
          <w:tcPr>
            <w:tcW w:w="991" w:type="dxa"/>
            <w:tcBorders>
              <w:top w:val="nil"/>
              <w:left w:val="nil"/>
              <w:bottom w:val="single" w:color="auto" w:sz="4" w:space="0"/>
              <w:right w:val="single" w:color="auto" w:sz="4" w:space="0"/>
            </w:tcBorders>
            <w:shd w:val="clear" w:color="auto" w:fill="auto"/>
            <w:vAlign w:val="center"/>
          </w:tcPr>
          <w:p w14:paraId="33CF7D7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56EDB68D">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≥30A：不超过±1%</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＜30A：不超过±0.3A</w:t>
            </w:r>
          </w:p>
        </w:tc>
      </w:tr>
      <w:tr w14:paraId="60BAB003">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214C1F4">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79AC475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870DCB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直流输出稳压精度</w:t>
            </w:r>
          </w:p>
        </w:tc>
        <w:tc>
          <w:tcPr>
            <w:tcW w:w="991" w:type="dxa"/>
            <w:tcBorders>
              <w:top w:val="nil"/>
              <w:left w:val="nil"/>
              <w:bottom w:val="single" w:color="auto" w:sz="4" w:space="0"/>
              <w:right w:val="single" w:color="auto" w:sz="4" w:space="0"/>
            </w:tcBorders>
            <w:shd w:val="clear" w:color="auto" w:fill="auto"/>
            <w:vAlign w:val="center"/>
          </w:tcPr>
          <w:p w14:paraId="4956ABAB">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6C301E9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 -20℃~+55℃</w:t>
            </w:r>
          </w:p>
          <w:p w14:paraId="0817745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≤±1%:-40℃~-20℃和+55℃~+75℃</w:t>
            </w:r>
          </w:p>
        </w:tc>
      </w:tr>
      <w:tr w14:paraId="2B42DF98">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758CB143">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4E35AF0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54746C8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直流输出稳流精度</w:t>
            </w:r>
          </w:p>
        </w:tc>
        <w:tc>
          <w:tcPr>
            <w:tcW w:w="991" w:type="dxa"/>
            <w:tcBorders>
              <w:top w:val="nil"/>
              <w:left w:val="nil"/>
              <w:bottom w:val="single" w:color="auto" w:sz="4" w:space="0"/>
              <w:right w:val="single" w:color="auto" w:sz="4" w:space="0"/>
            </w:tcBorders>
            <w:shd w:val="clear" w:color="auto" w:fill="auto"/>
            <w:vAlign w:val="center"/>
          </w:tcPr>
          <w:p w14:paraId="0CF4252B">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6550025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 -20℃~+55℃</w:t>
            </w:r>
          </w:p>
          <w:p w14:paraId="676D60C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≤±1.5%:-40℃~-20℃和+55℃~+75℃</w:t>
            </w:r>
          </w:p>
        </w:tc>
      </w:tr>
      <w:tr w14:paraId="46340A87">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07CB32F0">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5DB0F8A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942814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交流输入冲击电流</w:t>
            </w:r>
          </w:p>
        </w:tc>
        <w:tc>
          <w:tcPr>
            <w:tcW w:w="991" w:type="dxa"/>
            <w:tcBorders>
              <w:top w:val="nil"/>
              <w:left w:val="nil"/>
              <w:bottom w:val="single" w:color="auto" w:sz="4" w:space="0"/>
              <w:right w:val="single" w:color="auto" w:sz="4" w:space="0"/>
            </w:tcBorders>
            <w:shd w:val="clear" w:color="auto" w:fill="auto"/>
            <w:vAlign w:val="center"/>
          </w:tcPr>
          <w:p w14:paraId="38320B5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w:t>
            </w:r>
          </w:p>
        </w:tc>
        <w:tc>
          <w:tcPr>
            <w:tcW w:w="2625" w:type="dxa"/>
            <w:tcBorders>
              <w:top w:val="nil"/>
              <w:left w:val="nil"/>
              <w:bottom w:val="single" w:color="auto" w:sz="4" w:space="0"/>
              <w:right w:val="single" w:color="auto" w:sz="4" w:space="0"/>
            </w:tcBorders>
            <w:shd w:val="clear" w:color="auto" w:fill="auto"/>
            <w:vAlign w:val="center"/>
          </w:tcPr>
          <w:p w14:paraId="6F7F7FC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≤110%额定输入电流</w:t>
            </w:r>
          </w:p>
        </w:tc>
      </w:tr>
      <w:tr w14:paraId="021CC93C">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69AB73A9">
            <w:pPr>
              <w:pageBreakBefore w:val="0"/>
              <w:kinsoku/>
              <w:wordWrap/>
              <w:overflowPunct/>
              <w:bidi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0276D96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08924DC7">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直流输出过冲电压</w:t>
            </w:r>
          </w:p>
        </w:tc>
        <w:tc>
          <w:tcPr>
            <w:tcW w:w="991" w:type="dxa"/>
            <w:tcBorders>
              <w:top w:val="nil"/>
              <w:left w:val="nil"/>
              <w:bottom w:val="single" w:color="auto" w:sz="4" w:space="0"/>
              <w:right w:val="single" w:color="auto" w:sz="4" w:space="0"/>
            </w:tcBorders>
            <w:shd w:val="clear" w:color="auto" w:fill="auto"/>
            <w:vAlign w:val="center"/>
          </w:tcPr>
          <w:p w14:paraId="097D048D">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w:t>
            </w:r>
          </w:p>
        </w:tc>
        <w:tc>
          <w:tcPr>
            <w:tcW w:w="2625" w:type="dxa"/>
            <w:tcBorders>
              <w:top w:val="nil"/>
              <w:left w:val="nil"/>
              <w:bottom w:val="single" w:color="auto" w:sz="4" w:space="0"/>
              <w:right w:val="single" w:color="auto" w:sz="4" w:space="0"/>
            </w:tcBorders>
            <w:shd w:val="clear" w:color="auto" w:fill="auto"/>
            <w:vAlign w:val="center"/>
          </w:tcPr>
          <w:p w14:paraId="496DAECB">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≤105%稳态输出电压</w:t>
            </w:r>
          </w:p>
        </w:tc>
      </w:tr>
      <w:tr w14:paraId="0B09A58A">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0155078E">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1DADC6A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713FDC9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充电效率</w:t>
            </w:r>
          </w:p>
        </w:tc>
        <w:tc>
          <w:tcPr>
            <w:tcW w:w="991" w:type="dxa"/>
            <w:tcBorders>
              <w:top w:val="nil"/>
              <w:left w:val="nil"/>
              <w:bottom w:val="single" w:color="auto" w:sz="4" w:space="0"/>
              <w:right w:val="single" w:color="auto" w:sz="4" w:space="0"/>
            </w:tcBorders>
            <w:shd w:val="clear" w:color="auto" w:fill="auto"/>
            <w:vAlign w:val="center"/>
          </w:tcPr>
          <w:p w14:paraId="0918D82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647E423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≥95%</w:t>
            </w:r>
          </w:p>
        </w:tc>
      </w:tr>
      <w:tr w14:paraId="02D53B7E">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602DDF42">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04B72AC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4022D3D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放电效率</w:t>
            </w:r>
          </w:p>
        </w:tc>
        <w:tc>
          <w:tcPr>
            <w:tcW w:w="991" w:type="dxa"/>
            <w:tcBorders>
              <w:top w:val="nil"/>
              <w:left w:val="nil"/>
              <w:bottom w:val="single" w:color="auto" w:sz="4" w:space="0"/>
              <w:right w:val="single" w:color="auto" w:sz="4" w:space="0"/>
            </w:tcBorders>
            <w:shd w:val="clear" w:color="auto" w:fill="auto"/>
            <w:vAlign w:val="center"/>
          </w:tcPr>
          <w:p w14:paraId="6D57270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6A2D787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≥96%</w:t>
            </w:r>
          </w:p>
        </w:tc>
      </w:tr>
      <w:tr w14:paraId="156FF6C8">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2A674D8">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280A6D8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3C12DF3C">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静电放电抗扰度</w:t>
            </w:r>
          </w:p>
        </w:tc>
        <w:tc>
          <w:tcPr>
            <w:tcW w:w="991" w:type="dxa"/>
            <w:tcBorders>
              <w:top w:val="nil"/>
              <w:left w:val="nil"/>
              <w:bottom w:val="single" w:color="auto" w:sz="4" w:space="0"/>
              <w:right w:val="single" w:color="auto" w:sz="4" w:space="0"/>
            </w:tcBorders>
            <w:shd w:val="clear" w:color="auto" w:fill="auto"/>
            <w:vAlign w:val="center"/>
          </w:tcPr>
          <w:p w14:paraId="1A14A59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3FA9BAA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3级</w:t>
            </w:r>
          </w:p>
        </w:tc>
      </w:tr>
      <w:tr w14:paraId="7EB824A4">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173B347C">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1108C93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498F25D">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射频电磁场辐射抗扰度</w:t>
            </w:r>
          </w:p>
        </w:tc>
        <w:tc>
          <w:tcPr>
            <w:tcW w:w="991" w:type="dxa"/>
            <w:tcBorders>
              <w:top w:val="nil"/>
              <w:left w:val="nil"/>
              <w:bottom w:val="single" w:color="auto" w:sz="4" w:space="0"/>
              <w:right w:val="single" w:color="auto" w:sz="4" w:space="0"/>
            </w:tcBorders>
            <w:shd w:val="clear" w:color="auto" w:fill="auto"/>
            <w:vAlign w:val="center"/>
          </w:tcPr>
          <w:p w14:paraId="7AF4139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1CC2B11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3级</w:t>
            </w:r>
          </w:p>
        </w:tc>
      </w:tr>
      <w:tr w14:paraId="6EBB1444">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6F889C1A">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0149EA2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064B397E">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电快速瞬变脉冲群抗扰度</w:t>
            </w:r>
          </w:p>
        </w:tc>
        <w:tc>
          <w:tcPr>
            <w:tcW w:w="991" w:type="dxa"/>
            <w:tcBorders>
              <w:top w:val="nil"/>
              <w:left w:val="nil"/>
              <w:bottom w:val="single" w:color="auto" w:sz="4" w:space="0"/>
              <w:right w:val="single" w:color="auto" w:sz="4" w:space="0"/>
            </w:tcBorders>
            <w:shd w:val="clear" w:color="auto" w:fill="auto"/>
            <w:vAlign w:val="center"/>
          </w:tcPr>
          <w:p w14:paraId="73F7A8A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04A7B27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3级</w:t>
            </w:r>
          </w:p>
        </w:tc>
      </w:tr>
      <w:tr w14:paraId="725506AA">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C327E02">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4775892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3CE9007C">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浪涌（冲击）抗扰度</w:t>
            </w:r>
          </w:p>
        </w:tc>
        <w:tc>
          <w:tcPr>
            <w:tcW w:w="991" w:type="dxa"/>
            <w:tcBorders>
              <w:top w:val="nil"/>
              <w:left w:val="nil"/>
              <w:bottom w:val="single" w:color="auto" w:sz="4" w:space="0"/>
              <w:right w:val="single" w:color="auto" w:sz="4" w:space="0"/>
            </w:tcBorders>
            <w:shd w:val="clear" w:color="auto" w:fill="auto"/>
            <w:vAlign w:val="center"/>
          </w:tcPr>
          <w:p w14:paraId="1CAB730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3D5A87F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4级</w:t>
            </w:r>
          </w:p>
        </w:tc>
      </w:tr>
      <w:tr w14:paraId="273B6678">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36107A76">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15E3FE5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04445C53">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射频场感应的传导骚扰抗扰度</w:t>
            </w:r>
          </w:p>
        </w:tc>
        <w:tc>
          <w:tcPr>
            <w:tcW w:w="991" w:type="dxa"/>
            <w:tcBorders>
              <w:top w:val="nil"/>
              <w:left w:val="nil"/>
              <w:bottom w:val="single" w:color="auto" w:sz="4" w:space="0"/>
              <w:right w:val="single" w:color="auto" w:sz="4" w:space="0"/>
            </w:tcBorders>
            <w:shd w:val="clear" w:color="auto" w:fill="auto"/>
            <w:vAlign w:val="center"/>
          </w:tcPr>
          <w:p w14:paraId="3D45B48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394B1AB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3级</w:t>
            </w:r>
          </w:p>
        </w:tc>
      </w:tr>
      <w:tr w14:paraId="5545C115">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24964E71">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66FC7BD3">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4D789DC3">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谐波电流限值要求（THD）</w:t>
            </w:r>
          </w:p>
        </w:tc>
        <w:tc>
          <w:tcPr>
            <w:tcW w:w="991" w:type="dxa"/>
            <w:tcBorders>
              <w:top w:val="nil"/>
              <w:left w:val="nil"/>
              <w:bottom w:val="single" w:color="auto" w:sz="4" w:space="0"/>
              <w:right w:val="single" w:color="auto" w:sz="4" w:space="0"/>
            </w:tcBorders>
            <w:shd w:val="clear" w:color="auto" w:fill="auto"/>
            <w:vAlign w:val="center"/>
          </w:tcPr>
          <w:p w14:paraId="2FD34C76">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59E5EE0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r>
      <w:tr w14:paraId="569DE5E4">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31804500">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0735BE97">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1E708153">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充放电机结构形式</w:t>
            </w:r>
          </w:p>
        </w:tc>
        <w:tc>
          <w:tcPr>
            <w:tcW w:w="991" w:type="dxa"/>
            <w:tcBorders>
              <w:top w:val="nil"/>
              <w:left w:val="nil"/>
              <w:bottom w:val="single" w:color="auto" w:sz="4" w:space="0"/>
              <w:right w:val="single" w:color="auto" w:sz="4" w:space="0"/>
            </w:tcBorders>
            <w:shd w:val="clear" w:color="auto" w:fill="auto"/>
            <w:vAlign w:val="center"/>
          </w:tcPr>
          <w:p w14:paraId="66AC69E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70437285">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分体式</w:t>
            </w:r>
          </w:p>
        </w:tc>
      </w:tr>
      <w:tr w14:paraId="29164665">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32755399">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693E5877">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48042C8C">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有源功率因数校正电路</w:t>
            </w:r>
          </w:p>
        </w:tc>
        <w:tc>
          <w:tcPr>
            <w:tcW w:w="991" w:type="dxa"/>
            <w:tcBorders>
              <w:top w:val="nil"/>
              <w:left w:val="nil"/>
              <w:bottom w:val="single" w:color="auto" w:sz="4" w:space="0"/>
              <w:right w:val="single" w:color="auto" w:sz="4" w:space="0"/>
            </w:tcBorders>
            <w:shd w:val="clear" w:color="auto" w:fill="auto"/>
            <w:vAlign w:val="center"/>
          </w:tcPr>
          <w:p w14:paraId="57DDE7E7">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625" w:type="dxa"/>
            <w:tcBorders>
              <w:top w:val="nil"/>
              <w:left w:val="nil"/>
              <w:bottom w:val="single" w:color="auto" w:sz="4" w:space="0"/>
              <w:right w:val="single" w:color="auto" w:sz="4" w:space="0"/>
            </w:tcBorders>
            <w:shd w:val="clear" w:color="auto" w:fill="auto"/>
            <w:vAlign w:val="center"/>
          </w:tcPr>
          <w:p w14:paraId="187C119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带</w:t>
            </w:r>
          </w:p>
        </w:tc>
      </w:tr>
      <w:tr w14:paraId="12701023">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4F678FEC">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7C09A6F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8A331C0">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直流输出接口</w:t>
            </w:r>
          </w:p>
        </w:tc>
        <w:tc>
          <w:tcPr>
            <w:tcW w:w="991" w:type="dxa"/>
            <w:tcBorders>
              <w:top w:val="nil"/>
              <w:left w:val="nil"/>
              <w:bottom w:val="single" w:color="auto" w:sz="4" w:space="0"/>
              <w:right w:val="single" w:color="auto" w:sz="4" w:space="0"/>
            </w:tcBorders>
            <w:shd w:val="clear" w:color="auto" w:fill="auto"/>
            <w:vAlign w:val="center"/>
          </w:tcPr>
          <w:p w14:paraId="55DAAB50">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2625" w:type="dxa"/>
            <w:tcBorders>
              <w:top w:val="nil"/>
              <w:left w:val="nil"/>
              <w:bottom w:val="single" w:color="auto" w:sz="4" w:space="0"/>
              <w:right w:val="single" w:color="auto" w:sz="4" w:space="0"/>
            </w:tcBorders>
            <w:shd w:val="clear" w:color="auto" w:fill="auto"/>
            <w:vAlign w:val="center"/>
          </w:tcPr>
          <w:p w14:paraId="5AC8F4A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GB／T20234.3-2015</w:t>
            </w:r>
          </w:p>
        </w:tc>
      </w:tr>
      <w:tr w14:paraId="2B9B8DAF">
        <w:tblPrEx>
          <w:tblCellMar>
            <w:top w:w="0" w:type="dxa"/>
            <w:left w:w="108" w:type="dxa"/>
            <w:bottom w:w="0" w:type="dxa"/>
            <w:right w:w="108" w:type="dxa"/>
          </w:tblCellMar>
        </w:tblPrEx>
        <w:trPr>
          <w:trHeight w:val="113" w:hRule="atLeast"/>
          <w:jc w:val="center"/>
        </w:trPr>
        <w:tc>
          <w:tcPr>
            <w:tcW w:w="659" w:type="dxa"/>
            <w:tcBorders>
              <w:top w:val="nil"/>
              <w:left w:val="single" w:color="auto" w:sz="4" w:space="0"/>
              <w:bottom w:val="single" w:color="auto" w:sz="4" w:space="0"/>
              <w:right w:val="single" w:color="auto" w:sz="4" w:space="0"/>
            </w:tcBorders>
            <w:shd w:val="clear" w:color="auto" w:fill="auto"/>
            <w:vAlign w:val="center"/>
          </w:tcPr>
          <w:p w14:paraId="3D48E8CE">
            <w:pPr>
              <w:pageBreakBefore w:val="0"/>
              <w:kinsoku/>
              <w:wordWrap/>
              <w:overflowPunct/>
              <w:bidi w:val="0"/>
              <w:spacing w:line="360" w:lineRule="exac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w:t>
            </w:r>
          </w:p>
        </w:tc>
        <w:tc>
          <w:tcPr>
            <w:tcW w:w="996" w:type="dxa"/>
            <w:vMerge w:val="continue"/>
            <w:tcBorders>
              <w:top w:val="nil"/>
              <w:left w:val="single" w:color="auto" w:sz="4" w:space="0"/>
              <w:bottom w:val="single" w:color="auto" w:sz="4" w:space="0"/>
              <w:right w:val="single" w:color="auto" w:sz="4" w:space="0"/>
            </w:tcBorders>
            <w:shd w:val="clear" w:color="auto" w:fill="auto"/>
            <w:vAlign w:val="center"/>
          </w:tcPr>
          <w:p w14:paraId="338DD22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p>
        </w:tc>
        <w:tc>
          <w:tcPr>
            <w:tcW w:w="3019" w:type="dxa"/>
            <w:tcBorders>
              <w:top w:val="nil"/>
              <w:left w:val="nil"/>
              <w:bottom w:val="single" w:color="auto" w:sz="4" w:space="0"/>
              <w:right w:val="single" w:color="auto" w:sz="4" w:space="0"/>
            </w:tcBorders>
            <w:shd w:val="clear" w:color="auto" w:fill="auto"/>
            <w:vAlign w:val="center"/>
          </w:tcPr>
          <w:p w14:paraId="2BEDD89D">
            <w:pPr>
              <w:pageBreakBefore w:val="0"/>
              <w:kinsoku/>
              <w:wordWrap/>
              <w:overflowPunct/>
              <w:bidi w:val="0"/>
              <w:spacing w:line="360" w:lineRule="exact"/>
              <w:ind w:left="0" w:leftChars="0" w:firstLine="0" w:firstLineChars="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平均无故障时间</w:t>
            </w:r>
          </w:p>
        </w:tc>
        <w:tc>
          <w:tcPr>
            <w:tcW w:w="991" w:type="dxa"/>
            <w:tcBorders>
              <w:top w:val="nil"/>
              <w:left w:val="nil"/>
              <w:bottom w:val="single" w:color="auto" w:sz="4" w:space="0"/>
              <w:right w:val="single" w:color="auto" w:sz="4" w:space="0"/>
            </w:tcBorders>
            <w:shd w:val="clear" w:color="auto" w:fill="auto"/>
            <w:vAlign w:val="center"/>
          </w:tcPr>
          <w:p w14:paraId="751A7F2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h</w:t>
            </w:r>
          </w:p>
        </w:tc>
        <w:tc>
          <w:tcPr>
            <w:tcW w:w="2625" w:type="dxa"/>
            <w:tcBorders>
              <w:top w:val="nil"/>
              <w:left w:val="nil"/>
              <w:bottom w:val="single" w:color="auto" w:sz="4" w:space="0"/>
              <w:right w:val="single" w:color="auto" w:sz="4" w:space="0"/>
            </w:tcBorders>
            <w:shd w:val="clear" w:color="auto" w:fill="auto"/>
            <w:vAlign w:val="center"/>
          </w:tcPr>
          <w:p w14:paraId="725F85F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≥17520h</w:t>
            </w:r>
          </w:p>
        </w:tc>
      </w:tr>
    </w:tbl>
    <w:p w14:paraId="56A935D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充放电机要求</w:t>
      </w:r>
    </w:p>
    <w:p w14:paraId="1F9D169E">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充放电机应外观线条流畅、整体紧凑、简洁时尚，与安装地点周边环境相协调。</w:t>
      </w:r>
    </w:p>
    <w:p w14:paraId="41EB236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充放电机内部线束，应排布整齐、规整，标识清楚，捆扎牢固。</w:t>
      </w:r>
    </w:p>
    <w:p w14:paraId="7EB28BF6">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充放电机内元器件应布局合理，易耗易损元件方便更换。</w:t>
      </w:r>
    </w:p>
    <w:p w14:paraId="5F6A4A7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充放电机安装于户外时，应便于特殊天气条件下的日常维护。</w:t>
      </w:r>
    </w:p>
    <w:p w14:paraId="58D75609">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充放电机应采用抗冲击力强、抗老化的材质。</w:t>
      </w:r>
    </w:p>
    <w:p w14:paraId="5AEF7A78">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充放电机表面涂覆色泽层应均匀光洁，不起泡、不龟裂、不脱落。</w:t>
      </w:r>
    </w:p>
    <w:p w14:paraId="33B2514A">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非绝缘材料外壳应可靠接地，结构上应防止操作人员触及带电部件。</w:t>
      </w:r>
    </w:p>
    <w:p w14:paraId="266B74D3">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要求充电枪在非充电状态下，整体不带电，拔下充电枪，就地充电装置没有任何电源，插入充电枪、认证信息后通电，无安全隐患。</w:t>
      </w:r>
    </w:p>
    <w:p w14:paraId="40872E1A">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小功率</w:t>
      </w:r>
      <w:r>
        <w:rPr>
          <w:rFonts w:hint="eastAsia" w:ascii="仿宋" w:hAnsi="仿宋" w:eastAsia="仿宋" w:cs="仿宋"/>
          <w:color w:val="auto"/>
          <w:highlight w:val="none"/>
        </w:rPr>
        <w:t>直流充</w:t>
      </w:r>
      <w:r>
        <w:rPr>
          <w:rFonts w:hint="eastAsia" w:ascii="仿宋" w:hAnsi="仿宋" w:eastAsia="仿宋" w:cs="仿宋"/>
          <w:color w:val="auto"/>
          <w:highlight w:val="none"/>
          <w:lang w:val="en-US" w:eastAsia="zh-CN"/>
        </w:rPr>
        <w:t>放</w:t>
      </w:r>
      <w:r>
        <w:rPr>
          <w:rFonts w:hint="eastAsia" w:ascii="仿宋" w:hAnsi="仿宋" w:eastAsia="仿宋" w:cs="仿宋"/>
          <w:color w:val="auto"/>
          <w:highlight w:val="none"/>
        </w:rPr>
        <w:t>电终端技术要求</w:t>
      </w:r>
    </w:p>
    <w:p w14:paraId="6FB06FA7">
      <w:pPr>
        <w:pStyle w:val="5"/>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环境条件</w:t>
      </w:r>
    </w:p>
    <w:p w14:paraId="60E924F7">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环境温度：-20℃～50℃；</w:t>
      </w:r>
    </w:p>
    <w:p w14:paraId="10C127C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相对湿度：5％～95％；</w:t>
      </w:r>
    </w:p>
    <w:p w14:paraId="32E805E2">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海拔高度：≤2000m；</w:t>
      </w:r>
    </w:p>
    <w:p w14:paraId="3F560EC4">
      <w:pPr>
        <w:pageBreakBefore w:val="0"/>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大气压强：80kPa～110kPa；</w:t>
      </w:r>
    </w:p>
    <w:p w14:paraId="210E4AE8">
      <w:pPr>
        <w:pStyle w:val="5"/>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参数要求</w:t>
      </w:r>
    </w:p>
    <w:tbl>
      <w:tblPr>
        <w:tblStyle w:val="64"/>
        <w:tblW w:w="5000" w:type="pct"/>
        <w:tblInd w:w="0" w:type="dxa"/>
        <w:tblLayout w:type="autofit"/>
        <w:tblCellMar>
          <w:top w:w="0" w:type="dxa"/>
          <w:left w:w="108" w:type="dxa"/>
          <w:bottom w:w="0" w:type="dxa"/>
          <w:right w:w="108" w:type="dxa"/>
        </w:tblCellMar>
      </w:tblPr>
      <w:tblGrid>
        <w:gridCol w:w="2836"/>
        <w:gridCol w:w="6337"/>
      </w:tblGrid>
      <w:tr w14:paraId="6E77DA23">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3FC29A6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名称</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777BA07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参数</w:t>
            </w:r>
          </w:p>
        </w:tc>
      </w:tr>
      <w:tr w14:paraId="3DA341F0">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54AB5BF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产品尺寸（宽*深*高）</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5F80FA6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不大于400×400×1500mm</w:t>
            </w:r>
          </w:p>
        </w:tc>
      </w:tr>
      <w:tr w14:paraId="7BF29A96">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31C37247">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枪线长度</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3661951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不少于3m</w:t>
            </w:r>
          </w:p>
        </w:tc>
      </w:tr>
      <w:tr w14:paraId="26EAD20A">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53AF5084">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安装方式</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55036E1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落地/壁挂</w:t>
            </w:r>
          </w:p>
        </w:tc>
      </w:tr>
      <w:tr w14:paraId="0DD9B2EC">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081655C1">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充电接口</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70F3883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1个（GB/T 20234.1-2015）</w:t>
            </w:r>
          </w:p>
        </w:tc>
      </w:tr>
      <w:tr w14:paraId="3DDBEC71">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6F05C08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充电枪载流量</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1A3409D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50A</w:t>
            </w:r>
          </w:p>
        </w:tc>
      </w:tr>
      <w:tr w14:paraId="283562E2">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53FA4AE5">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机械寿命</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28D1514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空载插拔＞10000次</w:t>
            </w:r>
          </w:p>
        </w:tc>
      </w:tr>
      <w:tr w14:paraId="3BAD72C2">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38542BDF">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防护等级</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1542AD56">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IP54</w:t>
            </w:r>
          </w:p>
        </w:tc>
      </w:tr>
      <w:tr w14:paraId="7F241D15">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0988CD1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工作环境温度</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45D031FC">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-20℃～＋50℃</w:t>
            </w:r>
          </w:p>
        </w:tc>
      </w:tr>
      <w:tr w14:paraId="676B3318">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6FC64FDE">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状态指示功能</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25D3A878">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插枪/充电</w:t>
            </w:r>
          </w:p>
        </w:tc>
      </w:tr>
      <w:tr w14:paraId="6CA4131E">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3C4753E4">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绝缘电阻</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69B7B11A">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&gt;10 MΩ</w:t>
            </w:r>
          </w:p>
        </w:tc>
      </w:tr>
      <w:tr w14:paraId="378EE0C8">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2806EDF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接触电阻</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1201FEE7">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 mΩ Max</w:t>
            </w:r>
          </w:p>
        </w:tc>
      </w:tr>
      <w:tr w14:paraId="5A319FD2">
        <w:tblPrEx>
          <w:tblCellMar>
            <w:top w:w="0" w:type="dxa"/>
            <w:left w:w="108" w:type="dxa"/>
            <w:bottom w:w="0" w:type="dxa"/>
            <w:right w:w="108" w:type="dxa"/>
          </w:tblCellMar>
        </w:tblPrEx>
        <w:trPr>
          <w:trHeight w:val="170" w:hRule="atLeast"/>
        </w:trPr>
        <w:tc>
          <w:tcPr>
            <w:tcW w:w="1546" w:type="pct"/>
            <w:tcBorders>
              <w:top w:val="single" w:color="auto" w:sz="4" w:space="0"/>
              <w:left w:val="single" w:color="auto" w:sz="4" w:space="0"/>
              <w:bottom w:val="single" w:color="auto" w:sz="4" w:space="0"/>
              <w:right w:val="single" w:color="auto" w:sz="4" w:space="0"/>
            </w:tcBorders>
            <w:shd w:val="clear" w:color="auto" w:fill="auto"/>
            <w:vAlign w:val="center"/>
          </w:tcPr>
          <w:p w14:paraId="631BE102">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胶壳防火等级</w:t>
            </w:r>
          </w:p>
        </w:tc>
        <w:tc>
          <w:tcPr>
            <w:tcW w:w="3454" w:type="pct"/>
            <w:tcBorders>
              <w:top w:val="single" w:color="auto" w:sz="4" w:space="0"/>
              <w:left w:val="single" w:color="auto" w:sz="4" w:space="0"/>
              <w:bottom w:val="single" w:color="auto" w:sz="4" w:space="0"/>
              <w:right w:val="single" w:color="auto" w:sz="4" w:space="0"/>
            </w:tcBorders>
            <w:shd w:val="clear" w:color="auto" w:fill="auto"/>
            <w:vAlign w:val="center"/>
          </w:tcPr>
          <w:p w14:paraId="683BE034">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UL94 V-0</w:t>
            </w:r>
          </w:p>
        </w:tc>
      </w:tr>
    </w:tbl>
    <w:p w14:paraId="71BFA3FF">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lang w:val="en-US" w:eastAsia="zh-CN"/>
        </w:rPr>
      </w:pPr>
    </w:p>
    <w:p w14:paraId="34FF7CFB">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一体式充电机技术要求</w:t>
      </w:r>
    </w:p>
    <w:p w14:paraId="37731CC7">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基本构成</w:t>
      </w:r>
    </w:p>
    <w:p w14:paraId="64818063">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环境条件</w:t>
      </w:r>
    </w:p>
    <w:p w14:paraId="748C426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环境温度：-20℃～50℃；</w:t>
      </w:r>
    </w:p>
    <w:p w14:paraId="069E9B0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相对湿度：5％～95％；</w:t>
      </w:r>
    </w:p>
    <w:p w14:paraId="558B8B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海拔高度：≤2000m，2000m以上降额输出；</w:t>
      </w:r>
    </w:p>
    <w:p w14:paraId="6D6EB0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大气压强：80kPa～110kPa；</w:t>
      </w:r>
    </w:p>
    <w:p w14:paraId="3356F2FF">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电源条件</w:t>
      </w:r>
    </w:p>
    <w:p w14:paraId="5FABBB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交流输入电压：380V±15％；</w:t>
      </w:r>
    </w:p>
    <w:p w14:paraId="240A6C4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交流电源频率：45HZ~65HZ。</w:t>
      </w:r>
    </w:p>
    <w:p w14:paraId="298BC523">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bookmarkStart w:id="53" w:name="_Hlk101618858"/>
      <w:r>
        <w:rPr>
          <w:rFonts w:hint="eastAsia" w:ascii="仿宋" w:hAnsi="仿宋" w:eastAsia="仿宋" w:cs="仿宋"/>
          <w:b/>
          <w:bCs/>
          <w:color w:val="auto"/>
          <w:kern w:val="0"/>
          <w:sz w:val="24"/>
          <w:szCs w:val="24"/>
          <w:highlight w:val="none"/>
        </w:rPr>
        <w:t>输出电压和额定功率</w:t>
      </w:r>
    </w:p>
    <w:p w14:paraId="11162E8A">
      <w:pPr>
        <w:pStyle w:val="964"/>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1）直流输出电压：50-1000V连续且不分段；</w:t>
      </w:r>
    </w:p>
    <w:p w14:paraId="3A8A9FBE">
      <w:pPr>
        <w:pStyle w:val="964"/>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2）恒功率段300V-1000V连续且不分段。</w:t>
      </w:r>
    </w:p>
    <w:p w14:paraId="722C860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3）额定功率：单模块额定输出功率≥20kW。</w:t>
      </w:r>
    </w:p>
    <w:p w14:paraId="40A2532E">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低压辅助电源</w:t>
      </w:r>
    </w:p>
    <w:p w14:paraId="122B009D">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充电机应能为电动汽车提供低压辅助电源，且具备过负荷、过压、过温保护功能。</w:t>
      </w:r>
    </w:p>
    <w:p w14:paraId="316BF3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1）辅助电源电压：12V</w:t>
      </w:r>
    </w:p>
    <w:p w14:paraId="1C5A542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2）充电机辅助电源满足GB/T 18487.1-2015和Q/GDW 1594-2014中的要求；</w:t>
      </w:r>
    </w:p>
    <w:p w14:paraId="1C19CE3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3）纹波峰值系数：不超过±1%。</w:t>
      </w:r>
    </w:p>
    <w:bookmarkEnd w:id="53"/>
    <w:p w14:paraId="47F8D608">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待机损耗</w:t>
      </w:r>
    </w:p>
    <w:p w14:paraId="52454F72">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整机待机损耗小于等于N*30W。（N表示车辆接口数量）</w:t>
      </w:r>
    </w:p>
    <w:p w14:paraId="3D43AAB7">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结构要求</w:t>
      </w:r>
    </w:p>
    <w:p w14:paraId="2704075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一体式直流充电机，基本构成包括：充电模块、配电单元、控制单元、人机交互单元、计量单元、充电接口等，充电机左、右、前开门，可支持靠墙安装。</w:t>
      </w:r>
    </w:p>
    <w:p w14:paraId="24568D6C">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结构形式</w:t>
      </w:r>
    </w:p>
    <w:p w14:paraId="000499F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一体式直流充电机，柜体带有一把枪，出线方式为上出线。 </w:t>
      </w:r>
    </w:p>
    <w:p w14:paraId="0476E0A7">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外壳要求</w:t>
      </w:r>
    </w:p>
    <w:p w14:paraId="72C868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充电机采用抗冲击力强、抗老化的材质，可靠性高，充电机钣金外壳和暴露在外的钣金支架、零件应采取双层防锈措施，非金属外壳也应具有防老化处理。</w:t>
      </w:r>
    </w:p>
    <w:p w14:paraId="1833496C">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充电控制功能</w:t>
      </w:r>
    </w:p>
    <w:p w14:paraId="7ED6651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充电机应具备自动充电控制功能，可具备手动充电控制功能。充电机采用手动充电控制时，应具有明显的操作提示信息，仅限于专业人员在特殊情况下对充电机设备进行调试或维护时使用。</w:t>
      </w:r>
    </w:p>
    <w:p w14:paraId="15009F92">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人机交互功能</w:t>
      </w:r>
    </w:p>
    <w:p w14:paraId="349505C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充电机显示下列状态信息：</w:t>
      </w:r>
    </w:p>
    <w:p w14:paraId="1D113C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（1）充电机的运行状态指示：待机、插枪、充电、告警。</w:t>
      </w:r>
    </w:p>
    <w:p w14:paraId="1377B87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（2）具有手动充电控制功能的充电机应显示人工输入信息。 </w:t>
      </w:r>
    </w:p>
    <w:p w14:paraId="7C63510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充电机显示下列信息：</w:t>
      </w:r>
    </w:p>
    <w:p w14:paraId="124CE25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（1）电池当前荷电状态（state of charge, SOC）、充电电压、充电电流、充电功率；</w:t>
      </w:r>
    </w:p>
    <w:p w14:paraId="3639CB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（2）己充电时间、己充电电量、己充电金额。</w:t>
      </w:r>
    </w:p>
    <w:p w14:paraId="13DF61E0">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充电启动方式设定</w:t>
      </w:r>
    </w:p>
    <w:p w14:paraId="35DBDE8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充电机支持离线运行和联网运行，多种启动方式可选。离线支持刷卡、密码启动方式；联网支持APP、小程序、刷卡启动方式。</w:t>
      </w:r>
    </w:p>
    <w:p w14:paraId="76BE1FA6">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充电模式和连接方式</w:t>
      </w:r>
    </w:p>
    <w:p w14:paraId="65138EDA">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充电机采用GB/T18487.1-2015附录B中规定的充电模式4和连接方式C对电动汽车进行充电。充电接口应满足GB/T20234.1-2015和 GB/T20234.3-2015的规定。</w:t>
      </w:r>
    </w:p>
    <w:p w14:paraId="64C2D1B0">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与电池管理系统通信功能</w:t>
      </w:r>
    </w:p>
    <w:p w14:paraId="20A92F4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充电机应具有与电池管理系统通信的CAN接口，获得电池管理系统的充电参数和充电实时数据，通信协议应能满足 GB/T 27930-2015的规定。</w:t>
      </w:r>
    </w:p>
    <w:p w14:paraId="10995A4E">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充电控制</w:t>
      </w:r>
    </w:p>
    <w:p w14:paraId="01B0C2D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具备VIN自动识别充电：通过插枪，自动识别车辆BMS传回的VIN码，集中控制器识别正确，自动启动充电或遵循后台设置的启动充电时间，自动启动；充电结束后，自动停止，充电未结束时，通过手机、PAD、PC等终端，可直接选择充电枪，终止充电。</w:t>
      </w:r>
    </w:p>
    <w:p w14:paraId="1E146B8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2）定时充电功能：可以自动或手动设置充电时间，充分利用低谷电价，降低运营成本。</w:t>
      </w:r>
    </w:p>
    <w:p w14:paraId="3290AD9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3）智能充电功能；区域组网，本地所有充电机协同，智能错峰充电。</w:t>
      </w:r>
    </w:p>
    <w:p w14:paraId="4018C20D">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模块灌胶</w:t>
      </w:r>
    </w:p>
    <w:p w14:paraId="71C1980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充电机主功率模块及辅助电源采用灌胶工艺</w:t>
      </w:r>
    </w:p>
    <w:p w14:paraId="7FD6A832">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与电池管理系统通信功能</w:t>
      </w:r>
    </w:p>
    <w:p w14:paraId="1A7D1B29">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充电机应具有与电池管理系统通信的CAN接口，获得电池管理系统的充电参数和充电实时数据。通信协议应能满足GB/T 27930-2015的规定。</w:t>
      </w:r>
    </w:p>
    <w:p w14:paraId="3DB22CED">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计量功能</w:t>
      </w:r>
    </w:p>
    <w:p w14:paraId="2BEDD829">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充电机采用直流侧计量，应具有对每个充电接口输出电能进行计量的功能。电能计量装置应符合国家计量器具检定相关要求。精确度等级1.0级，电能计量装置具备1个RS485接口，通信协议遵循《DL/T 645-2007多功能电能表通信协议》技术要求。</w:t>
      </w:r>
    </w:p>
    <w:p w14:paraId="70B21F79">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充电机须具备电表校验异常功能。当充电机的电表校验发生异常时，充电机应能进行告警。</w:t>
      </w:r>
    </w:p>
    <w:p w14:paraId="1F7996A5">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错峰充电设置功能</w:t>
      </w:r>
    </w:p>
    <w:p w14:paraId="065C0C3D">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具有通过界面设置错峰充电时间段，包括高价、低价、平价三个时间段进行充电的功能。</w:t>
      </w:r>
    </w:p>
    <w:p w14:paraId="516EA090">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人性化设计</w:t>
      </w:r>
    </w:p>
    <w:p w14:paraId="4CFCC2B4">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人机交互界面的操作屏，具备不小于10°的倾斜角且具备遮阳罩</w:t>
      </w:r>
    </w:p>
    <w:p w14:paraId="07F7D476">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通信功能</w:t>
      </w:r>
    </w:p>
    <w:p w14:paraId="62E433AA">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配置4G通讯模块，采用4G通讯流量卡连接网络，手机APP、PAD、PC登陆云平台进行充电状态的监控、查询及控制功能。受后台通讯频次与数据要求，配置流量卡具备每月不低于500M流量／桩，每个车位可单独计量、计费、通信，流量卡由响应人提供，自行计入成本，通讯运营商的选择根据充电站所在位置选择网络较好的运营商，由招标人在下单时提供。自行配置工业级无线路由器（全网通通信模块，兼容4G/3G/2G频段，有线加无线双网互备）。</w:t>
      </w:r>
    </w:p>
    <w:p w14:paraId="1401BFCB">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流量统计功能</w:t>
      </w:r>
    </w:p>
    <w:p w14:paraId="4DEBAFDC">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具有对外通信流量统计功能，并显示流量信息。</w:t>
      </w:r>
    </w:p>
    <w:p w14:paraId="370AFB6C">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远程运维</w:t>
      </w:r>
    </w:p>
    <w:p w14:paraId="3A6DFE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为保证充电机运维售后的及时性，充电机应具备以下功能：</w:t>
      </w:r>
    </w:p>
    <w:p w14:paraId="05C8652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1.充电机的软件系统具备远程升级能力；</w:t>
      </w:r>
    </w:p>
    <w:p w14:paraId="401B9D3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2.充电机应具有可以通过远程进行设置相关参数的功能；</w:t>
      </w:r>
    </w:p>
    <w:p w14:paraId="51B6051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3.充电机应能够实现远程监控故障，并进行设备软件维护。</w:t>
      </w:r>
    </w:p>
    <w:p w14:paraId="5B951C56">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调试、运维便捷</w:t>
      </w:r>
    </w:p>
    <w:p w14:paraId="6146EE5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充电机具备便携式BMS 报文抓取接口，无须拆除其他接线及端子。</w:t>
      </w:r>
    </w:p>
    <w:p w14:paraId="237F8C72">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开门断电功能</w:t>
      </w:r>
    </w:p>
    <w:p w14:paraId="1564351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充电机应在开门有裸露电气部分的门位置安装信号开关，当在充电前或充电中开门时，其信号开关应将信号传至总开关，并执行断开交流电源动作，以保证人身安全。</w:t>
      </w:r>
    </w:p>
    <w:p w14:paraId="55B888EC">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倾斜断电功能</w:t>
      </w:r>
    </w:p>
    <w:p w14:paraId="75076B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当充电机在充电前或充电中，遭受由于外部因素造成的倾斜时（倾斜角度大于5度），充电机应立即断电，以保证人身安全。</w:t>
      </w:r>
    </w:p>
    <w:p w14:paraId="7C23A33D">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断电降耗功能</w:t>
      </w:r>
    </w:p>
    <w:p w14:paraId="3D9B59E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充电机能够在不充电的情况下，可以切掉主功率模块，减少待机功率。</w:t>
      </w:r>
    </w:p>
    <w:p w14:paraId="7188A9D3">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辅助检修功能</w:t>
      </w:r>
    </w:p>
    <w:p w14:paraId="6059EE1A">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充电机具有柜内照明灯和柜内220V维护插座，便于后期现场运维检修。</w:t>
      </w:r>
    </w:p>
    <w:p w14:paraId="5FF57E50">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备份存储自动上传</w:t>
      </w:r>
    </w:p>
    <w:p w14:paraId="52BEADFF">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本地系统自动备份离网数据，并实现上传。并且具有U盘鉴权能力，具有通过有加密的特殊U盘才能进行软件升级和拷贝数据的功能。</w:t>
      </w:r>
    </w:p>
    <w:p w14:paraId="76FC877C">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锁止功能</w:t>
      </w:r>
    </w:p>
    <w:p w14:paraId="4C356D4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充电枪应安装电子锁止装置，具有枪头锁止功能，防止充电过程中意外拔枪，当电子锁未可靠锁止时，充电机应不能启动充电或立即停止充电。</w:t>
      </w:r>
    </w:p>
    <w:p w14:paraId="79E50A66">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超温断电</w:t>
      </w:r>
    </w:p>
    <w:p w14:paraId="3B0778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枪带有温度检测功能，充电过程对枪头DC+/DC-端子连接处进行温度实时检测。当确认充电枪头温度达到90℃两分钟后，充电机限制输出电流为当前直流电表检测值的90%；当确认充电枪头温度达到95℃两分钟后，充电机限制输出电流为当前直流电表检测值的80%；当确认充电枪头温度达到100℃两分钟后，充电机限制输出电流为当前直流电表检测值的70%；当确认充电枪头温度达到110℃两秒钟后，充电机立即停止充电，并发出过温故障提示。</w:t>
      </w:r>
    </w:p>
    <w:p w14:paraId="31383535">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耐气候环境要求</w:t>
      </w:r>
    </w:p>
    <w:p w14:paraId="1A3C2531">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防护等级</w:t>
      </w:r>
    </w:p>
    <w:p w14:paraId="7ED38A41">
      <w:pPr>
        <w:pStyle w:val="15"/>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充电机的柜体防护等级不应低于GB 4208-2008中IP55（室外）的规定。</w:t>
      </w:r>
    </w:p>
    <w:p w14:paraId="36A16582">
      <w:pPr>
        <w:keepNext w:val="0"/>
        <w:keepLines w:val="0"/>
        <w:pageBreakBefore w:val="0"/>
        <w:widowControl w:val="0"/>
        <w:tabs>
          <w:tab w:val="left" w:pos="1155"/>
        </w:tabs>
        <w:kinsoku/>
        <w:wordWrap/>
        <w:overflowPunct/>
        <w:topLinePunct w:val="0"/>
        <w:autoSpaceDE/>
        <w:autoSpaceDN/>
        <w:bidi w:val="0"/>
        <w:adjustRightInd/>
        <w:snapToGrid/>
        <w:spacing w:line="360" w:lineRule="exact"/>
        <w:ind w:left="0" w:leftChars="0" w:firstLine="482" w:firstLineChars="200"/>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充电输出参数、电磁兼容、可靠性要求</w:t>
      </w:r>
    </w:p>
    <w:tbl>
      <w:tblPr>
        <w:tblStyle w:val="64"/>
        <w:tblW w:w="9143" w:type="dxa"/>
        <w:jc w:val="center"/>
        <w:tblLayout w:type="autofit"/>
        <w:tblCellMar>
          <w:top w:w="32" w:type="dxa"/>
          <w:left w:w="64" w:type="dxa"/>
          <w:bottom w:w="32" w:type="dxa"/>
          <w:right w:w="64" w:type="dxa"/>
        </w:tblCellMar>
      </w:tblPr>
      <w:tblGrid>
        <w:gridCol w:w="630"/>
        <w:gridCol w:w="1418"/>
        <w:gridCol w:w="3292"/>
        <w:gridCol w:w="631"/>
        <w:gridCol w:w="3172"/>
      </w:tblGrid>
      <w:tr w14:paraId="02B9803C">
        <w:tblPrEx>
          <w:tblCellMar>
            <w:top w:w="32" w:type="dxa"/>
            <w:left w:w="64" w:type="dxa"/>
            <w:bottom w:w="32" w:type="dxa"/>
            <w:right w:w="64" w:type="dxa"/>
          </w:tblCellMar>
        </w:tblPrEx>
        <w:trPr>
          <w:trHeight w:val="0" w:hRule="atLeast"/>
          <w:tblHeader/>
          <w:jc w:val="center"/>
        </w:trPr>
        <w:tc>
          <w:tcPr>
            <w:tcW w:w="630" w:type="dxa"/>
            <w:tcBorders>
              <w:top w:val="single" w:color="auto" w:sz="4" w:space="0"/>
              <w:left w:val="single" w:color="auto" w:sz="4" w:space="0"/>
              <w:bottom w:val="single" w:color="auto" w:sz="4" w:space="0"/>
              <w:right w:val="single" w:color="auto" w:sz="4" w:space="0"/>
            </w:tcBorders>
            <w:noWrap w:val="0"/>
            <w:vAlign w:val="center"/>
          </w:tcPr>
          <w:p w14:paraId="10C1EA8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b/>
                <w:bCs/>
                <w:color w:val="auto"/>
                <w:sz w:val="21"/>
                <w:szCs w:val="21"/>
                <w:highlight w:val="none"/>
                <w:lang w:eastAsia="zh-CN"/>
              </w:rPr>
            </w:pPr>
            <w:bookmarkStart w:id="54" w:name="_Hlk101618929"/>
            <w:r>
              <w:rPr>
                <w:rFonts w:hint="eastAsia" w:ascii="仿宋" w:hAnsi="仿宋" w:eastAsia="仿宋" w:cs="仿宋"/>
                <w:b/>
                <w:bCs/>
                <w:color w:val="auto"/>
                <w:sz w:val="21"/>
                <w:szCs w:val="21"/>
                <w:highlight w:val="none"/>
                <w:lang w:eastAsia="zh-CN"/>
              </w:rPr>
              <w:t>序号</w:t>
            </w:r>
          </w:p>
        </w:tc>
        <w:tc>
          <w:tcPr>
            <w:tcW w:w="1418" w:type="dxa"/>
            <w:tcBorders>
              <w:top w:val="single" w:color="auto" w:sz="4" w:space="0"/>
              <w:left w:val="nil"/>
              <w:bottom w:val="single" w:color="auto" w:sz="4" w:space="0"/>
              <w:right w:val="single" w:color="auto" w:sz="4" w:space="0"/>
            </w:tcBorders>
            <w:noWrap w:val="0"/>
            <w:vAlign w:val="center"/>
          </w:tcPr>
          <w:p w14:paraId="3BE403BA">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名称</w:t>
            </w:r>
          </w:p>
        </w:tc>
        <w:tc>
          <w:tcPr>
            <w:tcW w:w="3292" w:type="dxa"/>
            <w:tcBorders>
              <w:top w:val="single" w:color="auto" w:sz="4" w:space="0"/>
              <w:left w:val="nil"/>
              <w:bottom w:val="single" w:color="auto" w:sz="4" w:space="0"/>
              <w:right w:val="single" w:color="auto" w:sz="4" w:space="0"/>
            </w:tcBorders>
            <w:noWrap w:val="0"/>
            <w:vAlign w:val="center"/>
          </w:tcPr>
          <w:p w14:paraId="366A484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项目</w:t>
            </w:r>
          </w:p>
        </w:tc>
        <w:tc>
          <w:tcPr>
            <w:tcW w:w="631" w:type="dxa"/>
            <w:tcBorders>
              <w:top w:val="single" w:color="auto" w:sz="4" w:space="0"/>
              <w:left w:val="nil"/>
              <w:bottom w:val="single" w:color="auto" w:sz="4" w:space="0"/>
              <w:right w:val="single" w:color="auto" w:sz="4" w:space="0"/>
            </w:tcBorders>
            <w:noWrap w:val="0"/>
            <w:vAlign w:val="center"/>
          </w:tcPr>
          <w:p w14:paraId="0DE44CEE">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单位</w:t>
            </w:r>
          </w:p>
        </w:tc>
        <w:tc>
          <w:tcPr>
            <w:tcW w:w="3172" w:type="dxa"/>
            <w:tcBorders>
              <w:top w:val="single" w:color="auto" w:sz="4" w:space="0"/>
              <w:left w:val="nil"/>
              <w:bottom w:val="single" w:color="auto" w:sz="4" w:space="0"/>
              <w:right w:val="single" w:color="auto" w:sz="4" w:space="0"/>
            </w:tcBorders>
            <w:noWrap w:val="0"/>
            <w:vAlign w:val="center"/>
          </w:tcPr>
          <w:p w14:paraId="1492C96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技术参数要求</w:t>
            </w:r>
          </w:p>
        </w:tc>
      </w:tr>
      <w:tr w14:paraId="67B14964">
        <w:tblPrEx>
          <w:tblCellMar>
            <w:top w:w="32" w:type="dxa"/>
            <w:left w:w="64" w:type="dxa"/>
            <w:bottom w:w="32" w:type="dxa"/>
            <w:right w:w="64" w:type="dxa"/>
          </w:tblCellMar>
        </w:tblPrEx>
        <w:trPr>
          <w:trHeight w:val="0" w:hRule="atLeast"/>
          <w:jc w:val="center"/>
        </w:trPr>
        <w:tc>
          <w:tcPr>
            <w:tcW w:w="630" w:type="dxa"/>
            <w:tcBorders>
              <w:top w:val="single" w:color="auto" w:sz="4" w:space="0"/>
              <w:left w:val="single" w:color="auto" w:sz="4" w:space="0"/>
              <w:bottom w:val="single" w:color="auto" w:sz="4" w:space="0"/>
              <w:right w:val="single" w:color="auto" w:sz="4" w:space="0"/>
            </w:tcBorders>
            <w:noWrap w:val="0"/>
            <w:vAlign w:val="center"/>
          </w:tcPr>
          <w:p w14:paraId="7F591927">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418" w:type="dxa"/>
            <w:vMerge w:val="restart"/>
            <w:tcBorders>
              <w:top w:val="single" w:color="auto" w:sz="4" w:space="0"/>
              <w:left w:val="single" w:color="auto" w:sz="4" w:space="0"/>
              <w:bottom w:val="single" w:color="auto" w:sz="4" w:space="0"/>
              <w:right w:val="single" w:color="auto" w:sz="4" w:space="0"/>
            </w:tcBorders>
            <w:noWrap w:val="0"/>
            <w:vAlign w:val="center"/>
          </w:tcPr>
          <w:p w14:paraId="296F828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直流充电机</w:t>
            </w:r>
          </w:p>
        </w:tc>
        <w:tc>
          <w:tcPr>
            <w:tcW w:w="3292" w:type="dxa"/>
            <w:tcBorders>
              <w:top w:val="single" w:color="auto" w:sz="4" w:space="0"/>
              <w:left w:val="nil"/>
              <w:bottom w:val="single" w:color="auto" w:sz="4" w:space="0"/>
              <w:right w:val="single" w:color="auto" w:sz="4" w:space="0"/>
            </w:tcBorders>
            <w:noWrap w:val="0"/>
            <w:vAlign w:val="center"/>
          </w:tcPr>
          <w:p w14:paraId="06AC012C">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交流输入电压</w:t>
            </w:r>
          </w:p>
        </w:tc>
        <w:tc>
          <w:tcPr>
            <w:tcW w:w="631" w:type="dxa"/>
            <w:tcBorders>
              <w:top w:val="single" w:color="auto" w:sz="4" w:space="0"/>
              <w:left w:val="nil"/>
              <w:bottom w:val="single" w:color="auto" w:sz="4" w:space="0"/>
              <w:right w:val="single" w:color="auto" w:sz="4" w:space="0"/>
            </w:tcBorders>
            <w:noWrap w:val="0"/>
            <w:vAlign w:val="center"/>
          </w:tcPr>
          <w:p w14:paraId="23FB074F">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w:t>
            </w:r>
          </w:p>
        </w:tc>
        <w:tc>
          <w:tcPr>
            <w:tcW w:w="3172" w:type="dxa"/>
            <w:tcBorders>
              <w:top w:val="single" w:color="auto" w:sz="4" w:space="0"/>
              <w:left w:val="nil"/>
              <w:bottom w:val="single" w:color="auto" w:sz="4" w:space="0"/>
              <w:right w:val="single" w:color="auto" w:sz="4" w:space="0"/>
            </w:tcBorders>
            <w:noWrap w:val="0"/>
            <w:vAlign w:val="center"/>
          </w:tcPr>
          <w:p w14:paraId="49490A9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三相380：323～437</w:t>
            </w:r>
          </w:p>
        </w:tc>
      </w:tr>
      <w:tr w14:paraId="2D0411B8">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048DA6BC">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418" w:type="dxa"/>
            <w:vMerge w:val="continue"/>
            <w:tcBorders>
              <w:top w:val="nil"/>
              <w:left w:val="single" w:color="auto" w:sz="4" w:space="0"/>
              <w:bottom w:val="single" w:color="auto" w:sz="4" w:space="0"/>
              <w:right w:val="single" w:color="auto" w:sz="4" w:space="0"/>
            </w:tcBorders>
            <w:noWrap w:val="0"/>
            <w:vAlign w:val="center"/>
          </w:tcPr>
          <w:p w14:paraId="0174637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72463C64">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交流电源频率</w:t>
            </w:r>
          </w:p>
        </w:tc>
        <w:tc>
          <w:tcPr>
            <w:tcW w:w="631" w:type="dxa"/>
            <w:tcBorders>
              <w:top w:val="nil"/>
              <w:left w:val="nil"/>
              <w:bottom w:val="single" w:color="auto" w:sz="4" w:space="0"/>
              <w:right w:val="single" w:color="auto" w:sz="4" w:space="0"/>
            </w:tcBorders>
            <w:noWrap w:val="0"/>
            <w:vAlign w:val="center"/>
          </w:tcPr>
          <w:p w14:paraId="163D44A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Hz</w:t>
            </w:r>
          </w:p>
        </w:tc>
        <w:tc>
          <w:tcPr>
            <w:tcW w:w="3172" w:type="dxa"/>
            <w:tcBorders>
              <w:top w:val="nil"/>
              <w:left w:val="nil"/>
              <w:bottom w:val="single" w:color="auto" w:sz="4" w:space="0"/>
              <w:right w:val="single" w:color="auto" w:sz="4" w:space="0"/>
            </w:tcBorders>
            <w:noWrap w:val="0"/>
            <w:vAlign w:val="center"/>
          </w:tcPr>
          <w:p w14:paraId="193CCE64">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45～65</w:t>
            </w:r>
          </w:p>
        </w:tc>
      </w:tr>
      <w:tr w14:paraId="12292F5E">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088FD9C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418" w:type="dxa"/>
            <w:vMerge w:val="continue"/>
            <w:tcBorders>
              <w:top w:val="nil"/>
              <w:left w:val="single" w:color="auto" w:sz="4" w:space="0"/>
              <w:bottom w:val="single" w:color="auto" w:sz="4" w:space="0"/>
              <w:right w:val="single" w:color="auto" w:sz="4" w:space="0"/>
            </w:tcBorders>
            <w:noWrap w:val="0"/>
            <w:vAlign w:val="center"/>
          </w:tcPr>
          <w:p w14:paraId="484F9BD0">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7340A333">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交流输入电流</w:t>
            </w:r>
          </w:p>
        </w:tc>
        <w:tc>
          <w:tcPr>
            <w:tcW w:w="631" w:type="dxa"/>
            <w:tcBorders>
              <w:top w:val="nil"/>
              <w:left w:val="nil"/>
              <w:bottom w:val="single" w:color="auto" w:sz="4" w:space="0"/>
              <w:right w:val="single" w:color="auto" w:sz="4" w:space="0"/>
            </w:tcBorders>
            <w:noWrap w:val="0"/>
            <w:vAlign w:val="center"/>
          </w:tcPr>
          <w:p w14:paraId="11AE06F4">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w:t>
            </w:r>
          </w:p>
        </w:tc>
        <w:tc>
          <w:tcPr>
            <w:tcW w:w="3172" w:type="dxa"/>
            <w:tcBorders>
              <w:top w:val="nil"/>
              <w:left w:val="nil"/>
              <w:bottom w:val="single" w:color="auto" w:sz="4" w:space="0"/>
              <w:right w:val="single" w:color="auto" w:sz="4" w:space="0"/>
            </w:tcBorders>
            <w:noWrap w:val="0"/>
            <w:vAlign w:val="center"/>
          </w:tcPr>
          <w:p w14:paraId="392C38E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r>
      <w:tr w14:paraId="5533D7BF">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0206914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418" w:type="dxa"/>
            <w:vMerge w:val="continue"/>
            <w:tcBorders>
              <w:top w:val="nil"/>
              <w:left w:val="single" w:color="auto" w:sz="4" w:space="0"/>
              <w:bottom w:val="single" w:color="auto" w:sz="4" w:space="0"/>
              <w:right w:val="single" w:color="auto" w:sz="4" w:space="0"/>
            </w:tcBorders>
            <w:noWrap w:val="0"/>
            <w:vAlign w:val="center"/>
          </w:tcPr>
          <w:p w14:paraId="038979B0">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519C0F4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输入功率因数</w:t>
            </w:r>
          </w:p>
        </w:tc>
        <w:tc>
          <w:tcPr>
            <w:tcW w:w="631" w:type="dxa"/>
            <w:tcBorders>
              <w:top w:val="nil"/>
              <w:left w:val="nil"/>
              <w:bottom w:val="single" w:color="auto" w:sz="4" w:space="0"/>
              <w:right w:val="single" w:color="auto" w:sz="4" w:space="0"/>
            </w:tcBorders>
            <w:noWrap w:val="0"/>
            <w:vAlign w:val="center"/>
          </w:tcPr>
          <w:p w14:paraId="6179B8DC">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63F94AAE">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≥0.99</w:t>
            </w:r>
          </w:p>
        </w:tc>
      </w:tr>
      <w:tr w14:paraId="27AEA7C7">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5EA93EA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418" w:type="dxa"/>
            <w:vMerge w:val="continue"/>
            <w:tcBorders>
              <w:top w:val="nil"/>
              <w:left w:val="single" w:color="auto" w:sz="4" w:space="0"/>
              <w:bottom w:val="single" w:color="auto" w:sz="4" w:space="0"/>
              <w:right w:val="single" w:color="auto" w:sz="4" w:space="0"/>
            </w:tcBorders>
            <w:noWrap w:val="0"/>
            <w:vAlign w:val="center"/>
          </w:tcPr>
          <w:p w14:paraId="21223A07">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3C73967B">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直流电压调节范围</w:t>
            </w:r>
          </w:p>
        </w:tc>
        <w:tc>
          <w:tcPr>
            <w:tcW w:w="631" w:type="dxa"/>
            <w:tcBorders>
              <w:top w:val="nil"/>
              <w:left w:val="nil"/>
              <w:bottom w:val="single" w:color="auto" w:sz="4" w:space="0"/>
              <w:right w:val="single" w:color="auto" w:sz="4" w:space="0"/>
            </w:tcBorders>
            <w:noWrap w:val="0"/>
            <w:vAlign w:val="center"/>
          </w:tcPr>
          <w:p w14:paraId="427788A4">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w:t>
            </w:r>
          </w:p>
        </w:tc>
        <w:tc>
          <w:tcPr>
            <w:tcW w:w="3172" w:type="dxa"/>
            <w:tcBorders>
              <w:top w:val="nil"/>
              <w:left w:val="nil"/>
              <w:bottom w:val="single" w:color="auto" w:sz="4" w:space="0"/>
              <w:right w:val="single" w:color="auto" w:sz="4" w:space="0"/>
            </w:tcBorders>
            <w:noWrap w:val="0"/>
            <w:vAlign w:val="center"/>
          </w:tcPr>
          <w:p w14:paraId="62075CEE">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50-1000V连续且不分段</w:t>
            </w:r>
          </w:p>
        </w:tc>
      </w:tr>
      <w:tr w14:paraId="60729420">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379854DA">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418" w:type="dxa"/>
            <w:vMerge w:val="continue"/>
            <w:tcBorders>
              <w:top w:val="nil"/>
              <w:left w:val="single" w:color="auto" w:sz="4" w:space="0"/>
              <w:bottom w:val="single" w:color="auto" w:sz="4" w:space="0"/>
              <w:right w:val="single" w:color="auto" w:sz="4" w:space="0"/>
            </w:tcBorders>
            <w:noWrap w:val="0"/>
            <w:vAlign w:val="center"/>
          </w:tcPr>
          <w:p w14:paraId="13E7F69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2701A63E">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充电模块功率 </w:t>
            </w:r>
          </w:p>
        </w:tc>
        <w:tc>
          <w:tcPr>
            <w:tcW w:w="631" w:type="dxa"/>
            <w:tcBorders>
              <w:top w:val="nil"/>
              <w:left w:val="nil"/>
              <w:bottom w:val="single" w:color="auto" w:sz="4" w:space="0"/>
              <w:right w:val="single" w:color="auto" w:sz="4" w:space="0"/>
            </w:tcBorders>
            <w:noWrap w:val="0"/>
            <w:vAlign w:val="center"/>
          </w:tcPr>
          <w:p w14:paraId="57EF1B94">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kW</w:t>
            </w:r>
          </w:p>
        </w:tc>
        <w:tc>
          <w:tcPr>
            <w:tcW w:w="3172" w:type="dxa"/>
            <w:tcBorders>
              <w:top w:val="nil"/>
              <w:left w:val="nil"/>
              <w:bottom w:val="single" w:color="auto" w:sz="4" w:space="0"/>
              <w:right w:val="single" w:color="auto" w:sz="4" w:space="0"/>
            </w:tcBorders>
            <w:noWrap w:val="0"/>
            <w:vAlign w:val="center"/>
          </w:tcPr>
          <w:p w14:paraId="624C91CA">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r>
      <w:tr w14:paraId="1249F61A">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4FDFB649">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418" w:type="dxa"/>
            <w:vMerge w:val="continue"/>
            <w:tcBorders>
              <w:top w:val="nil"/>
              <w:left w:val="single" w:color="auto" w:sz="4" w:space="0"/>
              <w:bottom w:val="single" w:color="auto" w:sz="4" w:space="0"/>
              <w:right w:val="single" w:color="auto" w:sz="4" w:space="0"/>
            </w:tcBorders>
            <w:noWrap w:val="0"/>
            <w:vAlign w:val="center"/>
          </w:tcPr>
          <w:p w14:paraId="1F7BC67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5DECB951">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电压设定误差</w:t>
            </w:r>
          </w:p>
        </w:tc>
        <w:tc>
          <w:tcPr>
            <w:tcW w:w="631" w:type="dxa"/>
            <w:tcBorders>
              <w:top w:val="nil"/>
              <w:left w:val="nil"/>
              <w:bottom w:val="single" w:color="auto" w:sz="4" w:space="0"/>
              <w:right w:val="single" w:color="auto" w:sz="4" w:space="0"/>
            </w:tcBorders>
            <w:noWrap w:val="0"/>
            <w:vAlign w:val="center"/>
          </w:tcPr>
          <w:p w14:paraId="68A8662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nil"/>
              <w:left w:val="nil"/>
              <w:bottom w:val="single" w:color="auto" w:sz="4" w:space="0"/>
              <w:right w:val="single" w:color="auto" w:sz="4" w:space="0"/>
            </w:tcBorders>
            <w:noWrap w:val="0"/>
            <w:vAlign w:val="center"/>
          </w:tcPr>
          <w:p w14:paraId="27F84B94">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w:t>
            </w:r>
          </w:p>
        </w:tc>
      </w:tr>
      <w:tr w14:paraId="144D66EC">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shd w:val="clear" w:color="auto" w:fill="auto"/>
            <w:noWrap w:val="0"/>
            <w:vAlign w:val="center"/>
          </w:tcPr>
          <w:p w14:paraId="1FBC9FCC">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418"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B75944A">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single" w:color="auto" w:sz="4" w:space="0"/>
              <w:left w:val="nil"/>
              <w:bottom w:val="single" w:color="auto" w:sz="4" w:space="0"/>
              <w:right w:val="single" w:color="auto" w:sz="4" w:space="0"/>
            </w:tcBorders>
            <w:shd w:val="clear" w:color="auto" w:fill="auto"/>
            <w:noWrap w:val="0"/>
            <w:vAlign w:val="center"/>
          </w:tcPr>
          <w:p w14:paraId="72107915">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电流设定误差</w:t>
            </w:r>
          </w:p>
        </w:tc>
        <w:tc>
          <w:tcPr>
            <w:tcW w:w="631" w:type="dxa"/>
            <w:tcBorders>
              <w:top w:val="single" w:color="auto" w:sz="4" w:space="0"/>
              <w:left w:val="nil"/>
              <w:bottom w:val="single" w:color="auto" w:sz="4" w:space="0"/>
              <w:right w:val="single" w:color="auto" w:sz="4" w:space="0"/>
            </w:tcBorders>
            <w:shd w:val="clear" w:color="auto" w:fill="auto"/>
            <w:noWrap w:val="0"/>
            <w:vAlign w:val="center"/>
          </w:tcPr>
          <w:p w14:paraId="693F03CE">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single" w:color="auto" w:sz="4" w:space="0"/>
              <w:left w:val="nil"/>
              <w:bottom w:val="single" w:color="auto" w:sz="4" w:space="0"/>
              <w:right w:val="single" w:color="auto" w:sz="4" w:space="0"/>
            </w:tcBorders>
            <w:shd w:val="clear" w:color="auto" w:fill="auto"/>
            <w:noWrap w:val="0"/>
            <w:vAlign w:val="center"/>
          </w:tcPr>
          <w:p w14:paraId="2AF1B74D">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≤±0.2A（输出电流＜30A）</w:t>
            </w:r>
          </w:p>
          <w:p w14:paraId="1874B87A">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≤±0.5%（输出电流≥30A）</w:t>
            </w:r>
          </w:p>
        </w:tc>
      </w:tr>
      <w:tr w14:paraId="46CDBAC5">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shd w:val="clear" w:color="auto" w:fill="auto"/>
            <w:noWrap w:val="0"/>
            <w:vAlign w:val="center"/>
          </w:tcPr>
          <w:p w14:paraId="68F2CAD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418"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BFD53EA">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single" w:color="auto" w:sz="4" w:space="0"/>
              <w:left w:val="nil"/>
              <w:bottom w:val="single" w:color="auto" w:sz="4" w:space="0"/>
              <w:right w:val="single" w:color="auto" w:sz="4" w:space="0"/>
            </w:tcBorders>
            <w:shd w:val="clear" w:color="auto" w:fill="auto"/>
            <w:noWrap w:val="0"/>
            <w:vAlign w:val="center"/>
          </w:tcPr>
          <w:p w14:paraId="38C73179">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稳压精度</w:t>
            </w:r>
          </w:p>
        </w:tc>
        <w:tc>
          <w:tcPr>
            <w:tcW w:w="631" w:type="dxa"/>
            <w:tcBorders>
              <w:top w:val="single" w:color="auto" w:sz="4" w:space="0"/>
              <w:left w:val="nil"/>
              <w:bottom w:val="single" w:color="auto" w:sz="4" w:space="0"/>
              <w:right w:val="single" w:color="auto" w:sz="4" w:space="0"/>
            </w:tcBorders>
            <w:shd w:val="clear" w:color="auto" w:fill="auto"/>
            <w:noWrap w:val="0"/>
            <w:vAlign w:val="center"/>
          </w:tcPr>
          <w:p w14:paraId="0ABF3E4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single" w:color="auto" w:sz="4" w:space="0"/>
              <w:left w:val="nil"/>
              <w:bottom w:val="single" w:color="auto" w:sz="4" w:space="0"/>
              <w:right w:val="single" w:color="auto" w:sz="4" w:space="0"/>
            </w:tcBorders>
            <w:shd w:val="clear" w:color="auto" w:fill="auto"/>
            <w:noWrap w:val="0"/>
            <w:vAlign w:val="center"/>
          </w:tcPr>
          <w:p w14:paraId="3BA8DD5C">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w:t>
            </w:r>
          </w:p>
        </w:tc>
      </w:tr>
      <w:tr w14:paraId="4C5BB2AC">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shd w:val="clear" w:color="auto" w:fill="auto"/>
            <w:noWrap w:val="0"/>
            <w:vAlign w:val="center"/>
          </w:tcPr>
          <w:p w14:paraId="627FB563">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418"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C35B87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single" w:color="auto" w:sz="4" w:space="0"/>
              <w:left w:val="nil"/>
              <w:bottom w:val="single" w:color="auto" w:sz="4" w:space="0"/>
              <w:right w:val="single" w:color="auto" w:sz="4" w:space="0"/>
            </w:tcBorders>
            <w:shd w:val="clear" w:color="auto" w:fill="auto"/>
            <w:noWrap w:val="0"/>
            <w:vAlign w:val="center"/>
          </w:tcPr>
          <w:p w14:paraId="49E7BE5E">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稳流精度</w:t>
            </w:r>
          </w:p>
        </w:tc>
        <w:tc>
          <w:tcPr>
            <w:tcW w:w="631" w:type="dxa"/>
            <w:tcBorders>
              <w:top w:val="single" w:color="auto" w:sz="4" w:space="0"/>
              <w:left w:val="nil"/>
              <w:bottom w:val="single" w:color="auto" w:sz="4" w:space="0"/>
              <w:right w:val="single" w:color="auto" w:sz="4" w:space="0"/>
            </w:tcBorders>
            <w:shd w:val="clear" w:color="auto" w:fill="auto"/>
            <w:noWrap w:val="0"/>
            <w:vAlign w:val="center"/>
          </w:tcPr>
          <w:p w14:paraId="2199DB3C">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single" w:color="auto" w:sz="4" w:space="0"/>
              <w:left w:val="nil"/>
              <w:bottom w:val="single" w:color="auto" w:sz="4" w:space="0"/>
              <w:right w:val="single" w:color="auto" w:sz="4" w:space="0"/>
            </w:tcBorders>
            <w:shd w:val="clear" w:color="auto" w:fill="auto"/>
            <w:noWrap w:val="0"/>
            <w:vAlign w:val="center"/>
          </w:tcPr>
          <w:p w14:paraId="54E11446">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≤±0.5%</w:t>
            </w:r>
          </w:p>
        </w:tc>
      </w:tr>
      <w:tr w14:paraId="4A02BD9E">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shd w:val="clear" w:color="auto" w:fill="auto"/>
            <w:noWrap w:val="0"/>
            <w:vAlign w:val="center"/>
          </w:tcPr>
          <w:p w14:paraId="5A61B08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1418"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61A050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single" w:color="auto" w:sz="4" w:space="0"/>
              <w:left w:val="nil"/>
              <w:bottom w:val="single" w:color="auto" w:sz="4" w:space="0"/>
              <w:right w:val="single" w:color="auto" w:sz="4" w:space="0"/>
            </w:tcBorders>
            <w:shd w:val="clear" w:color="auto" w:fill="auto"/>
            <w:noWrap w:val="0"/>
            <w:vAlign w:val="center"/>
          </w:tcPr>
          <w:p w14:paraId="65AC04D9">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纹波系数</w:t>
            </w:r>
          </w:p>
        </w:tc>
        <w:tc>
          <w:tcPr>
            <w:tcW w:w="631" w:type="dxa"/>
            <w:tcBorders>
              <w:top w:val="single" w:color="auto" w:sz="4" w:space="0"/>
              <w:left w:val="nil"/>
              <w:bottom w:val="single" w:color="auto" w:sz="4" w:space="0"/>
              <w:right w:val="single" w:color="auto" w:sz="4" w:space="0"/>
            </w:tcBorders>
            <w:shd w:val="clear" w:color="auto" w:fill="auto"/>
            <w:noWrap w:val="0"/>
            <w:vAlign w:val="center"/>
          </w:tcPr>
          <w:p w14:paraId="6BAE959B">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single" w:color="auto" w:sz="4" w:space="0"/>
              <w:left w:val="nil"/>
              <w:bottom w:val="single" w:color="auto" w:sz="4" w:space="0"/>
              <w:right w:val="single" w:color="auto" w:sz="4" w:space="0"/>
            </w:tcBorders>
            <w:shd w:val="clear" w:color="auto" w:fill="auto"/>
            <w:noWrap w:val="0"/>
            <w:vAlign w:val="center"/>
          </w:tcPr>
          <w:p w14:paraId="1A31FC7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峰值：≤±1%</w:t>
            </w:r>
          </w:p>
        </w:tc>
      </w:tr>
      <w:tr w14:paraId="4C73432C">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1CDAEB5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418" w:type="dxa"/>
            <w:vMerge w:val="continue"/>
            <w:tcBorders>
              <w:top w:val="nil"/>
              <w:left w:val="single" w:color="auto" w:sz="4" w:space="0"/>
              <w:bottom w:val="single" w:color="auto" w:sz="4" w:space="0"/>
              <w:right w:val="single" w:color="auto" w:sz="4" w:space="0"/>
            </w:tcBorders>
            <w:noWrap w:val="0"/>
            <w:vAlign w:val="center"/>
          </w:tcPr>
          <w:p w14:paraId="0CCC11A3">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7905D8CF">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输入冲击电流</w:t>
            </w:r>
          </w:p>
        </w:tc>
        <w:tc>
          <w:tcPr>
            <w:tcW w:w="631" w:type="dxa"/>
            <w:tcBorders>
              <w:top w:val="nil"/>
              <w:left w:val="nil"/>
              <w:bottom w:val="single" w:color="auto" w:sz="4" w:space="0"/>
              <w:right w:val="single" w:color="auto" w:sz="4" w:space="0"/>
            </w:tcBorders>
            <w:noWrap w:val="0"/>
            <w:vAlign w:val="center"/>
          </w:tcPr>
          <w:p w14:paraId="10279AD9">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w:t>
            </w:r>
          </w:p>
        </w:tc>
        <w:tc>
          <w:tcPr>
            <w:tcW w:w="3172" w:type="dxa"/>
            <w:tcBorders>
              <w:top w:val="nil"/>
              <w:left w:val="nil"/>
              <w:bottom w:val="single" w:color="auto" w:sz="4" w:space="0"/>
              <w:right w:val="single" w:color="auto" w:sz="4" w:space="0"/>
            </w:tcBorders>
            <w:noWrap w:val="0"/>
            <w:vAlign w:val="center"/>
          </w:tcPr>
          <w:p w14:paraId="5C5B543B">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≤110%额定输入电流</w:t>
            </w:r>
          </w:p>
        </w:tc>
      </w:tr>
      <w:tr w14:paraId="333F4E93">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2C180474">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418" w:type="dxa"/>
            <w:vMerge w:val="continue"/>
            <w:tcBorders>
              <w:top w:val="nil"/>
              <w:left w:val="single" w:color="auto" w:sz="4" w:space="0"/>
              <w:bottom w:val="single" w:color="auto" w:sz="4" w:space="0"/>
              <w:right w:val="single" w:color="auto" w:sz="4" w:space="0"/>
            </w:tcBorders>
            <w:noWrap w:val="0"/>
            <w:vAlign w:val="center"/>
          </w:tcPr>
          <w:p w14:paraId="2D78E543">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2222B0DC">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效率</w:t>
            </w:r>
          </w:p>
        </w:tc>
        <w:tc>
          <w:tcPr>
            <w:tcW w:w="631" w:type="dxa"/>
            <w:tcBorders>
              <w:top w:val="nil"/>
              <w:left w:val="nil"/>
              <w:bottom w:val="single" w:color="auto" w:sz="4" w:space="0"/>
              <w:right w:val="single" w:color="auto" w:sz="4" w:space="0"/>
            </w:tcBorders>
            <w:noWrap w:val="0"/>
            <w:vAlign w:val="center"/>
          </w:tcPr>
          <w:p w14:paraId="359DDEA3">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nil"/>
              <w:left w:val="nil"/>
              <w:bottom w:val="single" w:color="auto" w:sz="4" w:space="0"/>
              <w:right w:val="single" w:color="auto" w:sz="4" w:space="0"/>
            </w:tcBorders>
            <w:noWrap w:val="0"/>
            <w:vAlign w:val="center"/>
          </w:tcPr>
          <w:p w14:paraId="6293E140">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≥95%</w:t>
            </w:r>
          </w:p>
        </w:tc>
      </w:tr>
      <w:tr w14:paraId="6CE80E78">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72EB4FE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418" w:type="dxa"/>
            <w:vMerge w:val="continue"/>
            <w:tcBorders>
              <w:top w:val="nil"/>
              <w:left w:val="single" w:color="auto" w:sz="4" w:space="0"/>
              <w:bottom w:val="single" w:color="auto" w:sz="4" w:space="0"/>
              <w:right w:val="single" w:color="auto" w:sz="4" w:space="0"/>
            </w:tcBorders>
            <w:noWrap w:val="0"/>
            <w:vAlign w:val="center"/>
          </w:tcPr>
          <w:p w14:paraId="6990CCA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66A51DA9">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噪声</w:t>
            </w:r>
          </w:p>
        </w:tc>
        <w:tc>
          <w:tcPr>
            <w:tcW w:w="631" w:type="dxa"/>
            <w:tcBorders>
              <w:top w:val="nil"/>
              <w:left w:val="nil"/>
              <w:bottom w:val="single" w:color="auto" w:sz="4" w:space="0"/>
              <w:right w:val="single" w:color="auto" w:sz="4" w:space="0"/>
            </w:tcBorders>
            <w:noWrap w:val="0"/>
            <w:vAlign w:val="center"/>
          </w:tcPr>
          <w:p w14:paraId="36C1BD29">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dB</w:t>
            </w:r>
          </w:p>
        </w:tc>
        <w:tc>
          <w:tcPr>
            <w:tcW w:w="3172" w:type="dxa"/>
            <w:tcBorders>
              <w:top w:val="nil"/>
              <w:left w:val="nil"/>
              <w:bottom w:val="single" w:color="auto" w:sz="4" w:space="0"/>
              <w:right w:val="single" w:color="auto" w:sz="4" w:space="0"/>
            </w:tcBorders>
            <w:noWrap w:val="0"/>
            <w:vAlign w:val="center"/>
          </w:tcPr>
          <w:p w14:paraId="48092E60">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65</w:t>
            </w:r>
          </w:p>
        </w:tc>
      </w:tr>
      <w:tr w14:paraId="0D30C504">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3BF3378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1418" w:type="dxa"/>
            <w:vMerge w:val="continue"/>
            <w:tcBorders>
              <w:top w:val="nil"/>
              <w:left w:val="single" w:color="auto" w:sz="4" w:space="0"/>
              <w:bottom w:val="single" w:color="auto" w:sz="4" w:space="0"/>
              <w:right w:val="single" w:color="auto" w:sz="4" w:space="0"/>
            </w:tcBorders>
            <w:noWrap w:val="0"/>
            <w:vAlign w:val="center"/>
          </w:tcPr>
          <w:p w14:paraId="72F29DAF">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1D5CD4B4">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静电放电抗扰度</w:t>
            </w:r>
          </w:p>
        </w:tc>
        <w:tc>
          <w:tcPr>
            <w:tcW w:w="631" w:type="dxa"/>
            <w:tcBorders>
              <w:top w:val="nil"/>
              <w:left w:val="nil"/>
              <w:bottom w:val="single" w:color="auto" w:sz="4" w:space="0"/>
              <w:right w:val="single" w:color="auto" w:sz="4" w:space="0"/>
            </w:tcBorders>
            <w:noWrap w:val="0"/>
            <w:vAlign w:val="center"/>
          </w:tcPr>
          <w:p w14:paraId="2DD2759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2C729143">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4级</w:t>
            </w:r>
          </w:p>
        </w:tc>
      </w:tr>
      <w:tr w14:paraId="118C2DBD">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77552737">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418" w:type="dxa"/>
            <w:vMerge w:val="continue"/>
            <w:tcBorders>
              <w:top w:val="nil"/>
              <w:left w:val="single" w:color="auto" w:sz="4" w:space="0"/>
              <w:bottom w:val="single" w:color="auto" w:sz="4" w:space="0"/>
              <w:right w:val="single" w:color="auto" w:sz="4" w:space="0"/>
            </w:tcBorders>
            <w:noWrap w:val="0"/>
            <w:vAlign w:val="center"/>
          </w:tcPr>
          <w:p w14:paraId="62BE5CB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20C51419">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射频电磁场辐射抗扰度</w:t>
            </w:r>
          </w:p>
        </w:tc>
        <w:tc>
          <w:tcPr>
            <w:tcW w:w="631" w:type="dxa"/>
            <w:tcBorders>
              <w:top w:val="nil"/>
              <w:left w:val="nil"/>
              <w:bottom w:val="single" w:color="auto" w:sz="4" w:space="0"/>
              <w:right w:val="single" w:color="auto" w:sz="4" w:space="0"/>
            </w:tcBorders>
            <w:noWrap w:val="0"/>
            <w:vAlign w:val="center"/>
          </w:tcPr>
          <w:p w14:paraId="003EEAF3">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3FDB4B94">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4级</w:t>
            </w:r>
          </w:p>
        </w:tc>
      </w:tr>
      <w:tr w14:paraId="36E15B0C">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04860374">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418" w:type="dxa"/>
            <w:vMerge w:val="continue"/>
            <w:tcBorders>
              <w:top w:val="nil"/>
              <w:left w:val="single" w:color="auto" w:sz="4" w:space="0"/>
              <w:bottom w:val="single" w:color="auto" w:sz="4" w:space="0"/>
              <w:right w:val="single" w:color="auto" w:sz="4" w:space="0"/>
            </w:tcBorders>
            <w:noWrap w:val="0"/>
            <w:vAlign w:val="center"/>
          </w:tcPr>
          <w:p w14:paraId="579E3446">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4C72585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电快速瞬变脉冲群抗扰度</w:t>
            </w:r>
          </w:p>
        </w:tc>
        <w:tc>
          <w:tcPr>
            <w:tcW w:w="631" w:type="dxa"/>
            <w:tcBorders>
              <w:top w:val="nil"/>
              <w:left w:val="nil"/>
              <w:bottom w:val="single" w:color="auto" w:sz="4" w:space="0"/>
              <w:right w:val="single" w:color="auto" w:sz="4" w:space="0"/>
            </w:tcBorders>
            <w:noWrap w:val="0"/>
            <w:vAlign w:val="center"/>
          </w:tcPr>
          <w:p w14:paraId="57B669F3">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5B1BD8AD">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4级</w:t>
            </w:r>
          </w:p>
        </w:tc>
      </w:tr>
      <w:tr w14:paraId="111BB770">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6C60E3AB">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1418" w:type="dxa"/>
            <w:vMerge w:val="continue"/>
            <w:tcBorders>
              <w:top w:val="nil"/>
              <w:left w:val="single" w:color="auto" w:sz="4" w:space="0"/>
              <w:bottom w:val="single" w:color="auto" w:sz="4" w:space="0"/>
              <w:right w:val="single" w:color="auto" w:sz="4" w:space="0"/>
            </w:tcBorders>
            <w:noWrap w:val="0"/>
            <w:vAlign w:val="center"/>
          </w:tcPr>
          <w:p w14:paraId="4C3ADC7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0C5FAF2F">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浪涌（冲击）抗扰度</w:t>
            </w:r>
          </w:p>
        </w:tc>
        <w:tc>
          <w:tcPr>
            <w:tcW w:w="631" w:type="dxa"/>
            <w:tcBorders>
              <w:top w:val="nil"/>
              <w:left w:val="nil"/>
              <w:bottom w:val="single" w:color="auto" w:sz="4" w:space="0"/>
              <w:right w:val="single" w:color="auto" w:sz="4" w:space="0"/>
            </w:tcBorders>
            <w:noWrap w:val="0"/>
            <w:vAlign w:val="center"/>
          </w:tcPr>
          <w:p w14:paraId="45E3DBC4">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106F4DCE">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4级</w:t>
            </w:r>
          </w:p>
        </w:tc>
      </w:tr>
      <w:tr w14:paraId="47CE450B">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00A8A8C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1418" w:type="dxa"/>
            <w:vMerge w:val="continue"/>
            <w:tcBorders>
              <w:top w:val="nil"/>
              <w:left w:val="single" w:color="auto" w:sz="4" w:space="0"/>
              <w:bottom w:val="single" w:color="auto" w:sz="4" w:space="0"/>
              <w:right w:val="single" w:color="auto" w:sz="4" w:space="0"/>
            </w:tcBorders>
            <w:noWrap w:val="0"/>
            <w:vAlign w:val="center"/>
          </w:tcPr>
          <w:p w14:paraId="0151C238">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51D913BC">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射频场感应的传导骚扰抗扰度</w:t>
            </w:r>
          </w:p>
        </w:tc>
        <w:tc>
          <w:tcPr>
            <w:tcW w:w="631" w:type="dxa"/>
            <w:tcBorders>
              <w:top w:val="nil"/>
              <w:left w:val="nil"/>
              <w:bottom w:val="single" w:color="auto" w:sz="4" w:space="0"/>
              <w:right w:val="single" w:color="auto" w:sz="4" w:space="0"/>
            </w:tcBorders>
            <w:noWrap w:val="0"/>
            <w:vAlign w:val="center"/>
          </w:tcPr>
          <w:p w14:paraId="3D2EBC8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27631B3C">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3级</w:t>
            </w:r>
          </w:p>
        </w:tc>
      </w:tr>
      <w:tr w14:paraId="7169CF89">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3FE6A4D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1418" w:type="dxa"/>
            <w:vMerge w:val="continue"/>
            <w:tcBorders>
              <w:top w:val="nil"/>
              <w:left w:val="single" w:color="auto" w:sz="4" w:space="0"/>
              <w:bottom w:val="single" w:color="auto" w:sz="4" w:space="0"/>
              <w:right w:val="single" w:color="auto" w:sz="4" w:space="0"/>
            </w:tcBorders>
            <w:noWrap w:val="0"/>
            <w:vAlign w:val="center"/>
          </w:tcPr>
          <w:p w14:paraId="64AC4E7D">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552A46E0">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谐波电流限值要求（THD）</w:t>
            </w:r>
          </w:p>
        </w:tc>
        <w:tc>
          <w:tcPr>
            <w:tcW w:w="631" w:type="dxa"/>
            <w:tcBorders>
              <w:top w:val="nil"/>
              <w:left w:val="nil"/>
              <w:bottom w:val="single" w:color="auto" w:sz="4" w:space="0"/>
              <w:right w:val="single" w:color="auto" w:sz="4" w:space="0"/>
            </w:tcBorders>
            <w:noWrap w:val="0"/>
            <w:vAlign w:val="center"/>
          </w:tcPr>
          <w:p w14:paraId="39830D0B">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nil"/>
              <w:left w:val="nil"/>
              <w:bottom w:val="single" w:color="auto" w:sz="4" w:space="0"/>
              <w:right w:val="single" w:color="auto" w:sz="4" w:space="0"/>
            </w:tcBorders>
            <w:noWrap w:val="0"/>
            <w:vAlign w:val="center"/>
          </w:tcPr>
          <w:p w14:paraId="3A51176E">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r>
      <w:tr w14:paraId="56870068">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58F08D19">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1418" w:type="dxa"/>
            <w:vMerge w:val="continue"/>
            <w:tcBorders>
              <w:top w:val="nil"/>
              <w:left w:val="single" w:color="auto" w:sz="4" w:space="0"/>
              <w:bottom w:val="single" w:color="auto" w:sz="4" w:space="0"/>
              <w:right w:val="single" w:color="auto" w:sz="4" w:space="0"/>
            </w:tcBorders>
            <w:noWrap w:val="0"/>
            <w:vAlign w:val="center"/>
          </w:tcPr>
          <w:p w14:paraId="0952B2A0">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12D6062B">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充电机结构形式</w:t>
            </w:r>
          </w:p>
        </w:tc>
        <w:tc>
          <w:tcPr>
            <w:tcW w:w="631" w:type="dxa"/>
            <w:tcBorders>
              <w:top w:val="nil"/>
              <w:left w:val="nil"/>
              <w:bottom w:val="single" w:color="auto" w:sz="4" w:space="0"/>
              <w:right w:val="single" w:color="auto" w:sz="4" w:space="0"/>
            </w:tcBorders>
            <w:noWrap w:val="0"/>
            <w:vAlign w:val="center"/>
          </w:tcPr>
          <w:p w14:paraId="02F5197C">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0B04513D">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一体式</w:t>
            </w:r>
          </w:p>
        </w:tc>
      </w:tr>
      <w:tr w14:paraId="3E7BF12F">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7CE1672C">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1418" w:type="dxa"/>
            <w:vMerge w:val="continue"/>
            <w:tcBorders>
              <w:top w:val="nil"/>
              <w:left w:val="single" w:color="auto" w:sz="4" w:space="0"/>
              <w:bottom w:val="single" w:color="auto" w:sz="4" w:space="0"/>
              <w:right w:val="single" w:color="auto" w:sz="4" w:space="0"/>
            </w:tcBorders>
            <w:noWrap w:val="0"/>
            <w:vAlign w:val="center"/>
          </w:tcPr>
          <w:p w14:paraId="58CB4CF5">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27F4105A">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有源功率因数校正电路</w:t>
            </w:r>
          </w:p>
        </w:tc>
        <w:tc>
          <w:tcPr>
            <w:tcW w:w="631" w:type="dxa"/>
            <w:tcBorders>
              <w:top w:val="nil"/>
              <w:left w:val="nil"/>
              <w:bottom w:val="single" w:color="auto" w:sz="4" w:space="0"/>
              <w:right w:val="single" w:color="auto" w:sz="4" w:space="0"/>
            </w:tcBorders>
            <w:noWrap w:val="0"/>
            <w:vAlign w:val="center"/>
          </w:tcPr>
          <w:p w14:paraId="55E2EBD9">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3172" w:type="dxa"/>
            <w:tcBorders>
              <w:top w:val="nil"/>
              <w:left w:val="nil"/>
              <w:bottom w:val="single" w:color="auto" w:sz="4" w:space="0"/>
              <w:right w:val="single" w:color="auto" w:sz="4" w:space="0"/>
            </w:tcBorders>
            <w:noWrap w:val="0"/>
            <w:vAlign w:val="center"/>
          </w:tcPr>
          <w:p w14:paraId="7EE2E7A5">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带</w:t>
            </w:r>
          </w:p>
        </w:tc>
      </w:tr>
      <w:tr w14:paraId="7BD784D2">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54AC4190">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1418" w:type="dxa"/>
            <w:vMerge w:val="continue"/>
            <w:tcBorders>
              <w:top w:val="nil"/>
              <w:left w:val="single" w:color="auto" w:sz="4" w:space="0"/>
              <w:bottom w:val="single" w:color="auto" w:sz="4" w:space="0"/>
              <w:right w:val="single" w:color="auto" w:sz="4" w:space="0"/>
            </w:tcBorders>
            <w:noWrap w:val="0"/>
            <w:vAlign w:val="center"/>
          </w:tcPr>
          <w:p w14:paraId="7A68C0DA">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7BB0BE08">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直流输出接口</w:t>
            </w:r>
          </w:p>
        </w:tc>
        <w:tc>
          <w:tcPr>
            <w:tcW w:w="631" w:type="dxa"/>
            <w:tcBorders>
              <w:top w:val="nil"/>
              <w:left w:val="nil"/>
              <w:bottom w:val="single" w:color="auto" w:sz="4" w:space="0"/>
              <w:right w:val="single" w:color="auto" w:sz="4" w:space="0"/>
            </w:tcBorders>
            <w:noWrap w:val="0"/>
            <w:vAlign w:val="center"/>
          </w:tcPr>
          <w:p w14:paraId="37BB8E99">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172" w:type="dxa"/>
            <w:tcBorders>
              <w:top w:val="nil"/>
              <w:left w:val="nil"/>
              <w:bottom w:val="single" w:color="auto" w:sz="4" w:space="0"/>
              <w:right w:val="single" w:color="auto" w:sz="4" w:space="0"/>
            </w:tcBorders>
            <w:noWrap w:val="0"/>
            <w:vAlign w:val="center"/>
          </w:tcPr>
          <w:p w14:paraId="2BF54DE5">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GB／T20234.3-2015</w:t>
            </w:r>
          </w:p>
        </w:tc>
      </w:tr>
      <w:tr w14:paraId="6BA471B3">
        <w:tblPrEx>
          <w:tblCellMar>
            <w:top w:w="32" w:type="dxa"/>
            <w:left w:w="64" w:type="dxa"/>
            <w:bottom w:w="32" w:type="dxa"/>
            <w:right w:w="64" w:type="dxa"/>
          </w:tblCellMar>
        </w:tblPrEx>
        <w:trPr>
          <w:trHeight w:val="0" w:hRule="atLeast"/>
          <w:jc w:val="center"/>
        </w:trPr>
        <w:tc>
          <w:tcPr>
            <w:tcW w:w="630" w:type="dxa"/>
            <w:tcBorders>
              <w:top w:val="nil"/>
              <w:left w:val="single" w:color="auto" w:sz="4" w:space="0"/>
              <w:bottom w:val="single" w:color="auto" w:sz="4" w:space="0"/>
              <w:right w:val="single" w:color="auto" w:sz="4" w:space="0"/>
            </w:tcBorders>
            <w:noWrap w:val="0"/>
            <w:vAlign w:val="center"/>
          </w:tcPr>
          <w:p w14:paraId="62E9AE52">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1418" w:type="dxa"/>
            <w:vMerge w:val="continue"/>
            <w:tcBorders>
              <w:top w:val="nil"/>
              <w:left w:val="single" w:color="auto" w:sz="4" w:space="0"/>
              <w:bottom w:val="single" w:color="auto" w:sz="4" w:space="0"/>
              <w:right w:val="single" w:color="auto" w:sz="4" w:space="0"/>
            </w:tcBorders>
            <w:noWrap w:val="0"/>
            <w:vAlign w:val="center"/>
          </w:tcPr>
          <w:p w14:paraId="30CFCFCA">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p>
        </w:tc>
        <w:tc>
          <w:tcPr>
            <w:tcW w:w="3292" w:type="dxa"/>
            <w:tcBorders>
              <w:top w:val="nil"/>
              <w:left w:val="nil"/>
              <w:bottom w:val="single" w:color="auto" w:sz="4" w:space="0"/>
              <w:right w:val="single" w:color="auto" w:sz="4" w:space="0"/>
            </w:tcBorders>
            <w:noWrap w:val="0"/>
            <w:vAlign w:val="center"/>
          </w:tcPr>
          <w:p w14:paraId="74C4A7F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平均无故障时间</w:t>
            </w:r>
          </w:p>
        </w:tc>
        <w:tc>
          <w:tcPr>
            <w:tcW w:w="631" w:type="dxa"/>
            <w:tcBorders>
              <w:top w:val="nil"/>
              <w:left w:val="nil"/>
              <w:bottom w:val="single" w:color="auto" w:sz="4" w:space="0"/>
              <w:right w:val="single" w:color="auto" w:sz="4" w:space="0"/>
            </w:tcBorders>
            <w:noWrap w:val="0"/>
            <w:vAlign w:val="center"/>
          </w:tcPr>
          <w:p w14:paraId="169C19E1">
            <w:pPr>
              <w:keepNext/>
              <w:pageBreakBefore w:val="0"/>
              <w:widowControl/>
              <w:kinsoku/>
              <w:wordWrap/>
              <w:overflowPunct/>
              <w:bidi w:val="0"/>
              <w:snapToGrid w:val="0"/>
              <w:spacing w:line="240" w:lineRule="auto"/>
              <w:ind w:left="0" w:leftChars="0" w:right="0" w:rightChars="0" w:firstLine="0" w:firstLine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h</w:t>
            </w:r>
          </w:p>
        </w:tc>
        <w:tc>
          <w:tcPr>
            <w:tcW w:w="3172" w:type="dxa"/>
            <w:tcBorders>
              <w:top w:val="nil"/>
              <w:left w:val="nil"/>
              <w:bottom w:val="single" w:color="auto" w:sz="4" w:space="0"/>
              <w:right w:val="single" w:color="auto" w:sz="4" w:space="0"/>
            </w:tcBorders>
            <w:noWrap w:val="0"/>
            <w:vAlign w:val="center"/>
          </w:tcPr>
          <w:p w14:paraId="0C58A5B2">
            <w:pPr>
              <w:keepNext/>
              <w:pageBreakBefore w:val="0"/>
              <w:widowControl/>
              <w:kinsoku/>
              <w:wordWrap/>
              <w:overflowPunct/>
              <w:bidi w:val="0"/>
              <w:snapToGrid w:val="0"/>
              <w:spacing w:line="240" w:lineRule="auto"/>
              <w:ind w:left="0" w:leftChars="0" w:right="0" w:rightChars="0" w:firstLine="0" w:firstLineChars="0"/>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≥26280h</w:t>
            </w:r>
          </w:p>
        </w:tc>
      </w:tr>
      <w:bookmarkEnd w:id="54"/>
    </w:tbl>
    <w:p w14:paraId="4500F53F">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lang w:val="en-US" w:eastAsia="zh-CN"/>
        </w:rPr>
      </w:pPr>
    </w:p>
    <w:p w14:paraId="72BC4E30">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交流充电桩技术要求</w:t>
      </w:r>
    </w:p>
    <w:p w14:paraId="6DEBE273">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bookmarkStart w:id="55" w:name="_Toc478404367"/>
      <w:bookmarkStart w:id="56" w:name="_Toc413504320"/>
      <w:bookmarkStart w:id="57" w:name="_Toc510514519"/>
      <w:bookmarkStart w:id="58" w:name="_Toc155151667"/>
      <w:bookmarkStart w:id="59" w:name="_Toc351107793"/>
      <w:bookmarkStart w:id="60" w:name="_Toc253150291"/>
      <w:bookmarkStart w:id="61" w:name="_Toc255074827"/>
      <w:bookmarkStart w:id="62" w:name="_Toc351107508"/>
      <w:bookmarkStart w:id="63" w:name="_Toc351107611"/>
      <w:r>
        <w:rPr>
          <w:rFonts w:hint="eastAsia" w:ascii="仿宋" w:hAnsi="仿宋" w:eastAsia="仿宋" w:cs="仿宋"/>
          <w:color w:val="auto"/>
          <w:highlight w:val="none"/>
          <w:lang w:val="en-US" w:eastAsia="zh-CN"/>
        </w:rPr>
        <w:t>技术参数</w:t>
      </w:r>
      <w:bookmarkEnd w:id="55"/>
      <w:bookmarkEnd w:id="56"/>
      <w:bookmarkEnd w:id="57"/>
    </w:p>
    <w:p w14:paraId="7CC1C3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（1）环境条件</w:t>
      </w:r>
    </w:p>
    <w:p w14:paraId="7A4971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环境温度：-20℃～50℃；</w:t>
      </w:r>
    </w:p>
    <w:p w14:paraId="25853D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相对湿度：5％～95％；</w:t>
      </w:r>
    </w:p>
    <w:p w14:paraId="683496B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海拔高度：≤2000m；</w:t>
      </w:r>
    </w:p>
    <w:p w14:paraId="3950443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大气压强：80kPa～110kPa。</w:t>
      </w:r>
    </w:p>
    <w:p w14:paraId="04B2887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（2）电源条件</w:t>
      </w:r>
    </w:p>
    <w:p w14:paraId="622A00E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电源电压：单相220V±20％；</w:t>
      </w:r>
    </w:p>
    <w:p w14:paraId="3947974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电源频率：50Hz±1Hz。</w:t>
      </w:r>
    </w:p>
    <w:p w14:paraId="5445B9A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（3）额定电压</w:t>
      </w:r>
    </w:p>
    <w:p w14:paraId="7ADF1DB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单相220V。</w:t>
      </w:r>
    </w:p>
    <w:p w14:paraId="0AF823E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（4）额定电流</w:t>
      </w:r>
    </w:p>
    <w:p w14:paraId="28A527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32A。</w:t>
      </w:r>
    </w:p>
    <w:p w14:paraId="5CDD61F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（5）结构形式</w:t>
      </w:r>
    </w:p>
    <w:p w14:paraId="38B386C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立柱式、壁挂式充电桩。</w:t>
      </w:r>
    </w:p>
    <w:p w14:paraId="7EC86D7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（6）输出形式</w:t>
      </w:r>
    </w:p>
    <w:p w14:paraId="15A2E9C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每台交流充电桩配置1套交流充电接口。</w:t>
      </w:r>
    </w:p>
    <w:p w14:paraId="167CEC7C">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bookmarkStart w:id="64" w:name="_Toc413504321"/>
      <w:bookmarkStart w:id="65" w:name="_Toc352274278"/>
      <w:bookmarkStart w:id="66" w:name="_Toc510514520"/>
      <w:bookmarkStart w:id="67" w:name="_Toc478404368"/>
      <w:r>
        <w:rPr>
          <w:rFonts w:hint="eastAsia" w:ascii="仿宋" w:hAnsi="仿宋" w:eastAsia="仿宋" w:cs="仿宋"/>
          <w:color w:val="auto"/>
          <w:highlight w:val="none"/>
          <w:lang w:val="en-US" w:eastAsia="zh-CN"/>
        </w:rPr>
        <w:t>功能要求</w:t>
      </w:r>
      <w:bookmarkEnd w:id="64"/>
      <w:bookmarkEnd w:id="65"/>
      <w:bookmarkEnd w:id="66"/>
      <w:bookmarkEnd w:id="67"/>
    </w:p>
    <w:p w14:paraId="431AC8D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68" w:name="_Toc352274279"/>
      <w:r>
        <w:rPr>
          <w:rFonts w:hint="eastAsia" w:ascii="仿宋" w:hAnsi="仿宋" w:eastAsia="仿宋" w:cs="仿宋"/>
          <w:color w:val="auto"/>
          <w:sz w:val="24"/>
          <w:szCs w:val="24"/>
          <w:highlight w:val="none"/>
        </w:rPr>
        <w:t>（1）计量功能</w:t>
      </w:r>
    </w:p>
    <w:p w14:paraId="06AD7D6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电能计量装置应符合国家计量器具鉴定相关要求。</w:t>
      </w:r>
    </w:p>
    <w:p w14:paraId="26097B6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计量精度符合JJG 1148-2022 电动汽车交流充电桩，并检定1级精度合格。</w:t>
      </w:r>
    </w:p>
    <w:p w14:paraId="07876E8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（2）保护功能</w:t>
      </w:r>
    </w:p>
    <w:p w14:paraId="1373E7B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充电桩的安全性要求应满足GB/T 18487.1-2015附录A中对应的描述和要求。</w:t>
      </w:r>
    </w:p>
    <w:p w14:paraId="1BB60F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充电桩的电源回路应具备带负载可分合的开关电器。</w:t>
      </w:r>
    </w:p>
    <w:p w14:paraId="48BF3AC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充电桩的电源回路应安装过载、短路、漏电保护装置。</w:t>
      </w:r>
    </w:p>
    <w:p w14:paraId="6A2381C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充电桩的电源回路应具备防雷保护功能，并且符合GB/T  17626.5-2008电磁兼容试验和测量技术（冲击）抗扰度试验  试验等级：3级的要求。</w:t>
      </w:r>
    </w:p>
    <w:p w14:paraId="63E023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充电桩应具备急停开关，能实现在充电过程中30ms内紧急切断交流供电回路并亮红灯告警。</w:t>
      </w:r>
    </w:p>
    <w:p w14:paraId="70066E5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急停按钮具备自恢复功能或远程恢复功能。</w:t>
      </w:r>
    </w:p>
    <w:p w14:paraId="51DC649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恢复急停开关后，设备切换至待机状态，能够正常启动充电。</w:t>
      </w:r>
    </w:p>
    <w:p w14:paraId="019A41B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在充电过程中出现连接异常时，充电桩应立即（100ms内）自动切断输出电源。</w:t>
      </w:r>
    </w:p>
    <w:p w14:paraId="5534C1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在停止充电时，充电桩应保证输出电源回路处于断开状态。</w:t>
      </w:r>
    </w:p>
    <w:p w14:paraId="3517C1A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额定充电电流大于16A的充电桩，供电插座应设置温度监控装置，供电设备应具备温度监测和过温保护功能。</w:t>
      </w:r>
    </w:p>
    <w:p w14:paraId="6AE9599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剩余电流保护器宜采用A型。</w:t>
      </w:r>
    </w:p>
    <w:p w14:paraId="7B89531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充电桩应具备保护接地导体连续性的持续检测功能，在失去保护接地导体连续性的情况下，应在100ms内切断输出电源</w:t>
      </w:r>
    </w:p>
    <w:p w14:paraId="276D1D0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（3）自检功能</w:t>
      </w:r>
    </w:p>
    <w:p w14:paraId="6E18621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充电桩应具备自检及故障报警功能。</w:t>
      </w:r>
    </w:p>
    <w:p w14:paraId="0FAC6FF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（4）锁止功能</w:t>
      </w:r>
    </w:p>
    <w:p w14:paraId="0BE5321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充电电流大于16A时，供电接口插座应安装电子锁止装置，具有锁止功能，该锁止功能应符合GB/T20234.1的相关要求。防止充电过程中的意外断开。当电子锁未可靠锁止时，供电设备或电动汽车应停止充电或不启动充电。</w:t>
      </w:r>
    </w:p>
    <w:p w14:paraId="2A4B56E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（5）远程升级</w:t>
      </w:r>
    </w:p>
    <w:p w14:paraId="56109B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配置通讯模块，充电机烧写程序可通过联网后通过监控运维平台控制，远程一键升级，远程更新所有通信协议，以及新国标更新等带来的控制模式升级。</w:t>
      </w:r>
    </w:p>
    <w:p w14:paraId="3F5B410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（6）其他必要功能</w:t>
      </w:r>
    </w:p>
    <w:p w14:paraId="33F9DC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充电桩应具备充电枪头锁止保护功能，防止充电桩非充电状态下被拔枪的情况出现；</w:t>
      </w:r>
    </w:p>
    <w:p w14:paraId="72FF30CD">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bookmarkStart w:id="69" w:name="_Toc510514521"/>
      <w:bookmarkStart w:id="70" w:name="_Toc478404369"/>
      <w:bookmarkStart w:id="71" w:name="_Toc413504322"/>
      <w:r>
        <w:rPr>
          <w:rFonts w:hint="eastAsia" w:ascii="仿宋" w:hAnsi="仿宋" w:eastAsia="仿宋" w:cs="仿宋"/>
          <w:color w:val="auto"/>
          <w:highlight w:val="none"/>
        </w:rPr>
        <w:t>性能要求</w:t>
      </w:r>
      <w:bookmarkEnd w:id="68"/>
      <w:bookmarkEnd w:id="69"/>
      <w:bookmarkEnd w:id="70"/>
      <w:bookmarkEnd w:id="71"/>
    </w:p>
    <w:p w14:paraId="07C13A9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（1）环境防护要求</w:t>
      </w:r>
    </w:p>
    <w:p w14:paraId="5441E6B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IP防护等级：充电桩外壳防护等级不应低于IP55（室外）的规定。</w:t>
      </w:r>
    </w:p>
    <w:p w14:paraId="6025B6C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72" w:name="_Toc179863361"/>
      <w:r>
        <w:rPr>
          <w:rFonts w:hint="eastAsia" w:ascii="仿宋" w:hAnsi="仿宋" w:eastAsia="仿宋" w:cs="仿宋"/>
          <w:color w:val="auto"/>
          <w:sz w:val="24"/>
          <w:szCs w:val="24"/>
          <w:highlight w:val="none"/>
        </w:rPr>
        <w:t>三防(防潮湿，防霉变，防盐雾)保护</w:t>
      </w:r>
      <w:bookmarkEnd w:id="72"/>
      <w:r>
        <w:rPr>
          <w:rFonts w:hint="eastAsia" w:ascii="仿宋" w:hAnsi="仿宋" w:eastAsia="仿宋" w:cs="仿宋"/>
          <w:color w:val="auto"/>
          <w:sz w:val="24"/>
          <w:szCs w:val="24"/>
          <w:highlight w:val="none"/>
        </w:rPr>
        <w:t>：充电桩内印刷线路板、接插件等电路应具有防潮湿、防霉变、防盐雾处理，保证充电桩在潮湿、盐雾环境下正常运行。</w:t>
      </w:r>
    </w:p>
    <w:p w14:paraId="591AF53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防锈(防氧化)保护：充电桩铁质外壳和暴露的铁质支架、零件应采用双层防锈措施，非铁质的金属外壳也应具有防氧化保护膜或防氧化处理。</w:t>
      </w:r>
    </w:p>
    <w:p w14:paraId="6464E8D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（2）电击防护要求</w:t>
      </w:r>
    </w:p>
    <w:p w14:paraId="4041B80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充电桩的电击防护要求应符合GB/T 18487.1-2001中第9章的要求。</w:t>
      </w:r>
    </w:p>
    <w:p w14:paraId="785678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（3）电气间隙和爬电距离</w:t>
      </w:r>
    </w:p>
    <w:p w14:paraId="711EC6E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充电桩的电气间隙和爬电距离应符合表2的规定。</w:t>
      </w:r>
    </w:p>
    <w:p w14:paraId="700BE94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表2  电气间隙和爬电距离</w:t>
      </w:r>
    </w:p>
    <w:tbl>
      <w:tblPr>
        <w:tblStyle w:val="64"/>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4"/>
        <w:gridCol w:w="2894"/>
        <w:gridCol w:w="3040"/>
      </w:tblGrid>
      <w:tr w14:paraId="0981B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Align w:val="center"/>
          </w:tcPr>
          <w:p w14:paraId="5D78C38D">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额定绝缘电压Ui</w:t>
            </w:r>
          </w:p>
          <w:p w14:paraId="08E2B615">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（V）</w:t>
            </w:r>
          </w:p>
        </w:tc>
        <w:tc>
          <w:tcPr>
            <w:tcW w:w="2894" w:type="dxa"/>
            <w:vAlign w:val="center"/>
          </w:tcPr>
          <w:p w14:paraId="71C69ABC">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电气间隙</w:t>
            </w:r>
          </w:p>
          <w:p w14:paraId="5C6407FD">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（mm）</w:t>
            </w:r>
          </w:p>
        </w:tc>
        <w:tc>
          <w:tcPr>
            <w:tcW w:w="3040" w:type="dxa"/>
            <w:vAlign w:val="center"/>
          </w:tcPr>
          <w:p w14:paraId="6334F8BA">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爬电距离</w:t>
            </w:r>
          </w:p>
          <w:p w14:paraId="04B492EE">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（mm）</w:t>
            </w:r>
          </w:p>
        </w:tc>
      </w:tr>
      <w:tr w14:paraId="6C15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Align w:val="center"/>
          </w:tcPr>
          <w:p w14:paraId="3F74AD1A">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Ui≤60</w:t>
            </w:r>
          </w:p>
        </w:tc>
        <w:tc>
          <w:tcPr>
            <w:tcW w:w="2894" w:type="dxa"/>
            <w:vAlign w:val="center"/>
          </w:tcPr>
          <w:p w14:paraId="21B3B77A">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w:t>
            </w:r>
          </w:p>
        </w:tc>
        <w:tc>
          <w:tcPr>
            <w:tcW w:w="3040" w:type="dxa"/>
            <w:vAlign w:val="center"/>
          </w:tcPr>
          <w:p w14:paraId="32AF293B">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w:t>
            </w:r>
          </w:p>
        </w:tc>
      </w:tr>
      <w:tr w14:paraId="7FAC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Align w:val="center"/>
          </w:tcPr>
          <w:p w14:paraId="361D0D35">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60＜Ui≤300</w:t>
            </w:r>
          </w:p>
        </w:tc>
        <w:tc>
          <w:tcPr>
            <w:tcW w:w="2894" w:type="dxa"/>
            <w:vAlign w:val="center"/>
          </w:tcPr>
          <w:p w14:paraId="1608F1DC">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5</w:t>
            </w:r>
          </w:p>
        </w:tc>
        <w:tc>
          <w:tcPr>
            <w:tcW w:w="3040" w:type="dxa"/>
            <w:vAlign w:val="center"/>
          </w:tcPr>
          <w:p w14:paraId="3CBB7A2D">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6</w:t>
            </w:r>
          </w:p>
        </w:tc>
      </w:tr>
      <w:tr w14:paraId="082F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Align w:val="center"/>
          </w:tcPr>
          <w:p w14:paraId="1428C0B5">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300＜Ui≤700</w:t>
            </w:r>
          </w:p>
        </w:tc>
        <w:tc>
          <w:tcPr>
            <w:tcW w:w="2894" w:type="dxa"/>
            <w:vAlign w:val="center"/>
          </w:tcPr>
          <w:p w14:paraId="033FB4C9">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8</w:t>
            </w:r>
          </w:p>
        </w:tc>
        <w:tc>
          <w:tcPr>
            <w:tcW w:w="3040" w:type="dxa"/>
            <w:vAlign w:val="center"/>
          </w:tcPr>
          <w:p w14:paraId="1AE88C98">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10</w:t>
            </w:r>
          </w:p>
        </w:tc>
      </w:tr>
      <w:tr w14:paraId="1F87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18" w:type="dxa"/>
            <w:gridSpan w:val="3"/>
            <w:vAlign w:val="center"/>
          </w:tcPr>
          <w:p w14:paraId="45EFBACD">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注1：当主电路与控制电路或辅助电路的额定绝缘电压不一致时，其电气间隙和爬电距离可分别按其额定值选取。</w:t>
            </w:r>
          </w:p>
          <w:p w14:paraId="34BBB53F">
            <w:pPr>
              <w:pageBreakBefore w:val="0"/>
              <w:kinsoku/>
              <w:wordWrap/>
              <w:overflowPunct/>
              <w:bidi w:val="0"/>
              <w:spacing w:line="360" w:lineRule="exact"/>
              <w:ind w:left="0" w:leftChars="0" w:firstLine="420" w:firstLineChars="200"/>
              <w:rPr>
                <w:rFonts w:hint="eastAsia" w:ascii="仿宋" w:hAnsi="仿宋" w:eastAsia="仿宋" w:cs="仿宋"/>
                <w:color w:val="auto"/>
                <w:highlight w:val="none"/>
              </w:rPr>
            </w:pPr>
            <w:r>
              <w:rPr>
                <w:rFonts w:hint="eastAsia" w:ascii="仿宋" w:hAnsi="仿宋" w:eastAsia="仿宋" w:cs="仿宋"/>
                <w:color w:val="auto"/>
                <w:highlight w:val="none"/>
              </w:rPr>
              <w:t>注2：具有不同额定值主电路或控制电路导电部分之间的电气间隙与爬电距离，应按最高额定绝缘电压选取。</w:t>
            </w:r>
          </w:p>
        </w:tc>
      </w:tr>
    </w:tbl>
    <w:p w14:paraId="2ADA76D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（4）绝缘性能要求</w:t>
      </w:r>
    </w:p>
    <w:p w14:paraId="7349FFA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绝缘电阻：用开路电压为表3规定电压的测试仪器测量，充电桩非电气连接的各带电回路之间、各独立带电回路与地（金属外壳）之间绝缘电阻应大于等于10MΩ。</w:t>
      </w:r>
    </w:p>
    <w:p w14:paraId="2E69B8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工频耐压：充电桩非电气连接的各带电回路之间、各独立带电回路与地（金属外壳）之间，按其工作电压应能承受表3所规定历时1 min的工频耐压试验（也可采用直流电压，试验电压为交流电压有效值的1.4倍）。试验过程中应无绝缘击穿和闪络现象。</w:t>
      </w:r>
    </w:p>
    <w:p w14:paraId="73BC644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冲击电压：充电桩各带电回路、各带电电路对地（金属外壳）之间，按其工作电压应能承受表3所规定标准雷电波的短时冲击电压试验。试验过程中应无击穿放电。</w:t>
      </w:r>
    </w:p>
    <w:p w14:paraId="6394079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（5）高低温和湿热性能</w:t>
      </w:r>
    </w:p>
    <w:p w14:paraId="2CE72EA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低温性能：按GB/T 2423.1-2008中试验Ad规定的方法进行试验，试验温度为2.4.1.1规定的下限值，待达到试验温度后启动充电桩，充电桩应能正常工作。试验温度持续2小时后，在试验环境下通电检查充电桩各项功能应正常。</w:t>
      </w:r>
    </w:p>
    <w:p w14:paraId="16C7FF0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高温性能：按GB/T 2423.2-2008中试验Bd规定的方法进行试验，试验温度为2.4.1.1规定的上限值，待达到试验温度后启动充电桩，充电桩应能正常工作。试验温度持续2小时后，在试验环境下通电检查充电桩各项功能应正常。</w:t>
      </w:r>
    </w:p>
    <w:p w14:paraId="6A1E79E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湿热性能：按GB/T 2423.4-2008中试验Db规定的方法进行试验，试验温度为（40±2）℃，循环次数为2次，在试验结束前2h进行绝缘电阻和介电强度检测，其中绝缘电阻不应小于1MΩ，介电强度按表3规定值的75％施加测量电压。试验结束后，恢复至正常大气条件，通电检查充电桩各项功能应正常。</w:t>
      </w:r>
    </w:p>
    <w:p w14:paraId="598AFEA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（6）机械强度</w:t>
      </w:r>
    </w:p>
    <w:p w14:paraId="5462F90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按GB/T 2423.55-2006规定的方法用弹簧锤进行机械强度试验，撞击能量为0.7J。试验结束后，检查充电桩壳体没有损坏或损坏时不触及带电部件及影响交流充电桩的使用，操作机构没有损坏，绝缘材料的敷层和护套没有损坏。</w:t>
      </w:r>
    </w:p>
    <w:p w14:paraId="3593555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（7）电磁兼容</w:t>
      </w:r>
    </w:p>
    <w:p w14:paraId="46287B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73" w:name="_Toc274433923"/>
      <w:r>
        <w:rPr>
          <w:rFonts w:hint="eastAsia" w:ascii="仿宋" w:hAnsi="仿宋" w:eastAsia="仿宋" w:cs="仿宋"/>
          <w:color w:val="auto"/>
          <w:sz w:val="24"/>
          <w:szCs w:val="24"/>
          <w:highlight w:val="none"/>
        </w:rPr>
        <w:t>静电放电抗扰度</w:t>
      </w:r>
      <w:bookmarkEnd w:id="73"/>
      <w:r>
        <w:rPr>
          <w:rFonts w:hint="eastAsia" w:ascii="仿宋" w:hAnsi="仿宋" w:eastAsia="仿宋" w:cs="仿宋"/>
          <w:color w:val="auto"/>
          <w:sz w:val="24"/>
          <w:szCs w:val="24"/>
          <w:highlight w:val="none"/>
        </w:rPr>
        <w:t>：</w:t>
      </w:r>
      <w:bookmarkStart w:id="74" w:name="_Toc274433924"/>
      <w:r>
        <w:rPr>
          <w:rFonts w:hint="eastAsia" w:ascii="仿宋" w:hAnsi="仿宋" w:eastAsia="仿宋" w:cs="仿宋"/>
          <w:color w:val="auto"/>
          <w:sz w:val="24"/>
          <w:szCs w:val="24"/>
          <w:highlight w:val="none"/>
        </w:rPr>
        <w:t>充电桩应能承受GB/T 17626.2-2006中第5章规定的试验等级为3级的静电放电抗扰度试验。</w:t>
      </w:r>
      <w:bookmarkEnd w:id="74"/>
    </w:p>
    <w:p w14:paraId="5A4A79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75" w:name="_Toc274433925"/>
      <w:r>
        <w:rPr>
          <w:rFonts w:hint="eastAsia" w:ascii="仿宋" w:hAnsi="仿宋" w:eastAsia="仿宋" w:cs="仿宋"/>
          <w:color w:val="auto"/>
          <w:sz w:val="24"/>
          <w:szCs w:val="24"/>
          <w:highlight w:val="none"/>
        </w:rPr>
        <w:t>射频电磁场辐射抗扰度</w:t>
      </w:r>
      <w:bookmarkEnd w:id="75"/>
      <w:r>
        <w:rPr>
          <w:rFonts w:hint="eastAsia" w:ascii="仿宋" w:hAnsi="仿宋" w:eastAsia="仿宋" w:cs="仿宋"/>
          <w:color w:val="auto"/>
          <w:sz w:val="24"/>
          <w:szCs w:val="24"/>
          <w:highlight w:val="none"/>
        </w:rPr>
        <w:t>：</w:t>
      </w:r>
      <w:bookmarkStart w:id="76" w:name="_Toc274433926"/>
      <w:r>
        <w:rPr>
          <w:rFonts w:hint="eastAsia" w:ascii="仿宋" w:hAnsi="仿宋" w:eastAsia="仿宋" w:cs="仿宋"/>
          <w:color w:val="auto"/>
          <w:sz w:val="24"/>
          <w:szCs w:val="24"/>
          <w:highlight w:val="none"/>
        </w:rPr>
        <w:t>充电桩应能承受GB/T 17626.3-2006中第5章规定的试验等级为3级的射频电磁场辐射抗扰度试验。</w:t>
      </w:r>
      <w:bookmarkEnd w:id="76"/>
      <w:r>
        <w:rPr>
          <w:rFonts w:hint="eastAsia" w:ascii="仿宋" w:hAnsi="仿宋" w:eastAsia="仿宋" w:cs="仿宋"/>
          <w:color w:val="auto"/>
          <w:sz w:val="24"/>
          <w:szCs w:val="24"/>
          <w:highlight w:val="none"/>
        </w:rPr>
        <w:tab/>
      </w:r>
    </w:p>
    <w:p w14:paraId="0B91FF5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77" w:name="_Toc274433927"/>
      <w:r>
        <w:rPr>
          <w:rFonts w:hint="eastAsia" w:ascii="仿宋" w:hAnsi="仿宋" w:eastAsia="仿宋" w:cs="仿宋"/>
          <w:color w:val="auto"/>
          <w:sz w:val="24"/>
          <w:szCs w:val="24"/>
          <w:highlight w:val="none"/>
        </w:rPr>
        <w:t>电快速瞬变脉冲群抗扰度</w:t>
      </w:r>
      <w:bookmarkEnd w:id="77"/>
      <w:r>
        <w:rPr>
          <w:rFonts w:hint="eastAsia" w:ascii="仿宋" w:hAnsi="仿宋" w:eastAsia="仿宋" w:cs="仿宋"/>
          <w:color w:val="auto"/>
          <w:sz w:val="24"/>
          <w:szCs w:val="24"/>
          <w:highlight w:val="none"/>
        </w:rPr>
        <w:t xml:space="preserve"> </w:t>
      </w:r>
      <w:bookmarkStart w:id="78" w:name="_Toc274433928"/>
      <w:r>
        <w:rPr>
          <w:rFonts w:hint="eastAsia" w:ascii="仿宋" w:hAnsi="仿宋" w:eastAsia="仿宋" w:cs="仿宋"/>
          <w:color w:val="auto"/>
          <w:sz w:val="24"/>
          <w:szCs w:val="24"/>
          <w:highlight w:val="none"/>
        </w:rPr>
        <w:t>：充电桩应能承受GB/T 17626.4-2008中第5章规定的试验等级为3级的电快速瞬变脉冲群抗扰度试验。</w:t>
      </w:r>
      <w:bookmarkEnd w:id="78"/>
    </w:p>
    <w:p w14:paraId="5EAA35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79" w:name="_Toc274433929"/>
      <w:r>
        <w:rPr>
          <w:rFonts w:hint="eastAsia" w:ascii="仿宋" w:hAnsi="仿宋" w:eastAsia="仿宋" w:cs="仿宋"/>
          <w:color w:val="auto"/>
          <w:sz w:val="24"/>
          <w:szCs w:val="24"/>
          <w:highlight w:val="none"/>
        </w:rPr>
        <w:t>浪涌（冲击）抗扰度</w:t>
      </w:r>
      <w:bookmarkEnd w:id="79"/>
      <w:bookmarkStart w:id="80" w:name="_Toc274433930"/>
      <w:r>
        <w:rPr>
          <w:rFonts w:hint="eastAsia" w:ascii="仿宋" w:hAnsi="仿宋" w:eastAsia="仿宋" w:cs="仿宋"/>
          <w:color w:val="auto"/>
          <w:sz w:val="24"/>
          <w:szCs w:val="24"/>
          <w:highlight w:val="none"/>
        </w:rPr>
        <w:t>：充电桩应能承受GB/T 17626.5-2008中第5章规定的试验等级为3级的浪涌（冲击）抗扰度试验。</w:t>
      </w:r>
      <w:bookmarkEnd w:id="80"/>
    </w:p>
    <w:p w14:paraId="28DBF73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81" w:name="_Toc413504323"/>
      <w:r>
        <w:rPr>
          <w:rFonts w:hint="eastAsia" w:ascii="仿宋" w:hAnsi="仿宋" w:eastAsia="仿宋" w:cs="仿宋"/>
          <w:color w:val="auto"/>
          <w:sz w:val="24"/>
          <w:szCs w:val="24"/>
          <w:highlight w:val="none"/>
        </w:rPr>
        <w:t>电压暂降、短时中断抗扰度：充电桩应能承受GB/T 17626.11-2008中第5章规定的电压试验等级在0%、40%、70%的额定工作电压的电压暂降、短时中断抗扰度试验。</w:t>
      </w:r>
    </w:p>
    <w:p w14:paraId="419D153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82" w:name="_Toc274433937"/>
      <w:r>
        <w:rPr>
          <w:rFonts w:hint="eastAsia" w:ascii="仿宋" w:hAnsi="仿宋" w:eastAsia="仿宋" w:cs="仿宋"/>
          <w:color w:val="auto"/>
          <w:sz w:val="24"/>
          <w:szCs w:val="24"/>
          <w:highlight w:val="none"/>
        </w:rPr>
        <w:t>传导和辐射发射限值要求</w:t>
      </w:r>
      <w:bookmarkEnd w:id="82"/>
      <w:bookmarkStart w:id="83" w:name="_Toc274433939"/>
      <w:r>
        <w:rPr>
          <w:rFonts w:hint="eastAsia" w:ascii="仿宋" w:hAnsi="仿宋" w:eastAsia="仿宋" w:cs="仿宋"/>
          <w:color w:val="auto"/>
          <w:sz w:val="24"/>
          <w:szCs w:val="24"/>
          <w:highlight w:val="none"/>
        </w:rPr>
        <w:t>：充电桩的电源端口应符合</w:t>
      </w:r>
      <w:bookmarkStart w:id="84" w:name="OLE_LINK2"/>
      <w:r>
        <w:rPr>
          <w:rFonts w:hint="eastAsia" w:ascii="仿宋" w:hAnsi="仿宋" w:eastAsia="仿宋" w:cs="仿宋"/>
          <w:color w:val="auto"/>
          <w:sz w:val="24"/>
          <w:szCs w:val="24"/>
          <w:highlight w:val="none"/>
        </w:rPr>
        <w:t>表</w:t>
      </w:r>
      <w:bookmarkEnd w:id="84"/>
      <w:r>
        <w:rPr>
          <w:rFonts w:hint="eastAsia" w:ascii="仿宋" w:hAnsi="仿宋" w:eastAsia="仿宋" w:cs="仿宋"/>
          <w:color w:val="auto"/>
          <w:sz w:val="24"/>
          <w:szCs w:val="24"/>
          <w:highlight w:val="none"/>
        </w:rPr>
        <w:t>4规定的传导发射限值，外壳端口应符合表5规定的辐射发射限值。</w:t>
      </w:r>
      <w:bookmarkEnd w:id="83"/>
    </w:p>
    <w:p w14:paraId="040DDB54">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bookmarkStart w:id="85" w:name="_Toc510514522"/>
      <w:bookmarkStart w:id="86" w:name="_Toc478404370"/>
      <w:r>
        <w:rPr>
          <w:rFonts w:hint="eastAsia" w:ascii="仿宋" w:hAnsi="仿宋" w:eastAsia="仿宋" w:cs="仿宋"/>
          <w:color w:val="auto"/>
          <w:highlight w:val="none"/>
          <w:lang w:val="en-US" w:eastAsia="zh-CN"/>
        </w:rPr>
        <w:t>其它要求</w:t>
      </w:r>
      <w:bookmarkEnd w:id="81"/>
      <w:bookmarkEnd w:id="85"/>
      <w:bookmarkEnd w:id="86"/>
    </w:p>
    <w:p w14:paraId="75502F6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（1）充电连接装置</w:t>
      </w:r>
    </w:p>
    <w:p w14:paraId="1C25762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交流充电桩可采用GB/T18487.1-2015附录A中规定的充电模式3和连接方式A、B、C对电动汽车进行充电，采用三相供电且电流大于32A时，应采用连接方式C。充电接口应满足GB/T20234.1-2015和GB/T20234.2-2015的规定。</w:t>
      </w:r>
    </w:p>
    <w:p w14:paraId="20C536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当交流充电桩提供GB/T20234.1-2015规定的连接方式A、B所适用的供电插座时，不提供充电电缆。供电插座的功能、结构尺寸应符合GB/T20234.2-2015的规定，技术性能应满足GB/T20234.1-2015的规定。</w:t>
      </w:r>
    </w:p>
    <w:p w14:paraId="3835D2E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当交流充电桩提供GB/T20234.1-2015规定的连接方式C所适用的充电电缆和车辆插头时，车辆插头的功能、结构尺寸应符合GB/T20234.2-2015的规定，技术性能应满足GB/T20234.1-2015的规定。</w:t>
      </w:r>
    </w:p>
    <w:p w14:paraId="3EFED95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（2）充电桩体</w:t>
      </w:r>
    </w:p>
    <w:p w14:paraId="60749B5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桩体应外观线条流畅、整体紧凑、简洁时尚，与安装地点周边环境相协调。</w:t>
      </w:r>
    </w:p>
    <w:p w14:paraId="008A660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桩体的非接触刷卡区域应具备良好感应效果。</w:t>
      </w:r>
    </w:p>
    <w:p w14:paraId="409BB7D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桩体内部线束，应排布整齐、规整，标识清楚，捆扎牢固。</w:t>
      </w:r>
    </w:p>
    <w:p w14:paraId="1075D1C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桩体内元器件应布局合理，易耗易损元件方便更换。</w:t>
      </w:r>
    </w:p>
    <w:p w14:paraId="66BCE31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桩体安装于户外时，应便于特殊天气条件下的日常维护。</w:t>
      </w:r>
    </w:p>
    <w:p w14:paraId="314601D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桩体应采用抗冲击力强、抗老化的材质。</w:t>
      </w:r>
    </w:p>
    <w:p w14:paraId="4DF8CE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桩体表面涂覆色泽层应均匀光洁，不起泡、不龟裂、不脱落。</w:t>
      </w:r>
    </w:p>
    <w:p w14:paraId="510DB2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桩体结构设计及安装应具备防盗能力。</w:t>
      </w:r>
    </w:p>
    <w:p w14:paraId="6C7248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非绝缘材料外壳应可靠接地，结构上应防止操作人员触及带电部件。</w:t>
      </w:r>
    </w:p>
    <w:p w14:paraId="05EE950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bookmarkStart w:id="87" w:name="_Toc411176425"/>
      <w:bookmarkStart w:id="88" w:name="_Toc428997287"/>
      <w:bookmarkStart w:id="89" w:name="_Toc387646189"/>
      <w:r>
        <w:rPr>
          <w:rFonts w:hint="eastAsia" w:ascii="仿宋" w:hAnsi="仿宋" w:eastAsia="仿宋" w:cs="仿宋"/>
          <w:color w:val="auto"/>
          <w:sz w:val="24"/>
          <w:szCs w:val="24"/>
          <w:highlight w:val="none"/>
        </w:rPr>
        <w:t>（3）可靠性指标</w:t>
      </w:r>
      <w:bookmarkEnd w:id="87"/>
      <w:bookmarkEnd w:id="88"/>
      <w:bookmarkEnd w:id="89"/>
    </w:p>
    <w:p w14:paraId="6BD7D53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交流充电桩平均故障间隔时间（MTBF）应大于等于17520h。</w:t>
      </w:r>
    </w:p>
    <w:p w14:paraId="55C402B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（4）可靠性指标</w:t>
      </w:r>
    </w:p>
    <w:p w14:paraId="33361A8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sz w:val="24"/>
          <w:szCs w:val="24"/>
          <w:highlight w:val="none"/>
        </w:rPr>
        <w:t>交流充电桩具有CQC认证。</w:t>
      </w:r>
      <w:bookmarkEnd w:id="58"/>
      <w:bookmarkEnd w:id="59"/>
      <w:bookmarkEnd w:id="60"/>
      <w:bookmarkEnd w:id="61"/>
      <w:bookmarkEnd w:id="62"/>
      <w:bookmarkEnd w:id="63"/>
    </w:p>
    <w:p w14:paraId="09FEBB27">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视频监控系统技术要求</w:t>
      </w:r>
    </w:p>
    <w:p w14:paraId="026FC74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视频监控系统应按照全面覆盖设计，总体和局部全覆盖，具备车牌充电全过程录像，和人员活 动自动抓拍功能，并将视频监控数据实时上传至现有视频集中监控平台。</w:t>
      </w:r>
    </w:p>
    <w:p w14:paraId="5B37CE4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（1）整体架构</w:t>
      </w:r>
    </w:p>
    <w:p w14:paraId="508AFD1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对充电场站内充电堆（机）及配套设施的运行状态进行监控，确保充电过程的安全可靠，实时监测充 电场站内的突发情况，如充电堆（机）被破坏、恶劣天气、 自然灾害等实时监控，方便及时判断并作出应对措施。摄像机能够满足夜间正常监测，且满足雾霾等恶劣天气下的正常使用。</w:t>
      </w:r>
    </w:p>
    <w:p w14:paraId="6E1AAB2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（2）视频监控方案功能配置要求</w:t>
      </w:r>
    </w:p>
    <w:tbl>
      <w:tblPr>
        <w:tblStyle w:val="64"/>
        <w:tblW w:w="5183" w:type="pct"/>
        <w:tblInd w:w="-15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30"/>
        <w:gridCol w:w="5786"/>
        <w:gridCol w:w="2093"/>
      </w:tblGrid>
      <w:tr w14:paraId="18217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tblHeader/>
        </w:trPr>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A85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功能需求</w:t>
            </w:r>
          </w:p>
        </w:tc>
        <w:tc>
          <w:tcPr>
            <w:tcW w:w="30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3A8F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功能描述</w:t>
            </w:r>
          </w:p>
        </w:tc>
        <w:tc>
          <w:tcPr>
            <w:tcW w:w="11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C7E2">
            <w:pPr>
              <w:keepNext w:val="0"/>
              <w:keepLines w:val="0"/>
              <w:pageBreakBefore w:val="0"/>
              <w:widowControl w:val="0"/>
              <w:kinsoku/>
              <w:wordWrap/>
              <w:overflowPunct/>
              <w:topLinePunct w:val="0"/>
              <w:autoSpaceDE/>
              <w:autoSpaceDN/>
              <w:bidi w:val="0"/>
              <w:adjustRightInd/>
              <w:snapToGrid/>
              <w:spacing w:line="360" w:lineRule="exact"/>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设备配置</w:t>
            </w:r>
          </w:p>
        </w:tc>
      </w:tr>
      <w:tr w14:paraId="009B6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857" w:type="pct"/>
            <w:tcBorders>
              <w:top w:val="single" w:color="000000" w:sz="4" w:space="0"/>
              <w:left w:val="single" w:color="000000" w:sz="4" w:space="0"/>
              <w:bottom w:val="single" w:color="000000" w:sz="4" w:space="0"/>
              <w:right w:val="single" w:color="000000" w:sz="4" w:space="0"/>
            </w:tcBorders>
            <w:vAlign w:val="center"/>
          </w:tcPr>
          <w:p w14:paraId="45C91DE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充电设备监控</w:t>
            </w:r>
          </w:p>
        </w:tc>
        <w:tc>
          <w:tcPr>
            <w:tcW w:w="3041" w:type="pct"/>
            <w:tcBorders>
              <w:top w:val="single" w:color="000000" w:sz="4" w:space="0"/>
              <w:left w:val="single" w:color="000000" w:sz="4" w:space="0"/>
              <w:bottom w:val="single" w:color="000000" w:sz="4" w:space="0"/>
              <w:right w:val="single" w:color="000000" w:sz="4" w:space="0"/>
            </w:tcBorders>
            <w:vAlign w:val="center"/>
          </w:tcPr>
          <w:p w14:paraId="155CEE1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实时监控充电桩及配套设施，支持透雾、星光级超级照度，可满足夜间、雾霾等恶劣条件下实时监控需求。</w:t>
            </w:r>
          </w:p>
        </w:tc>
        <w:tc>
          <w:tcPr>
            <w:tcW w:w="1100" w:type="pct"/>
            <w:tcBorders>
              <w:top w:val="single" w:color="000000" w:sz="4" w:space="0"/>
              <w:left w:val="single" w:color="000000" w:sz="4" w:space="0"/>
              <w:bottom w:val="single" w:color="000000" w:sz="4" w:space="0"/>
              <w:right w:val="single" w:color="000000" w:sz="4" w:space="0"/>
            </w:tcBorders>
            <w:vAlign w:val="center"/>
          </w:tcPr>
          <w:p w14:paraId="103EF19F">
            <w:pPr>
              <w:keepNext w:val="0"/>
              <w:keepLines w:val="0"/>
              <w:pageBreakBefore w:val="0"/>
              <w:widowControl w:val="0"/>
              <w:kinsoku/>
              <w:wordWrap/>
              <w:overflowPunct/>
              <w:topLinePunct w:val="0"/>
              <w:autoSpaceDE/>
              <w:autoSpaceDN/>
              <w:bidi w:val="0"/>
              <w:adjustRightInd/>
              <w:snapToGrid/>
              <w:spacing w:line="360" w:lineRule="exact"/>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红外摄像机</w:t>
            </w:r>
          </w:p>
        </w:tc>
      </w:tr>
      <w:tr w14:paraId="2281B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857" w:type="pct"/>
            <w:tcBorders>
              <w:top w:val="single" w:color="000000" w:sz="4" w:space="0"/>
              <w:left w:val="single" w:color="000000" w:sz="4" w:space="0"/>
              <w:bottom w:val="single" w:color="000000" w:sz="4" w:space="0"/>
              <w:right w:val="single" w:color="000000" w:sz="4" w:space="0"/>
            </w:tcBorders>
            <w:vAlign w:val="center"/>
          </w:tcPr>
          <w:p w14:paraId="13CD2E79">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录像存储</w:t>
            </w:r>
          </w:p>
        </w:tc>
        <w:tc>
          <w:tcPr>
            <w:tcW w:w="3041" w:type="pct"/>
            <w:tcBorders>
              <w:top w:val="single" w:color="000000" w:sz="4" w:space="0"/>
              <w:left w:val="single" w:color="000000" w:sz="4" w:space="0"/>
              <w:bottom w:val="single" w:color="000000" w:sz="4" w:space="0"/>
              <w:right w:val="single" w:color="000000" w:sz="4" w:space="0"/>
            </w:tcBorders>
            <w:vAlign w:val="center"/>
          </w:tcPr>
          <w:p w14:paraId="557C1FC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要求单路设备码流3M，存储时间需要至少满足30天。</w:t>
            </w:r>
          </w:p>
        </w:tc>
        <w:tc>
          <w:tcPr>
            <w:tcW w:w="1100" w:type="pct"/>
            <w:tcBorders>
              <w:top w:val="single" w:color="000000" w:sz="4" w:space="0"/>
              <w:left w:val="single" w:color="000000" w:sz="4" w:space="0"/>
              <w:bottom w:val="single" w:color="000000" w:sz="4" w:space="0"/>
              <w:right w:val="single" w:color="000000" w:sz="4" w:space="0"/>
            </w:tcBorders>
            <w:vAlign w:val="center"/>
          </w:tcPr>
          <w:p w14:paraId="2A27F866">
            <w:pPr>
              <w:keepNext w:val="0"/>
              <w:keepLines w:val="0"/>
              <w:pageBreakBefore w:val="0"/>
              <w:widowControl w:val="0"/>
              <w:kinsoku/>
              <w:wordWrap/>
              <w:overflowPunct/>
              <w:topLinePunct w:val="0"/>
              <w:autoSpaceDE/>
              <w:autoSpaceDN/>
              <w:bidi w:val="0"/>
              <w:adjustRightInd/>
              <w:snapToGrid/>
              <w:spacing w:line="360" w:lineRule="exact"/>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硬盘录像机，硬盘</w:t>
            </w:r>
          </w:p>
        </w:tc>
      </w:tr>
      <w:tr w14:paraId="79F83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857" w:type="pct"/>
            <w:tcBorders>
              <w:top w:val="single" w:color="000000" w:sz="4" w:space="0"/>
              <w:left w:val="single" w:color="000000" w:sz="4" w:space="0"/>
              <w:bottom w:val="single" w:color="000000" w:sz="4" w:space="0"/>
              <w:right w:val="single" w:color="000000" w:sz="4" w:space="0"/>
            </w:tcBorders>
            <w:vAlign w:val="center"/>
          </w:tcPr>
          <w:p w14:paraId="506F14C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本地监视</w:t>
            </w:r>
          </w:p>
        </w:tc>
        <w:tc>
          <w:tcPr>
            <w:tcW w:w="3041" w:type="pct"/>
            <w:tcBorders>
              <w:top w:val="single" w:color="000000" w:sz="4" w:space="0"/>
              <w:left w:val="single" w:color="000000" w:sz="4" w:space="0"/>
              <w:bottom w:val="single" w:color="000000" w:sz="4" w:space="0"/>
              <w:right w:val="single" w:color="000000" w:sz="4" w:space="0"/>
            </w:tcBorders>
            <w:vAlign w:val="center"/>
          </w:tcPr>
          <w:p w14:paraId="161F30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配置本地管理软件，方便本地查看、回放、图片抓拍、指定时间的视频保存等功能。</w:t>
            </w:r>
          </w:p>
        </w:tc>
        <w:tc>
          <w:tcPr>
            <w:tcW w:w="1100" w:type="pct"/>
            <w:tcBorders>
              <w:top w:val="single" w:color="000000" w:sz="4" w:space="0"/>
              <w:left w:val="single" w:color="000000" w:sz="4" w:space="0"/>
              <w:bottom w:val="single" w:color="000000" w:sz="4" w:space="0"/>
              <w:right w:val="single" w:color="000000" w:sz="4" w:space="0"/>
            </w:tcBorders>
            <w:vAlign w:val="center"/>
          </w:tcPr>
          <w:p w14:paraId="5ADE8A43">
            <w:pPr>
              <w:keepNext w:val="0"/>
              <w:keepLines w:val="0"/>
              <w:pageBreakBefore w:val="0"/>
              <w:widowControl w:val="0"/>
              <w:kinsoku/>
              <w:wordWrap/>
              <w:overflowPunct/>
              <w:topLinePunct w:val="0"/>
              <w:autoSpaceDE/>
              <w:autoSpaceDN/>
              <w:bidi w:val="0"/>
              <w:adjustRightInd/>
              <w:snapToGrid/>
              <w:spacing w:line="360" w:lineRule="exact"/>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监视器</w:t>
            </w:r>
          </w:p>
        </w:tc>
      </w:tr>
      <w:tr w14:paraId="6BFA6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857" w:type="pct"/>
            <w:tcBorders>
              <w:top w:val="single" w:color="000000" w:sz="4" w:space="0"/>
              <w:left w:val="single" w:color="000000" w:sz="4" w:space="0"/>
              <w:bottom w:val="single" w:color="000000" w:sz="4" w:space="0"/>
              <w:right w:val="single" w:color="000000" w:sz="4" w:space="0"/>
            </w:tcBorders>
            <w:vAlign w:val="center"/>
          </w:tcPr>
          <w:p w14:paraId="3C87415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传输网络</w:t>
            </w:r>
          </w:p>
        </w:tc>
        <w:tc>
          <w:tcPr>
            <w:tcW w:w="3041" w:type="pct"/>
            <w:tcBorders>
              <w:top w:val="single" w:color="000000" w:sz="4" w:space="0"/>
              <w:left w:val="single" w:color="000000" w:sz="4" w:space="0"/>
              <w:bottom w:val="single" w:color="000000" w:sz="4" w:space="0"/>
              <w:right w:val="single" w:color="000000" w:sz="4" w:space="0"/>
            </w:tcBorders>
            <w:vAlign w:val="center"/>
          </w:tcPr>
          <w:p w14:paraId="22F1272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用于前端与平台之间的通信，前端系统的视音频信息可上传至投标人平台。</w:t>
            </w:r>
          </w:p>
        </w:tc>
        <w:tc>
          <w:tcPr>
            <w:tcW w:w="1100" w:type="pct"/>
            <w:tcBorders>
              <w:top w:val="single" w:color="000000" w:sz="4" w:space="0"/>
              <w:left w:val="single" w:color="000000" w:sz="4" w:space="0"/>
              <w:bottom w:val="single" w:color="000000" w:sz="4" w:space="0"/>
              <w:right w:val="single" w:color="000000" w:sz="4" w:space="0"/>
            </w:tcBorders>
            <w:vAlign w:val="center"/>
          </w:tcPr>
          <w:p w14:paraId="26C7FDF5">
            <w:pPr>
              <w:keepNext w:val="0"/>
              <w:keepLines w:val="0"/>
              <w:pageBreakBefore w:val="0"/>
              <w:widowControl w:val="0"/>
              <w:kinsoku/>
              <w:wordWrap/>
              <w:overflowPunct/>
              <w:topLinePunct w:val="0"/>
              <w:autoSpaceDE/>
              <w:autoSpaceDN/>
              <w:bidi w:val="0"/>
              <w:adjustRightInd/>
              <w:snapToGrid/>
              <w:spacing w:line="360" w:lineRule="exact"/>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交换机、路由器等</w:t>
            </w:r>
          </w:p>
        </w:tc>
      </w:tr>
      <w:tr w14:paraId="1A3A2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5" w:hRule="atLeast"/>
        </w:trPr>
        <w:tc>
          <w:tcPr>
            <w:tcW w:w="857" w:type="pct"/>
            <w:tcBorders>
              <w:top w:val="single" w:color="000000" w:sz="4" w:space="0"/>
              <w:left w:val="single" w:color="000000" w:sz="4" w:space="0"/>
              <w:bottom w:val="single" w:color="000000" w:sz="4" w:space="0"/>
              <w:right w:val="single" w:color="000000" w:sz="4" w:space="0"/>
            </w:tcBorders>
            <w:vAlign w:val="center"/>
          </w:tcPr>
          <w:p w14:paraId="52F73BE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中心云平台管理</w:t>
            </w:r>
          </w:p>
        </w:tc>
        <w:tc>
          <w:tcPr>
            <w:tcW w:w="3041" w:type="pct"/>
            <w:tcBorders>
              <w:top w:val="single" w:color="000000" w:sz="4" w:space="0"/>
              <w:left w:val="single" w:color="000000" w:sz="4" w:space="0"/>
              <w:bottom w:val="single" w:color="000000" w:sz="4" w:space="0"/>
              <w:right w:val="single" w:color="000000" w:sz="4" w:space="0"/>
            </w:tcBorders>
            <w:vAlign w:val="center"/>
          </w:tcPr>
          <w:p w14:paraId="05823D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通过平台软件能够进行全方位管理，提供中心管理、Web服务、认证授权、日志管理、资产管理、地图管理、流媒体服务、云台代理、存储管理、文件备份、设备代理、移动服务、报警管理、电视墙代理、网管服务等系统服务，实现通过云平台、本地监控屏、手机/PAD/PC等形式，支持实时查看、回放、云平台控制（转向、变焦）、图片抓拍，指定时间的视频上传与保存等功能。</w:t>
            </w:r>
          </w:p>
        </w:tc>
        <w:tc>
          <w:tcPr>
            <w:tcW w:w="1100" w:type="pct"/>
            <w:tcBorders>
              <w:top w:val="single" w:color="000000" w:sz="4" w:space="0"/>
              <w:left w:val="single" w:color="000000" w:sz="4" w:space="0"/>
              <w:bottom w:val="single" w:color="000000" w:sz="4" w:space="0"/>
              <w:right w:val="single" w:color="000000" w:sz="4" w:space="0"/>
            </w:tcBorders>
            <w:vAlign w:val="center"/>
          </w:tcPr>
          <w:p w14:paraId="5978AE5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bl>
    <w:p w14:paraId="1B8AAB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（3）视频监控设备性能配置要求</w:t>
      </w:r>
    </w:p>
    <w:tbl>
      <w:tblPr>
        <w:tblStyle w:val="64"/>
        <w:tblW w:w="51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6"/>
        <w:gridCol w:w="5471"/>
        <w:gridCol w:w="1491"/>
      </w:tblGrid>
      <w:tr w14:paraId="248F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blHeader/>
          <w:jc w:val="center"/>
        </w:trPr>
        <w:tc>
          <w:tcPr>
            <w:tcW w:w="1343" w:type="pct"/>
            <w:shd w:val="clear" w:color="auto" w:fill="auto"/>
            <w:noWrap/>
            <w:vAlign w:val="center"/>
          </w:tcPr>
          <w:p w14:paraId="182A917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设备名称</w:t>
            </w:r>
          </w:p>
        </w:tc>
        <w:tc>
          <w:tcPr>
            <w:tcW w:w="2874" w:type="pct"/>
            <w:shd w:val="clear" w:color="auto" w:fill="auto"/>
            <w:vAlign w:val="center"/>
          </w:tcPr>
          <w:p w14:paraId="6CC5224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关键参数</w:t>
            </w:r>
          </w:p>
        </w:tc>
        <w:tc>
          <w:tcPr>
            <w:tcW w:w="781" w:type="pct"/>
            <w:shd w:val="clear" w:color="auto" w:fill="auto"/>
            <w:vAlign w:val="center"/>
          </w:tcPr>
          <w:p w14:paraId="540DCD0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备注</w:t>
            </w:r>
          </w:p>
        </w:tc>
      </w:tr>
      <w:tr w14:paraId="20AB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vMerge w:val="restart"/>
            <w:shd w:val="clear" w:color="auto" w:fill="auto"/>
            <w:noWrap/>
            <w:vAlign w:val="center"/>
          </w:tcPr>
          <w:p w14:paraId="10EAAD3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红外摄像机</w:t>
            </w:r>
          </w:p>
        </w:tc>
        <w:tc>
          <w:tcPr>
            <w:tcW w:w="2874" w:type="pct"/>
            <w:shd w:val="clear" w:color="auto" w:fill="auto"/>
            <w:vAlign w:val="center"/>
          </w:tcPr>
          <w:p w14:paraId="798A872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低照度200万1/2.8英寸CMOS图像传感器；</w:t>
            </w:r>
          </w:p>
        </w:tc>
        <w:tc>
          <w:tcPr>
            <w:tcW w:w="781" w:type="pct"/>
            <w:vMerge w:val="restart"/>
            <w:shd w:val="clear" w:color="auto" w:fill="auto"/>
            <w:vAlign w:val="center"/>
          </w:tcPr>
          <w:p w14:paraId="432956A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POE供电</w:t>
            </w:r>
          </w:p>
        </w:tc>
      </w:tr>
      <w:tr w14:paraId="6E6F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vMerge w:val="continue"/>
            <w:shd w:val="clear" w:color="auto" w:fill="auto"/>
            <w:vAlign w:val="center"/>
          </w:tcPr>
          <w:p w14:paraId="7CE18CA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874" w:type="pct"/>
            <w:shd w:val="clear" w:color="auto" w:fill="auto"/>
            <w:vAlign w:val="center"/>
          </w:tcPr>
          <w:p w14:paraId="0D9A3B2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最大分辨率400W；</w:t>
            </w:r>
          </w:p>
        </w:tc>
        <w:tc>
          <w:tcPr>
            <w:tcW w:w="781" w:type="pct"/>
            <w:vMerge w:val="continue"/>
            <w:shd w:val="clear" w:color="auto" w:fill="auto"/>
            <w:vAlign w:val="center"/>
          </w:tcPr>
          <w:p w14:paraId="4439703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51F1B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vMerge w:val="continue"/>
            <w:shd w:val="clear" w:color="auto" w:fill="auto"/>
            <w:vAlign w:val="center"/>
          </w:tcPr>
          <w:p w14:paraId="7EC6BB4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874" w:type="pct"/>
            <w:shd w:val="clear" w:color="auto" w:fill="auto"/>
            <w:vAlign w:val="center"/>
          </w:tcPr>
          <w:p w14:paraId="6DAF5C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红外距离不小于50米；</w:t>
            </w:r>
          </w:p>
        </w:tc>
        <w:tc>
          <w:tcPr>
            <w:tcW w:w="781" w:type="pct"/>
            <w:vMerge w:val="continue"/>
            <w:shd w:val="clear" w:color="auto" w:fill="auto"/>
            <w:vAlign w:val="center"/>
          </w:tcPr>
          <w:p w14:paraId="11FB7B9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0511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vMerge w:val="continue"/>
            <w:shd w:val="clear" w:color="auto" w:fill="auto"/>
            <w:vAlign w:val="center"/>
          </w:tcPr>
          <w:p w14:paraId="050C73A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874" w:type="pct"/>
            <w:shd w:val="clear" w:color="auto" w:fill="auto"/>
            <w:vAlign w:val="center"/>
          </w:tcPr>
          <w:p w14:paraId="47539DA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镜头焦距3.6mm、6mm、8mm、12mm可选；</w:t>
            </w:r>
          </w:p>
        </w:tc>
        <w:tc>
          <w:tcPr>
            <w:tcW w:w="781" w:type="pct"/>
            <w:vMerge w:val="continue"/>
            <w:shd w:val="clear" w:color="auto" w:fill="auto"/>
            <w:vAlign w:val="center"/>
          </w:tcPr>
          <w:p w14:paraId="4D92039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1B7E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vMerge w:val="continue"/>
            <w:shd w:val="clear" w:color="auto" w:fill="auto"/>
            <w:vAlign w:val="center"/>
          </w:tcPr>
          <w:p w14:paraId="3AEB5F4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874" w:type="pct"/>
            <w:shd w:val="clear" w:color="auto" w:fill="auto"/>
            <w:vAlign w:val="center"/>
          </w:tcPr>
          <w:p w14:paraId="551EC18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星光支持；</w:t>
            </w:r>
          </w:p>
        </w:tc>
        <w:tc>
          <w:tcPr>
            <w:tcW w:w="781" w:type="pct"/>
            <w:vMerge w:val="continue"/>
            <w:shd w:val="clear" w:color="auto" w:fill="auto"/>
            <w:vAlign w:val="center"/>
          </w:tcPr>
          <w:p w14:paraId="26883A2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14F6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vMerge w:val="continue"/>
            <w:shd w:val="clear" w:color="auto" w:fill="auto"/>
            <w:vAlign w:val="center"/>
          </w:tcPr>
          <w:p w14:paraId="43D113D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874" w:type="pct"/>
            <w:shd w:val="clear" w:color="auto" w:fill="auto"/>
            <w:vAlign w:val="center"/>
          </w:tcPr>
          <w:p w14:paraId="22A44C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H.265支持；</w:t>
            </w:r>
          </w:p>
        </w:tc>
        <w:tc>
          <w:tcPr>
            <w:tcW w:w="781" w:type="pct"/>
            <w:vMerge w:val="continue"/>
            <w:shd w:val="clear" w:color="auto" w:fill="auto"/>
            <w:vAlign w:val="center"/>
          </w:tcPr>
          <w:p w14:paraId="55F7262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7B0D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343" w:type="pct"/>
            <w:vMerge w:val="continue"/>
            <w:shd w:val="clear" w:color="auto" w:fill="auto"/>
            <w:vAlign w:val="center"/>
          </w:tcPr>
          <w:p w14:paraId="418C49A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c>
          <w:tcPr>
            <w:tcW w:w="2874" w:type="pct"/>
            <w:shd w:val="clear" w:color="auto" w:fill="auto"/>
            <w:vAlign w:val="center"/>
          </w:tcPr>
          <w:p w14:paraId="7752EC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防护等级IP6</w:t>
            </w:r>
          </w:p>
        </w:tc>
        <w:tc>
          <w:tcPr>
            <w:tcW w:w="781" w:type="pct"/>
            <w:vMerge w:val="continue"/>
            <w:shd w:val="clear" w:color="auto" w:fill="auto"/>
            <w:vAlign w:val="center"/>
          </w:tcPr>
          <w:p w14:paraId="41BD40C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16B3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shd w:val="clear" w:color="auto" w:fill="auto"/>
            <w:noWrap/>
            <w:vAlign w:val="center"/>
          </w:tcPr>
          <w:p w14:paraId="56FF26F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监控立杆</w:t>
            </w:r>
          </w:p>
        </w:tc>
        <w:tc>
          <w:tcPr>
            <w:tcW w:w="2874" w:type="pct"/>
            <w:shd w:val="clear" w:color="auto" w:fill="auto"/>
            <w:vAlign w:val="center"/>
          </w:tcPr>
          <w:p w14:paraId="5B0141C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监控立杆要求摄像机离地面高度一般不低于4米，挑臂长度0.4-1米，监控立杆下端管径应在220mm±10mm、上端管径应在150mm±5mm，管壁厚度应≥4mm，表面防腐、抗台风。监控立杆基础深度不低于1.5米，基础直径大于0.6米，预埋地笼，采用C25混凝土灌筑，以确保立杆的牢固度，立杆铁制件需采用热度锌处理，热度锌层符合GB/T9790、GBJ36011和GB/T11373的规定，厚度不小于65毫米。监控立杆整体喷塑，外观应无鼓包，针孔，裂纹或漏喷现象表面光滑色泽一致标准，符合国家标准GB4054及行业标准QB1551-92的标准。</w:t>
            </w:r>
          </w:p>
        </w:tc>
        <w:tc>
          <w:tcPr>
            <w:tcW w:w="781" w:type="pct"/>
            <w:shd w:val="clear" w:color="auto" w:fill="auto"/>
            <w:vAlign w:val="center"/>
          </w:tcPr>
          <w:p w14:paraId="2958A07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0F08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3" w:type="pct"/>
            <w:shd w:val="clear" w:color="auto" w:fill="auto"/>
            <w:noWrap/>
            <w:vAlign w:val="center"/>
          </w:tcPr>
          <w:p w14:paraId="4A20BCA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网络硬盘录像机</w:t>
            </w:r>
          </w:p>
        </w:tc>
        <w:tc>
          <w:tcPr>
            <w:tcW w:w="2874" w:type="pct"/>
            <w:shd w:val="clear" w:color="auto" w:fill="auto"/>
            <w:vAlign w:val="center"/>
          </w:tcPr>
          <w:p w14:paraId="0657485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业级嵌入式微控制器；嵌入式Linux实时操作系统；支持智能分析；网络视频接入不低于4路；IPC分辨率12M/4K/5M/3M/1080P/UXGA/1.3M/720P，支持1080P@60帧；1路VGA输出，1路HDMI输出，视频压缩标准H.265/H.264/MPEG4/MJPEG；不低于2个SATA接口，单盘容量支持8TB。2个RJ4510/100/1000Mbps自适应以太网口；</w:t>
            </w:r>
          </w:p>
        </w:tc>
        <w:tc>
          <w:tcPr>
            <w:tcW w:w="781" w:type="pct"/>
            <w:shd w:val="clear" w:color="auto" w:fill="auto"/>
            <w:vAlign w:val="center"/>
          </w:tcPr>
          <w:p w14:paraId="343DE42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p>
        </w:tc>
      </w:tr>
      <w:tr w14:paraId="5F65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5000" w:type="pct"/>
            <w:gridSpan w:val="3"/>
            <w:shd w:val="clear" w:color="auto" w:fill="auto"/>
            <w:noWrap/>
            <w:vAlign w:val="center"/>
          </w:tcPr>
          <w:p w14:paraId="1E278DA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推荐品牌或厂家（或相当于）：海康威视；大华；天地伟业</w:t>
            </w:r>
          </w:p>
        </w:tc>
      </w:tr>
    </w:tbl>
    <w:p w14:paraId="65A1BDB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场站智能预警系统</w:t>
      </w:r>
    </w:p>
    <w:p w14:paraId="656B50A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充电站聚合场站数据/AI算法/云平台/充电设备，打造出安全预警解决方案；</w:t>
      </w:r>
    </w:p>
    <w:p w14:paraId="6B2BC81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依托云边端协同架构及场站监控图像，可完成实时识别场站异常、预警信息推送、充电设备联动控制，助力无人值守充电站全时感知和实时响；</w:t>
      </w:r>
    </w:p>
    <w:p w14:paraId="6EDE2B4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（3）基于充电平台海量的安全行为数据及设备状态数据通过机器学习平台的自学习及模型评估生成基于充电站原生场景图像识别算法，结合算力层场站部署的AI安全预警系统</w:t>
      </w:r>
    </w:p>
    <w:p w14:paraId="1A094B3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及平台形成能保证预警效率和保证高精度的云边协同识别机制。出现预警时通过设备管理中心及安全告警中心保证安全预警高效触达客户，最终实现多样算法在充电多样场景的应用和落地。</w:t>
      </w:r>
    </w:p>
    <w:p w14:paraId="275551E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1数据档案层：基于充电场景安全行为及设备状态的海量数据；</w:t>
      </w:r>
    </w:p>
    <w:p w14:paraId="5979915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2算力层：边缘侧算力与平台二次识别的协同；</w:t>
      </w:r>
    </w:p>
    <w:p w14:paraId="501D874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3平台支撑层：集成算法训练、设备管理、预警通知，支撑极目系列端到端的打通；</w:t>
      </w:r>
    </w:p>
    <w:p w14:paraId="5B625D1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4算法层：高度贴合充电运营场景的原生算法池</w:t>
      </w:r>
    </w:p>
    <w:p w14:paraId="2F44FA3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（4）系统特点参数</w:t>
      </w:r>
    </w:p>
    <w:p w14:paraId="1C3D5A9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1)支持原有安防利旧及个性化规则配置，支持海康、大华（满足onvif协议）等主流品牌摄像头，可实现利用场站原有摄像头进行智能化升级，降低部署成本；</w:t>
      </w:r>
    </w:p>
    <w:p w14:paraId="7A5C0D0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2)基于充电站原生场景海量素材的算法池，可实现充电场景的无缝衔接，减少不同场景对识别精度的损失，保证产业应用的高精度，同时与充电平台自用算法池共享，享受实时OTA带来的更高精度；</w:t>
      </w:r>
    </w:p>
    <w:p w14:paraId="16B5268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3)所有算法均专注于保障充电场站人身安全及公共安全，避免由于影响个人信息安全所产生的法律风险及纠纷；</w:t>
      </w:r>
    </w:p>
    <w:p w14:paraId="2242530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4)支持设备及云端协同识别，边缘侧AI系统可通过本地识别保证预警的实时性，平台侧二次识别大幅提升识别精度，减少误报对管理人员的干扰；</w:t>
      </w:r>
    </w:p>
    <w:p w14:paraId="3E14DA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5）电话、短信、微信、现场语音告警多种通知方式，做到告警的高效触达；</w:t>
      </w:r>
    </w:p>
    <w:p w14:paraId="4272739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6)支持充电设备、语音播报等外设联动，对无人值守场站安全管理进行有效补充，具有告警功能；</w:t>
      </w:r>
    </w:p>
    <w:p w14:paraId="2C9029F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7)微秒接入并支持多种模型同时识别</w:t>
      </w:r>
    </w:p>
    <w:p w14:paraId="2AF1F0F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8)安全预警设备至少具备1个Type-C端口、1个Lan端口、1个AUDIO 接口，满足日常使用需求。</w:t>
      </w:r>
    </w:p>
    <w:p w14:paraId="1EEC168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（5）详细功能</w:t>
      </w:r>
    </w:p>
    <w:p w14:paraId="4078D53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1）预警功能</w:t>
      </w:r>
    </w:p>
    <w:p w14:paraId="760E056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主要功能包括火焰监测、烟雾监测、吸烟姿态监测、人员倒地监测、设备破坏监测、改装车充电异常监测、儿童逗留监测、充电枪归位监测等，上述安全预警算法可涵盖充电区域绝大多数危险源，其他特殊需求可通过定制算法扩展相应功能，同时在订阅系统权益后可享受算法精度持续提升。</w:t>
      </w:r>
    </w:p>
    <w:p w14:paraId="397DD94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2）联动控制</w:t>
      </w:r>
    </w:p>
    <w:p w14:paraId="3935495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安全预警设备可在监测到人员倒地等预警时，发送通知至平台并触发充电桩断电控制。</w:t>
      </w:r>
    </w:p>
    <w:p w14:paraId="1CC3729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3）预警通知功能</w:t>
      </w:r>
    </w:p>
    <w:p w14:paraId="1880D7D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▲安全预警设备可进行以下预警：高危人群预警、人员跌倒预警、枪未归位预警、抽烟(烟雾)预警、改装车辆识别(两轮车)预警等功能，并发送通知至平台。</w:t>
      </w:r>
      <w:r>
        <w:rPr>
          <w:rFonts w:hint="eastAsia" w:ascii="仿宋" w:hAnsi="仿宋" w:eastAsia="仿宋" w:cs="仿宋"/>
          <w:color w:val="auto"/>
          <w:sz w:val="24"/>
          <w:highlight w:val="none"/>
          <w:lang w:val="en-US" w:eastAsia="zh-CN"/>
        </w:rPr>
        <w:t>提供安全预警设备试验报告（具有CMA和CNAS）。</w:t>
      </w:r>
    </w:p>
    <w:p w14:paraId="39F7E0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4）精度保障</w:t>
      </w:r>
    </w:p>
    <w:p w14:paraId="6D93735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现有的平台部署云端二次识别，通过云端和边缘侧的协同去实现实时性与高精度，算法经过约1年以上的训练及在试点充电站的调优，精度大于85%。</w:t>
      </w:r>
    </w:p>
    <w:p w14:paraId="11EA62B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5）摄像头配合方案</w:t>
      </w:r>
    </w:p>
    <w:p w14:paraId="339E739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由于项目摄像头角度、焦距等布置对AI图像识别功能完全实现存在影响，确保摄像头能满足以下要求：</w:t>
      </w:r>
    </w:p>
    <w:p w14:paraId="7AAC815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摄像头支持onvif等协议</w:t>
      </w:r>
    </w:p>
    <w:p w14:paraId="692772D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摄像头视角能实现以下效果</w:t>
      </w:r>
    </w:p>
    <w:tbl>
      <w:tblPr>
        <w:tblStyle w:val="64"/>
        <w:tblW w:w="9118" w:type="dxa"/>
        <w:jc w:val="center"/>
        <w:tblLayout w:type="autofit"/>
        <w:tblCellMar>
          <w:top w:w="80" w:type="dxa"/>
          <w:left w:w="128" w:type="dxa"/>
          <w:bottom w:w="80" w:type="dxa"/>
          <w:right w:w="128" w:type="dxa"/>
        </w:tblCellMar>
      </w:tblPr>
      <w:tblGrid>
        <w:gridCol w:w="847"/>
        <w:gridCol w:w="3383"/>
        <w:gridCol w:w="4888"/>
      </w:tblGrid>
      <w:tr w14:paraId="342CCBB3">
        <w:tblPrEx>
          <w:tblCellMar>
            <w:top w:w="80" w:type="dxa"/>
            <w:left w:w="128" w:type="dxa"/>
            <w:bottom w:w="80" w:type="dxa"/>
            <w:right w:w="128" w:type="dxa"/>
          </w:tblCellMar>
        </w:tblPrEx>
        <w:trPr>
          <w:trHeight w:val="0" w:hRule="atLeast"/>
          <w:jc w:val="center"/>
        </w:trPr>
        <w:tc>
          <w:tcPr>
            <w:tcW w:w="847" w:type="dxa"/>
            <w:tcBorders>
              <w:top w:val="single" w:color="000000" w:sz="6" w:space="0"/>
              <w:left w:val="single" w:color="000000" w:sz="6" w:space="0"/>
              <w:bottom w:val="single" w:color="000000" w:sz="6" w:space="0"/>
              <w:right w:val="single" w:color="000000" w:sz="6" w:space="0"/>
              <w:tl2br w:val="nil"/>
              <w:tr2bl w:val="nil"/>
            </w:tcBorders>
            <w:vAlign w:val="center"/>
          </w:tcPr>
          <w:p w14:paraId="0F44CE75">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覆盖角度</w:t>
            </w:r>
          </w:p>
        </w:tc>
        <w:tc>
          <w:tcPr>
            <w:tcW w:w="3383" w:type="dxa"/>
            <w:tcBorders>
              <w:top w:val="single" w:color="000000" w:sz="6" w:space="0"/>
              <w:left w:val="single" w:color="000000" w:sz="6" w:space="0"/>
              <w:bottom w:val="single" w:color="000000" w:sz="6" w:space="0"/>
              <w:right w:val="single" w:color="000000" w:sz="6" w:space="0"/>
              <w:tl2br w:val="nil"/>
              <w:tr2bl w:val="nil"/>
            </w:tcBorders>
            <w:vAlign w:val="center"/>
          </w:tcPr>
          <w:p w14:paraId="7028F6EE">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根据所需模型应用场景覆盖摄像头的角度小于30度</w:t>
            </w:r>
          </w:p>
        </w:tc>
        <w:tc>
          <w:tcPr>
            <w:tcW w:w="4888" w:type="dxa"/>
            <w:tcBorders>
              <w:top w:val="single" w:color="000000" w:sz="6" w:space="0"/>
              <w:left w:val="single" w:color="000000" w:sz="6" w:space="0"/>
              <w:bottom w:val="single" w:color="000000" w:sz="6" w:space="0"/>
              <w:right w:val="single" w:color="000000" w:sz="6" w:space="0"/>
              <w:tl2br w:val="nil"/>
              <w:tr2bl w:val="nil"/>
            </w:tcBorders>
            <w:vAlign w:val="center"/>
          </w:tcPr>
          <w:p w14:paraId="06523AE5">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center"/>
              <w:textAlignment w:val="auto"/>
              <w:rPr>
                <w:rFonts w:hint="eastAsia" w:ascii="仿宋" w:hAnsi="仿宋" w:eastAsia="仿宋" w:cs="仿宋"/>
                <w:color w:val="auto"/>
                <w:sz w:val="21"/>
                <w:szCs w:val="21"/>
                <w:highlight w:val="none"/>
                <w:lang w:val="en-US" w:eastAsia="zh-CN"/>
              </w:rPr>
            </w:pPr>
          </w:p>
        </w:tc>
      </w:tr>
      <w:tr w14:paraId="3F152006">
        <w:tblPrEx>
          <w:tblCellMar>
            <w:top w:w="80" w:type="dxa"/>
            <w:left w:w="128" w:type="dxa"/>
            <w:bottom w:w="80" w:type="dxa"/>
            <w:right w:w="128" w:type="dxa"/>
          </w:tblCellMar>
        </w:tblPrEx>
        <w:trPr>
          <w:trHeight w:val="0" w:hRule="atLeast"/>
          <w:jc w:val="center"/>
        </w:trPr>
        <w:tc>
          <w:tcPr>
            <w:tcW w:w="847" w:type="dxa"/>
            <w:tcBorders>
              <w:top w:val="single" w:color="000000" w:sz="6" w:space="0"/>
              <w:left w:val="single" w:color="000000" w:sz="6" w:space="0"/>
              <w:bottom w:val="single" w:color="000000" w:sz="6" w:space="0"/>
              <w:right w:val="single" w:color="000000" w:sz="6" w:space="0"/>
              <w:tl2br w:val="nil"/>
              <w:tr2bl w:val="nil"/>
            </w:tcBorders>
            <w:vAlign w:val="center"/>
          </w:tcPr>
          <w:p w14:paraId="41382B3E">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覆盖距离</w:t>
            </w:r>
          </w:p>
        </w:tc>
        <w:tc>
          <w:tcPr>
            <w:tcW w:w="3383" w:type="dxa"/>
            <w:tcBorders>
              <w:top w:val="single" w:color="000000" w:sz="6" w:space="0"/>
              <w:left w:val="single" w:color="000000" w:sz="6" w:space="0"/>
              <w:bottom w:val="single" w:color="000000" w:sz="6" w:space="0"/>
              <w:right w:val="single" w:color="000000" w:sz="6" w:space="0"/>
              <w:tl2br w:val="nil"/>
              <w:tr2bl w:val="nil"/>
            </w:tcBorders>
            <w:vAlign w:val="center"/>
          </w:tcPr>
          <w:p w14:paraId="3592C2B7">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根据所需模型应用场景覆盖200万像素根据摄像头焦距判定一般不超过10米400万像素根据摄像头焦距判定一般不超过18米</w:t>
            </w:r>
          </w:p>
        </w:tc>
        <w:tc>
          <w:tcPr>
            <w:tcW w:w="4888" w:type="dxa"/>
            <w:tcBorders>
              <w:top w:val="single" w:color="000000" w:sz="6" w:space="0"/>
              <w:left w:val="single" w:color="000000" w:sz="6" w:space="0"/>
              <w:bottom w:val="single" w:color="000000" w:sz="6" w:space="0"/>
              <w:right w:val="single" w:color="000000" w:sz="6" w:space="0"/>
              <w:tl2br w:val="nil"/>
              <w:tr2bl w:val="nil"/>
            </w:tcBorders>
            <w:vAlign w:val="center"/>
          </w:tcPr>
          <w:p w14:paraId="6AC722C5">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*200万像素、可4车位布置一个安防相机</w:t>
            </w:r>
          </w:p>
          <w:p w14:paraId="19C7CA55">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*400万像素、可7个车位布置一个安防相机</w:t>
            </w:r>
          </w:p>
        </w:tc>
      </w:tr>
      <w:tr w14:paraId="1A20777D">
        <w:tblPrEx>
          <w:tblCellMar>
            <w:top w:w="80" w:type="dxa"/>
            <w:left w:w="128" w:type="dxa"/>
            <w:bottom w:w="80" w:type="dxa"/>
            <w:right w:w="128" w:type="dxa"/>
          </w:tblCellMar>
        </w:tblPrEx>
        <w:trPr>
          <w:trHeight w:val="0" w:hRule="atLeast"/>
          <w:jc w:val="center"/>
        </w:trPr>
        <w:tc>
          <w:tcPr>
            <w:tcW w:w="847" w:type="dxa"/>
            <w:tcBorders>
              <w:top w:val="single" w:color="000000" w:sz="6" w:space="0"/>
              <w:left w:val="single" w:color="000000" w:sz="6" w:space="0"/>
              <w:bottom w:val="single" w:color="000000" w:sz="6" w:space="0"/>
              <w:right w:val="single" w:color="000000" w:sz="6" w:space="0"/>
              <w:tl2br w:val="nil"/>
              <w:tr2bl w:val="nil"/>
            </w:tcBorders>
            <w:vAlign w:val="center"/>
          </w:tcPr>
          <w:p w14:paraId="671F3ED2">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摄像焦距选型型指导</w:t>
            </w:r>
          </w:p>
        </w:tc>
        <w:tc>
          <w:tcPr>
            <w:tcW w:w="3383" w:type="dxa"/>
            <w:tcBorders>
              <w:top w:val="single" w:color="000000" w:sz="6" w:space="0"/>
              <w:left w:val="single" w:color="000000" w:sz="6" w:space="0"/>
              <w:bottom w:val="single" w:color="000000" w:sz="6" w:space="0"/>
              <w:right w:val="single" w:color="000000" w:sz="6" w:space="0"/>
              <w:tl2br w:val="nil"/>
              <w:tr2bl w:val="nil"/>
            </w:tcBorders>
            <w:vAlign w:val="center"/>
          </w:tcPr>
          <w:p w14:paraId="7D77987D">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看清人脸、体貌的最大监控距离</w:t>
            </w:r>
          </w:p>
        </w:tc>
        <w:tc>
          <w:tcPr>
            <w:tcW w:w="4888" w:type="dxa"/>
            <w:tcBorders>
              <w:top w:val="single" w:color="000000" w:sz="6" w:space="0"/>
              <w:left w:val="single" w:color="000000" w:sz="6" w:space="0"/>
              <w:bottom w:val="single" w:color="000000" w:sz="6" w:space="0"/>
              <w:right w:val="single" w:color="000000" w:sz="6" w:space="0"/>
              <w:tl2br w:val="nil"/>
              <w:tr2bl w:val="nil"/>
            </w:tcBorders>
            <w:vAlign w:val="center"/>
          </w:tcPr>
          <w:p w14:paraId="4DAD199F">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例 ：</w:t>
            </w:r>
          </w:p>
          <w:p w14:paraId="67D8E25B">
            <w:pPr>
              <w:keepNext w:val="0"/>
              <w:keepLines w:val="0"/>
              <w:pageBreakBefore w:val="0"/>
              <w:widowControl w:val="0"/>
              <w:kinsoku/>
              <w:wordWrap/>
              <w:overflowPunct/>
              <w:topLinePunct w:val="0"/>
              <w:autoSpaceDE/>
              <w:autoSpaceDN/>
              <w:bidi w:val="0"/>
              <w:adjustRightInd/>
              <w:snapToGrid w:val="0"/>
              <w:spacing w:line="360" w:lineRule="exact"/>
              <w:ind w:left="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摄像头安装位置距高充电桩(要识别是否有人员抽烟)10米，想要看清进出充电人员的脸部特征判断是否抽烟，推荐选择200万像素6mm及以上焦距、400万像素4mm及以上的摄像头。</w:t>
            </w:r>
          </w:p>
        </w:tc>
      </w:tr>
      <w:tr w14:paraId="3EEEF131">
        <w:tblPrEx>
          <w:tblCellMar>
            <w:top w:w="80" w:type="dxa"/>
            <w:left w:w="128" w:type="dxa"/>
            <w:bottom w:w="80" w:type="dxa"/>
            <w:right w:w="128" w:type="dxa"/>
          </w:tblCellMar>
        </w:tblPrEx>
        <w:trPr>
          <w:trHeight w:val="0" w:hRule="atLeast"/>
          <w:jc w:val="center"/>
        </w:trPr>
        <w:tc>
          <w:tcPr>
            <w:tcW w:w="847" w:type="dxa"/>
            <w:tcBorders>
              <w:top w:val="single" w:color="000000" w:sz="6" w:space="0"/>
              <w:left w:val="single" w:color="000000" w:sz="6" w:space="0"/>
              <w:bottom w:val="single" w:color="000000" w:sz="6" w:space="0"/>
              <w:right w:val="single" w:color="000000" w:sz="6" w:space="0"/>
              <w:tl2br w:val="nil"/>
              <w:tr2bl w:val="nil"/>
            </w:tcBorders>
            <w:vAlign w:val="center"/>
          </w:tcPr>
          <w:p w14:paraId="10D593D8">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center"/>
              <w:textAlignment w:val="auto"/>
              <w:rPr>
                <w:rFonts w:hint="eastAsia" w:ascii="仿宋" w:hAnsi="仿宋" w:eastAsia="仿宋" w:cs="仿宋"/>
                <w:color w:val="auto"/>
                <w:sz w:val="21"/>
                <w:szCs w:val="21"/>
                <w:highlight w:val="none"/>
                <w:lang w:val="en-US" w:eastAsia="zh-CN"/>
              </w:rPr>
            </w:pPr>
          </w:p>
        </w:tc>
        <w:tc>
          <w:tcPr>
            <w:tcW w:w="3383" w:type="dxa"/>
            <w:tcBorders>
              <w:top w:val="single" w:color="000000" w:sz="6" w:space="0"/>
              <w:left w:val="single" w:color="000000" w:sz="6" w:space="0"/>
              <w:bottom w:val="single" w:color="000000" w:sz="6" w:space="0"/>
              <w:right w:val="single" w:color="000000" w:sz="6" w:space="0"/>
              <w:tl2br w:val="nil"/>
              <w:tr2bl w:val="nil"/>
            </w:tcBorders>
            <w:vAlign w:val="center"/>
          </w:tcPr>
          <w:p w14:paraId="16B91272">
            <w:pPr>
              <w:keepNext w:val="0"/>
              <w:keepLines w:val="0"/>
              <w:pageBreakBefore w:val="0"/>
              <w:widowControl w:val="0"/>
              <w:kinsoku/>
              <w:wordWrap/>
              <w:overflowPunct/>
              <w:topLinePunct w:val="0"/>
              <w:autoSpaceDE/>
              <w:autoSpaceDN/>
              <w:bidi w:val="0"/>
              <w:adjustRightInd/>
              <w:snapToGrid w:val="0"/>
              <w:spacing w:line="360" w:lineRule="exact"/>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看清充电设施及环境信息的预警相关识别监控距高</w:t>
            </w:r>
          </w:p>
        </w:tc>
        <w:tc>
          <w:tcPr>
            <w:tcW w:w="4888" w:type="dxa"/>
            <w:tcBorders>
              <w:top w:val="single" w:color="000000" w:sz="6" w:space="0"/>
              <w:left w:val="single" w:color="000000" w:sz="6" w:space="0"/>
              <w:bottom w:val="single" w:color="000000" w:sz="6" w:space="0"/>
              <w:right w:val="single" w:color="000000" w:sz="6" w:space="0"/>
              <w:tl2br w:val="nil"/>
              <w:tr2bl w:val="nil"/>
            </w:tcBorders>
            <w:vAlign w:val="center"/>
          </w:tcPr>
          <w:p w14:paraId="4E2B7F67">
            <w:pPr>
              <w:keepNext w:val="0"/>
              <w:keepLines w:val="0"/>
              <w:pageBreakBefore w:val="0"/>
              <w:widowControl w:val="0"/>
              <w:kinsoku/>
              <w:wordWrap/>
              <w:overflowPunct/>
              <w:topLinePunct w:val="0"/>
              <w:autoSpaceDE/>
              <w:autoSpaceDN/>
              <w:bidi w:val="0"/>
              <w:adjustRightInd/>
              <w:snapToGrid w:val="0"/>
              <w:spacing w:line="360" w:lineRule="exact"/>
              <w:ind w:left="0" w:firstLine="420" w:firstLineChars="200"/>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根据环境、车位及充电桩的尺寸，基于测试数据得出以下推荐配置方案。</w:t>
            </w:r>
          </w:p>
          <w:p w14:paraId="22F86A58">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100Wa      30W      0W      50W</w:t>
            </w:r>
          </w:p>
          <w:p w14:paraId="73E0AB2C">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2Jm       4辆      1am      10n</w:t>
            </w:r>
          </w:p>
          <w:p w14:paraId="35C6EB97">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4hm      1m       1m       19n</w:t>
            </w:r>
          </w:p>
          <w:p w14:paraId="13E92807">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Gnm      2m       2hm     34n</w:t>
            </w:r>
          </w:p>
          <w:p w14:paraId="5076B734">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Bnm      n        Jim     Gn</w:t>
            </w:r>
          </w:p>
          <w:p w14:paraId="518EB1D9">
            <w:pPr>
              <w:keepNext w:val="0"/>
              <w:keepLines w:val="0"/>
              <w:pageBreakBefore w:val="0"/>
              <w:widowControl w:val="0"/>
              <w:kinsoku/>
              <w:wordWrap/>
              <w:overflowPunct/>
              <w:topLinePunct w:val="0"/>
              <w:autoSpaceDE/>
              <w:autoSpaceDN/>
              <w:bidi w:val="0"/>
              <w:adjustRightInd/>
              <w:snapToGrid w:val="0"/>
              <w:spacing w:line="360" w:lineRule="exact"/>
              <w:ind w:left="0" w:leftChars="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例 ：12mm       50m      6m      74m</w:t>
            </w:r>
          </w:p>
          <w:p w14:paraId="6EBB4FA0">
            <w:pPr>
              <w:keepNext w:val="0"/>
              <w:keepLines w:val="0"/>
              <w:pageBreakBefore w:val="0"/>
              <w:widowControl w:val="0"/>
              <w:kinsoku/>
              <w:wordWrap/>
              <w:overflowPunct/>
              <w:topLinePunct w:val="0"/>
              <w:autoSpaceDE/>
              <w:autoSpaceDN/>
              <w:bidi w:val="0"/>
              <w:adjustRightInd/>
              <w:snapToGrid w:val="0"/>
              <w:spacing w:line="360" w:lineRule="exact"/>
              <w:ind w:left="0" w:firstLine="420" w:firstLineChars="20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某加油站、燃气站摄像头需要监控到10米范围内的烟雾火灾、设各损坏，推荐选择200万像素4mm及以上焦距、300万像素2.8mm及以上焦距或400万像素2.8mm及以上焦距的摄像头。</w:t>
            </w:r>
          </w:p>
        </w:tc>
      </w:tr>
    </w:tbl>
    <w:p w14:paraId="4D0AA96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6）安装及维护</w:t>
      </w:r>
    </w:p>
    <w:p w14:paraId="507DE09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考虑用户的使用体验，采用通过监控交换机快速接入和免维护的设计，完成IP配置、确保网络良好及设备在线的情况即可正常使用，同时考虑硬件异常和算法精度的问题，在选购质保权益的基础上在质保期内可进行硬件更换及算法升级。</w:t>
      </w:r>
    </w:p>
    <w:p w14:paraId="3A0F3D1B">
      <w:pPr>
        <w:pStyle w:val="2"/>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储能系统技术要求</w:t>
      </w:r>
    </w:p>
    <w:p w14:paraId="10907F2C">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spacing w:val="7"/>
          <w:kern w:val="0"/>
          <w:sz w:val="22"/>
          <w:highlight w:val="none"/>
          <w14:ligatures w14:val="none"/>
        </w:rPr>
      </w:pPr>
      <w:r>
        <w:rPr>
          <w:rFonts w:hint="eastAsia" w:ascii="仿宋" w:hAnsi="仿宋" w:eastAsia="仿宋" w:cs="仿宋"/>
          <w:b/>
          <w:bCs/>
          <w:color w:val="auto"/>
          <w:kern w:val="0"/>
          <w:szCs w:val="21"/>
          <w:highlight w:val="none"/>
          <w:shd w:val="clear" w:color="auto" w:fill="FFFFFF"/>
          <w14:ligatures w14:val="none"/>
        </w:rPr>
        <w:t>100kWh</w:t>
      </w:r>
      <w:r>
        <w:rPr>
          <w:rFonts w:hint="eastAsia" w:ascii="仿宋" w:hAnsi="仿宋" w:eastAsia="仿宋" w:cs="仿宋"/>
          <w:color w:val="auto"/>
          <w:highlight w:val="none"/>
        </w:rPr>
        <w:t>电池</w:t>
      </w:r>
      <w:r>
        <w:rPr>
          <w:rFonts w:hint="eastAsia" w:ascii="仿宋" w:hAnsi="仿宋" w:eastAsia="仿宋" w:cs="仿宋"/>
          <w:color w:val="auto"/>
          <w:highlight w:val="none"/>
          <w:lang w:val="en-US" w:eastAsia="zh-CN"/>
        </w:rPr>
        <w:t>技术要求</w:t>
      </w:r>
    </w:p>
    <w:tbl>
      <w:tblPr>
        <w:tblStyle w:val="64"/>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5"/>
        <w:gridCol w:w="2400"/>
        <w:gridCol w:w="4718"/>
      </w:tblGrid>
      <w:tr w14:paraId="2E53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0" w:type="dxa"/>
            <w:gridSpan w:val="2"/>
          </w:tcPr>
          <w:p w14:paraId="2CDDF5C5">
            <w:pPr>
              <w:pageBreakBefore w:val="0"/>
              <w:widowControl/>
              <w:kinsoku/>
              <w:wordWrap/>
              <w:overflowPunct/>
              <w:bidi w:val="0"/>
              <w:snapToGrid w:val="0"/>
              <w:spacing w:line="360" w:lineRule="exact"/>
              <w:ind w:left="0" w:leftChars="0" w:firstLine="422" w:firstLineChars="200"/>
              <w:jc w:val="center"/>
              <w:rPr>
                <w:rFonts w:hint="eastAsia" w:ascii="仿宋" w:hAnsi="仿宋" w:eastAsia="仿宋" w:cs="仿宋"/>
                <w:b/>
                <w:bCs/>
                <w:color w:val="auto"/>
                <w:kern w:val="0"/>
                <w:szCs w:val="21"/>
                <w:highlight w:val="none"/>
                <w14:ligatures w14:val="none"/>
              </w:rPr>
            </w:pPr>
            <w:r>
              <w:rPr>
                <w:rFonts w:hint="eastAsia" w:ascii="仿宋" w:hAnsi="仿宋" w:eastAsia="仿宋" w:cs="仿宋"/>
                <w:b/>
                <w:bCs/>
                <w:color w:val="auto"/>
                <w:kern w:val="0"/>
                <w:szCs w:val="21"/>
                <w:highlight w:val="none"/>
                <w14:ligatures w14:val="none"/>
              </w:rPr>
              <w:t>项目</w:t>
            </w:r>
          </w:p>
        </w:tc>
        <w:tc>
          <w:tcPr>
            <w:tcW w:w="4718" w:type="dxa"/>
            <w:vAlign w:val="center"/>
          </w:tcPr>
          <w:p w14:paraId="62C7E3D5">
            <w:pPr>
              <w:pageBreakBefore w:val="0"/>
              <w:widowControl/>
              <w:kinsoku/>
              <w:wordWrap/>
              <w:overflowPunct/>
              <w:bidi w:val="0"/>
              <w:snapToGrid w:val="0"/>
              <w:spacing w:line="360" w:lineRule="exact"/>
              <w:ind w:left="0" w:leftChars="0" w:firstLine="422" w:firstLineChars="200"/>
              <w:jc w:val="center"/>
              <w:rPr>
                <w:rFonts w:hint="eastAsia" w:ascii="仿宋" w:hAnsi="仿宋" w:eastAsia="仿宋" w:cs="仿宋"/>
                <w:b/>
                <w:bCs/>
                <w:color w:val="auto"/>
                <w:kern w:val="0"/>
                <w:szCs w:val="21"/>
                <w:highlight w:val="none"/>
                <w:shd w:val="clear" w:color="auto" w:fill="FFFFFF"/>
                <w14:ligatures w14:val="none"/>
              </w:rPr>
            </w:pPr>
            <w:r>
              <w:rPr>
                <w:rFonts w:hint="eastAsia" w:ascii="仿宋" w:hAnsi="仿宋" w:eastAsia="仿宋" w:cs="仿宋"/>
                <w:b/>
                <w:bCs/>
                <w:color w:val="auto"/>
                <w:kern w:val="0"/>
                <w:szCs w:val="21"/>
                <w:highlight w:val="none"/>
                <w:shd w:val="clear" w:color="auto" w:fill="FFFFFF"/>
                <w14:ligatures w14:val="none"/>
              </w:rPr>
              <w:t>50kW/100kWh</w:t>
            </w:r>
          </w:p>
        </w:tc>
      </w:tr>
      <w:tr w14:paraId="1EE1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restart"/>
            <w:vAlign w:val="center"/>
          </w:tcPr>
          <w:p w14:paraId="6072B7B7">
            <w:pPr>
              <w:pageBreakBefore w:val="0"/>
              <w:widowControl/>
              <w:kinsoku/>
              <w:wordWrap/>
              <w:overflowPunct/>
              <w:autoSpaceDE/>
              <w:autoSpaceDN/>
              <w:bidi w:val="0"/>
              <w:adjustRightInd w:val="0"/>
              <w:snapToGrid w:val="0"/>
              <w:spacing w:line="360" w:lineRule="exact"/>
              <w:jc w:val="both"/>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直流电池参数</w:t>
            </w:r>
          </w:p>
          <w:p w14:paraId="7B515A25">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p>
        </w:tc>
        <w:tc>
          <w:tcPr>
            <w:tcW w:w="2400" w:type="dxa"/>
            <w:vAlign w:val="center"/>
          </w:tcPr>
          <w:p w14:paraId="47AFC43B">
            <w:pPr>
              <w:pageBreakBefore w:val="0"/>
              <w:widowControl/>
              <w:kinsoku/>
              <w:wordWrap/>
              <w:overflowPunct/>
              <w:autoSpaceDE/>
              <w:autoSpaceDN/>
              <w:bidi w:val="0"/>
              <w:adjustRightInd w:val="0"/>
              <w:snapToGrid w:val="0"/>
              <w:spacing w:line="360" w:lineRule="exact"/>
              <w:ind w:left="199" w:leftChars="0" w:hanging="199" w:hangingChars="95"/>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电芯类型</w:t>
            </w:r>
          </w:p>
        </w:tc>
        <w:tc>
          <w:tcPr>
            <w:tcW w:w="4718" w:type="dxa"/>
            <w:vAlign w:val="center"/>
          </w:tcPr>
          <w:p w14:paraId="40134ED5">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GSP</w:t>
            </w:r>
            <w:r>
              <w:rPr>
                <w:rFonts w:hint="eastAsia" w:ascii="仿宋" w:hAnsi="仿宋" w:eastAsia="仿宋" w:cs="仿宋"/>
                <w:color w:val="auto"/>
                <w:kern w:val="0"/>
                <w:szCs w:val="21"/>
                <w:highlight w:val="none"/>
                <w14:ligatures w14:val="none"/>
              </w:rPr>
              <w:t>42173205</w:t>
            </w:r>
            <w:r>
              <w:rPr>
                <w:rFonts w:hint="eastAsia" w:ascii="仿宋" w:hAnsi="仿宋" w:eastAsia="仿宋" w:cs="仿宋"/>
                <w:color w:val="auto"/>
                <w:kern w:val="0"/>
                <w:szCs w:val="21"/>
                <w:highlight w:val="none"/>
                <w:lang w:eastAsia="en-US"/>
                <w14:ligatures w14:val="none"/>
              </w:rPr>
              <w:t>F,3.2V</w:t>
            </w:r>
            <w:r>
              <w:rPr>
                <w:rFonts w:hint="eastAsia" w:ascii="仿宋" w:hAnsi="仿宋" w:eastAsia="仿宋" w:cs="仿宋"/>
                <w:color w:val="auto"/>
                <w:kern w:val="0"/>
                <w:szCs w:val="21"/>
                <w:highlight w:val="none"/>
                <w14:ligatures w14:val="none"/>
              </w:rPr>
              <w:t>150</w:t>
            </w:r>
            <w:r>
              <w:rPr>
                <w:rFonts w:hint="eastAsia" w:ascii="仿宋" w:hAnsi="仿宋" w:eastAsia="仿宋" w:cs="仿宋"/>
                <w:color w:val="auto"/>
                <w:kern w:val="0"/>
                <w:szCs w:val="21"/>
                <w:highlight w:val="none"/>
                <w:lang w:eastAsia="en-US"/>
                <w14:ligatures w14:val="none"/>
              </w:rPr>
              <w:t>Ah</w:t>
            </w:r>
          </w:p>
        </w:tc>
      </w:tr>
      <w:tr w14:paraId="0F18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579FE1F7">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3EB9355">
            <w:pPr>
              <w:pageBreakBefore w:val="0"/>
              <w:widowControl/>
              <w:kinsoku/>
              <w:wordWrap/>
              <w:overflowPunct/>
              <w:autoSpaceDE/>
              <w:autoSpaceDN/>
              <w:bidi w:val="0"/>
              <w:adjustRightInd w:val="0"/>
              <w:snapToGrid w:val="0"/>
              <w:spacing w:line="360" w:lineRule="exact"/>
              <w:ind w:left="199" w:leftChars="0" w:hanging="199" w:hangingChars="95"/>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电池系统配置</w:t>
            </w:r>
          </w:p>
        </w:tc>
        <w:tc>
          <w:tcPr>
            <w:tcW w:w="4718" w:type="dxa"/>
            <w:vAlign w:val="center"/>
          </w:tcPr>
          <w:p w14:paraId="4D5475AF">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1P2</w:t>
            </w:r>
            <w:r>
              <w:rPr>
                <w:rFonts w:hint="eastAsia" w:ascii="仿宋" w:hAnsi="仿宋" w:eastAsia="仿宋" w:cs="仿宋"/>
                <w:color w:val="auto"/>
                <w:kern w:val="0"/>
                <w:szCs w:val="21"/>
                <w:highlight w:val="none"/>
                <w14:ligatures w14:val="none"/>
              </w:rPr>
              <w:t>16</w:t>
            </w:r>
            <w:r>
              <w:rPr>
                <w:rFonts w:hint="eastAsia" w:ascii="仿宋" w:hAnsi="仿宋" w:eastAsia="仿宋" w:cs="仿宋"/>
                <w:color w:val="auto"/>
                <w:kern w:val="0"/>
                <w:szCs w:val="21"/>
                <w:highlight w:val="none"/>
                <w:lang w:eastAsia="en-US"/>
                <w14:ligatures w14:val="none"/>
              </w:rPr>
              <w:t>S</w:t>
            </w:r>
          </w:p>
        </w:tc>
      </w:tr>
      <w:tr w14:paraId="5D53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750E6F93">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11083E89">
            <w:pPr>
              <w:pageBreakBefore w:val="0"/>
              <w:widowControl/>
              <w:kinsoku/>
              <w:wordWrap/>
              <w:overflowPunct/>
              <w:autoSpaceDE/>
              <w:autoSpaceDN/>
              <w:bidi w:val="0"/>
              <w:adjustRightInd w:val="0"/>
              <w:snapToGrid w:val="0"/>
              <w:spacing w:line="360" w:lineRule="exact"/>
              <w:ind w:left="199" w:leftChars="0" w:hanging="199" w:hangingChars="95"/>
              <w:jc w:val="center"/>
              <w:rPr>
                <w:rFonts w:hint="eastAsia" w:ascii="仿宋" w:hAnsi="仿宋" w:eastAsia="仿宋" w:cs="仿宋"/>
                <w:color w:val="auto"/>
                <w:kern w:val="0"/>
                <w:szCs w:val="21"/>
                <w:highlight w:val="none"/>
                <w:shd w:val="clear" w:color="auto" w:fill="FFFFFF"/>
                <w14:ligatures w14:val="none"/>
              </w:rPr>
            </w:pPr>
            <w:r>
              <w:rPr>
                <w:rFonts w:hint="eastAsia" w:ascii="仿宋" w:hAnsi="仿宋" w:eastAsia="仿宋" w:cs="仿宋"/>
                <w:color w:val="auto"/>
                <w:kern w:val="0"/>
                <w:szCs w:val="21"/>
                <w:highlight w:val="none"/>
                <w:shd w:val="clear" w:color="auto" w:fill="FFFFFF"/>
                <w14:ligatures w14:val="none"/>
              </w:rPr>
              <w:t>电池箱型号</w:t>
            </w:r>
          </w:p>
        </w:tc>
        <w:tc>
          <w:tcPr>
            <w:tcW w:w="4718" w:type="dxa"/>
            <w:vAlign w:val="center"/>
          </w:tcPr>
          <w:p w14:paraId="6C44202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PH-76.8V24S1P-Air</w:t>
            </w:r>
          </w:p>
        </w:tc>
      </w:tr>
      <w:tr w14:paraId="35B4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728A3161">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1603AA7">
            <w:pPr>
              <w:pageBreakBefore w:val="0"/>
              <w:widowControl/>
              <w:kinsoku/>
              <w:wordWrap/>
              <w:overflowPunct/>
              <w:autoSpaceDE/>
              <w:autoSpaceDN/>
              <w:bidi w:val="0"/>
              <w:adjustRightInd w:val="0"/>
              <w:snapToGrid w:val="0"/>
              <w:spacing w:line="360" w:lineRule="exact"/>
              <w:ind w:left="199" w:leftChars="0" w:hanging="199" w:hangingChars="95"/>
              <w:jc w:val="center"/>
              <w:rPr>
                <w:rFonts w:hint="eastAsia" w:ascii="仿宋" w:hAnsi="仿宋" w:eastAsia="仿宋" w:cs="仿宋"/>
                <w:color w:val="auto"/>
                <w:kern w:val="0"/>
                <w:szCs w:val="21"/>
                <w:highlight w:val="none"/>
                <w:shd w:val="clear" w:color="auto" w:fill="FFFFFF"/>
                <w14:ligatures w14:val="none"/>
              </w:rPr>
            </w:pPr>
            <w:r>
              <w:rPr>
                <w:rFonts w:hint="eastAsia" w:ascii="仿宋" w:hAnsi="仿宋" w:eastAsia="仿宋" w:cs="仿宋"/>
                <w:color w:val="auto"/>
                <w:kern w:val="0"/>
                <w:szCs w:val="21"/>
                <w:highlight w:val="none"/>
                <w:shd w:val="clear" w:color="auto" w:fill="FFFFFF"/>
                <w14:ligatures w14:val="none"/>
              </w:rPr>
              <w:t>电池模块组合方式</w:t>
            </w:r>
          </w:p>
        </w:tc>
        <w:tc>
          <w:tcPr>
            <w:tcW w:w="4718" w:type="dxa"/>
            <w:vAlign w:val="center"/>
          </w:tcPr>
          <w:p w14:paraId="1C808E3A">
            <w:pPr>
              <w:pageBreakBefore w:val="0"/>
              <w:widowControl/>
              <w:kinsoku/>
              <w:wordWrap/>
              <w:overflowPunct/>
              <w:autoSpaceDE/>
              <w:autoSpaceDN/>
              <w:bidi w:val="0"/>
              <w:adjustRightInd w:val="0"/>
              <w:snapToGrid w:val="0"/>
              <w:spacing w:line="360" w:lineRule="exact"/>
              <w:ind w:left="0" w:leftChars="0" w:firstLine="400" w:firstLineChars="200"/>
              <w:jc w:val="center"/>
              <w:rPr>
                <w:rFonts w:hint="eastAsia" w:ascii="仿宋" w:hAnsi="仿宋" w:eastAsia="仿宋" w:cs="仿宋"/>
                <w:color w:val="auto"/>
                <w:kern w:val="0"/>
                <w:sz w:val="20"/>
                <w:szCs w:val="20"/>
                <w:highlight w:val="none"/>
                <w:lang w:bidi="ar"/>
                <w14:ligatures w14:val="none"/>
              </w:rPr>
            </w:pPr>
            <w:r>
              <w:rPr>
                <w:rFonts w:hint="eastAsia" w:ascii="仿宋" w:hAnsi="仿宋" w:eastAsia="仿宋" w:cs="仿宋"/>
                <w:color w:val="auto"/>
                <w:kern w:val="0"/>
                <w:sz w:val="20"/>
                <w:szCs w:val="20"/>
                <w:highlight w:val="none"/>
                <w:lang w:bidi="ar"/>
                <w14:ligatures w14:val="none"/>
              </w:rPr>
              <w:t>1P24S</w:t>
            </w:r>
          </w:p>
        </w:tc>
      </w:tr>
      <w:tr w14:paraId="79BD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1E339FE3">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5A00DA15">
            <w:pPr>
              <w:pageBreakBefore w:val="0"/>
              <w:widowControl/>
              <w:kinsoku/>
              <w:wordWrap/>
              <w:overflowPunct/>
              <w:autoSpaceDE/>
              <w:autoSpaceDN/>
              <w:bidi w:val="0"/>
              <w:adjustRightInd w:val="0"/>
              <w:snapToGrid w:val="0"/>
              <w:spacing w:line="360" w:lineRule="exact"/>
              <w:ind w:left="199" w:leftChars="0" w:hanging="199" w:hangingChars="95"/>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额定电压</w:t>
            </w:r>
            <w:r>
              <w:rPr>
                <w:rFonts w:hint="eastAsia" w:ascii="仿宋" w:hAnsi="仿宋" w:eastAsia="仿宋" w:cs="仿宋"/>
                <w:color w:val="auto"/>
                <w:kern w:val="0"/>
                <w:szCs w:val="21"/>
                <w:highlight w:val="none"/>
                <w14:ligatures w14:val="none"/>
              </w:rPr>
              <w:t>（V）</w:t>
            </w:r>
          </w:p>
        </w:tc>
        <w:tc>
          <w:tcPr>
            <w:tcW w:w="4718" w:type="dxa"/>
            <w:vAlign w:val="center"/>
          </w:tcPr>
          <w:p w14:paraId="2B3A744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691.2</w:t>
            </w:r>
          </w:p>
        </w:tc>
      </w:tr>
      <w:tr w14:paraId="5E71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4E84AF48">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69FC67D">
            <w:pPr>
              <w:pageBreakBefore w:val="0"/>
              <w:widowControl/>
              <w:kinsoku/>
              <w:wordWrap/>
              <w:overflowPunct/>
              <w:autoSpaceDE/>
              <w:autoSpaceDN/>
              <w:bidi w:val="0"/>
              <w:adjustRightInd w:val="0"/>
              <w:snapToGrid w:val="0"/>
              <w:spacing w:line="360" w:lineRule="exact"/>
              <w:ind w:left="199" w:leftChars="0" w:hanging="199" w:hangingChars="95"/>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电池电压范围（</w:t>
            </w:r>
            <w:r>
              <w:rPr>
                <w:rFonts w:hint="eastAsia" w:ascii="仿宋" w:hAnsi="仿宋" w:eastAsia="仿宋" w:cs="仿宋"/>
                <w:color w:val="auto"/>
                <w:kern w:val="0"/>
                <w:sz w:val="20"/>
                <w:szCs w:val="20"/>
                <w:highlight w:val="none"/>
                <w:lang w:bidi="ar"/>
                <w14:ligatures w14:val="none"/>
              </w:rPr>
              <w:t>Vd.c.</w:t>
            </w:r>
            <w:r>
              <w:rPr>
                <w:rFonts w:hint="eastAsia" w:ascii="仿宋" w:hAnsi="仿宋" w:eastAsia="仿宋" w:cs="仿宋"/>
                <w:color w:val="auto"/>
                <w:kern w:val="0"/>
                <w:szCs w:val="21"/>
                <w:highlight w:val="none"/>
                <w14:ligatures w14:val="none"/>
              </w:rPr>
              <w:t>）</w:t>
            </w:r>
          </w:p>
        </w:tc>
        <w:tc>
          <w:tcPr>
            <w:tcW w:w="4718" w:type="dxa"/>
            <w:vAlign w:val="center"/>
          </w:tcPr>
          <w:p w14:paraId="2B614DA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615.6</w:t>
            </w:r>
            <w:r>
              <w:rPr>
                <w:rFonts w:hint="eastAsia" w:ascii="仿宋" w:hAnsi="仿宋" w:eastAsia="仿宋" w:cs="仿宋"/>
                <w:color w:val="auto"/>
                <w:kern w:val="0"/>
                <w:szCs w:val="21"/>
                <w:highlight w:val="none"/>
                <w:lang w:eastAsia="en-US"/>
                <w14:ligatures w14:val="none"/>
              </w:rPr>
              <w:t>~</w:t>
            </w:r>
            <w:r>
              <w:rPr>
                <w:rFonts w:hint="eastAsia" w:ascii="仿宋" w:hAnsi="仿宋" w:eastAsia="仿宋" w:cs="仿宋"/>
                <w:color w:val="auto"/>
                <w:kern w:val="0"/>
                <w:szCs w:val="21"/>
                <w:highlight w:val="none"/>
                <w14:ligatures w14:val="none"/>
              </w:rPr>
              <w:t>766.8</w:t>
            </w:r>
          </w:p>
        </w:tc>
      </w:tr>
      <w:tr w14:paraId="3D7F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60D827B7">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D3294CA">
            <w:pPr>
              <w:pageBreakBefore w:val="0"/>
              <w:widowControl/>
              <w:kinsoku/>
              <w:wordWrap/>
              <w:overflowPunct/>
              <w:autoSpaceDE/>
              <w:autoSpaceDN/>
              <w:bidi w:val="0"/>
              <w:adjustRightInd w:val="0"/>
              <w:snapToGrid w:val="0"/>
              <w:spacing w:line="360" w:lineRule="exact"/>
              <w:jc w:val="both"/>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电池系统能量（kWh）</w:t>
            </w:r>
          </w:p>
        </w:tc>
        <w:tc>
          <w:tcPr>
            <w:tcW w:w="4718" w:type="dxa"/>
            <w:vAlign w:val="center"/>
          </w:tcPr>
          <w:p w14:paraId="59AAA0B5">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100</w:t>
            </w:r>
          </w:p>
        </w:tc>
      </w:tr>
      <w:tr w14:paraId="7D3A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2A7CF592">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4C5D0FAD">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14:ligatures w14:val="none"/>
              </w:rPr>
            </w:pPr>
            <w:r>
              <w:rPr>
                <w:rFonts w:hint="eastAsia" w:ascii="仿宋" w:hAnsi="仿宋" w:eastAsia="仿宋" w:cs="仿宋"/>
                <w:color w:val="auto"/>
                <w:kern w:val="0"/>
                <w:szCs w:val="21"/>
                <w:highlight w:val="none"/>
                <w:lang w:eastAsia="en-US"/>
                <w14:ligatures w14:val="none"/>
              </w:rPr>
              <w:t>额定电流</w:t>
            </w:r>
            <w:r>
              <w:rPr>
                <w:rFonts w:hint="eastAsia" w:ascii="仿宋" w:hAnsi="仿宋" w:eastAsia="仿宋" w:cs="仿宋"/>
                <w:color w:val="auto"/>
                <w:kern w:val="0"/>
                <w:szCs w:val="21"/>
                <w:highlight w:val="none"/>
                <w14:ligatures w14:val="none"/>
              </w:rPr>
              <w:t>（A）</w:t>
            </w:r>
          </w:p>
        </w:tc>
        <w:tc>
          <w:tcPr>
            <w:tcW w:w="4718" w:type="dxa"/>
            <w:vAlign w:val="center"/>
          </w:tcPr>
          <w:p w14:paraId="4C6ADB82">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75</w:t>
            </w:r>
          </w:p>
        </w:tc>
      </w:tr>
      <w:tr w14:paraId="69FE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3DF18645">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1A5E8D5">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最大电流</w:t>
            </w:r>
            <w:r>
              <w:rPr>
                <w:rFonts w:hint="eastAsia" w:ascii="仿宋" w:hAnsi="仿宋" w:eastAsia="仿宋" w:cs="仿宋"/>
                <w:color w:val="auto"/>
                <w:kern w:val="0"/>
                <w:szCs w:val="21"/>
                <w:highlight w:val="none"/>
                <w14:ligatures w14:val="none"/>
              </w:rPr>
              <w:t>（A）</w:t>
            </w:r>
          </w:p>
        </w:tc>
        <w:tc>
          <w:tcPr>
            <w:tcW w:w="4718" w:type="dxa"/>
            <w:vAlign w:val="center"/>
          </w:tcPr>
          <w:p w14:paraId="0E9460F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150</w:t>
            </w:r>
          </w:p>
        </w:tc>
      </w:tr>
      <w:tr w14:paraId="6DEA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614247B3">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3511D2DD">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充放电倍率</w:t>
            </w:r>
          </w:p>
        </w:tc>
        <w:tc>
          <w:tcPr>
            <w:tcW w:w="4718" w:type="dxa"/>
            <w:vAlign w:val="center"/>
          </w:tcPr>
          <w:p w14:paraId="025D28F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0.5</w:t>
            </w:r>
            <w:r>
              <w:rPr>
                <w:rFonts w:hint="eastAsia" w:ascii="仿宋" w:hAnsi="仿宋" w:eastAsia="仿宋" w:cs="仿宋"/>
                <w:color w:val="auto"/>
                <w:kern w:val="0"/>
                <w:szCs w:val="21"/>
                <w:highlight w:val="none"/>
                <w14:ligatures w14:val="none"/>
              </w:rPr>
              <w:t>C</w:t>
            </w:r>
          </w:p>
        </w:tc>
      </w:tr>
      <w:tr w14:paraId="0A7E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7479B03B">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63015CA7">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冷却方式</w:t>
            </w:r>
          </w:p>
        </w:tc>
        <w:tc>
          <w:tcPr>
            <w:tcW w:w="4718" w:type="dxa"/>
            <w:vAlign w:val="center"/>
          </w:tcPr>
          <w:p w14:paraId="181121B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风冷</w:t>
            </w:r>
          </w:p>
        </w:tc>
      </w:tr>
      <w:tr w14:paraId="1C98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restart"/>
            <w:vAlign w:val="center"/>
          </w:tcPr>
          <w:p w14:paraId="12E7771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交流参数（并网）</w:t>
            </w:r>
          </w:p>
        </w:tc>
        <w:tc>
          <w:tcPr>
            <w:tcW w:w="2400" w:type="dxa"/>
            <w:vAlign w:val="center"/>
          </w:tcPr>
          <w:p w14:paraId="6A0AC0E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 xml:space="preserve">额定电压  </w:t>
            </w:r>
          </w:p>
        </w:tc>
        <w:tc>
          <w:tcPr>
            <w:tcW w:w="4718" w:type="dxa"/>
            <w:vAlign w:val="center"/>
          </w:tcPr>
          <w:p w14:paraId="6338DD4B">
            <w:pPr>
              <w:pageBreakBefore w:val="0"/>
              <w:widowControl/>
              <w:kinsoku/>
              <w:wordWrap/>
              <w:overflowPunct/>
              <w:bidi w:val="0"/>
              <w:snapToGrid w:val="0"/>
              <w:spacing w:line="360" w:lineRule="exact"/>
              <w:ind w:left="0" w:leftChars="0" w:firstLine="40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 w:val="20"/>
                <w:szCs w:val="20"/>
                <w:highlight w:val="none"/>
                <w:lang w:bidi="ar"/>
                <w14:ligatures w14:val="none"/>
              </w:rPr>
              <w:t>AC 230/400V</w:t>
            </w:r>
          </w:p>
        </w:tc>
      </w:tr>
      <w:tr w14:paraId="022F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5962A68B">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4B3A7428">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接线方</w:t>
            </w:r>
            <w:r>
              <w:rPr>
                <w:rFonts w:hint="eastAsia" w:ascii="仿宋" w:hAnsi="仿宋" w:eastAsia="仿宋" w:cs="仿宋"/>
                <w:color w:val="auto"/>
                <w:kern w:val="0"/>
                <w:szCs w:val="21"/>
                <w:highlight w:val="none"/>
                <w:shd w:val="clear" w:color="auto" w:fill="FFFFFF"/>
                <w14:ligatures w14:val="none"/>
              </w:rPr>
              <w:t xml:space="preserve">式         </w:t>
            </w:r>
            <w:r>
              <w:rPr>
                <w:rFonts w:hint="eastAsia" w:ascii="仿宋" w:hAnsi="仿宋" w:eastAsia="仿宋" w:cs="仿宋"/>
                <w:color w:val="auto"/>
                <w:kern w:val="0"/>
                <w:szCs w:val="21"/>
                <w:highlight w:val="none"/>
                <w14:ligatures w14:val="none"/>
              </w:rPr>
              <w:t xml:space="preserve"> </w:t>
            </w:r>
          </w:p>
        </w:tc>
        <w:tc>
          <w:tcPr>
            <w:tcW w:w="4718" w:type="dxa"/>
            <w:vAlign w:val="center"/>
          </w:tcPr>
          <w:p w14:paraId="2F660013">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14:ligatures w14:val="none"/>
              </w:rPr>
              <w:t>3P4L</w:t>
            </w:r>
          </w:p>
        </w:tc>
      </w:tr>
      <w:tr w14:paraId="680A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4B96F685">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7E93C6A2">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额定功</w:t>
            </w:r>
            <w:r>
              <w:rPr>
                <w:rFonts w:hint="eastAsia" w:ascii="仿宋" w:hAnsi="仿宋" w:eastAsia="仿宋" w:cs="仿宋"/>
                <w:color w:val="auto"/>
                <w:kern w:val="0"/>
                <w:szCs w:val="21"/>
                <w:highlight w:val="none"/>
                <w:shd w:val="clear" w:color="auto" w:fill="FFFFFF"/>
                <w14:ligatures w14:val="none"/>
              </w:rPr>
              <w:t>率（</w:t>
            </w:r>
            <w:r>
              <w:rPr>
                <w:rFonts w:hint="eastAsia" w:ascii="仿宋" w:hAnsi="仿宋" w:eastAsia="仿宋" w:cs="仿宋"/>
                <w:color w:val="auto"/>
                <w:kern w:val="0"/>
                <w:szCs w:val="21"/>
                <w:highlight w:val="none"/>
                <w14:ligatures w14:val="none"/>
              </w:rPr>
              <w:t>KW</w:t>
            </w:r>
            <w:r>
              <w:rPr>
                <w:rFonts w:hint="eastAsia" w:ascii="仿宋" w:hAnsi="仿宋" w:eastAsia="仿宋" w:cs="仿宋"/>
                <w:color w:val="auto"/>
                <w:kern w:val="0"/>
                <w:szCs w:val="21"/>
                <w:highlight w:val="none"/>
                <w:shd w:val="clear" w:color="auto" w:fill="FFFFFF"/>
                <w14:ligatures w14:val="none"/>
              </w:rPr>
              <w:t xml:space="preserve">）        </w:t>
            </w:r>
            <w:r>
              <w:rPr>
                <w:rFonts w:hint="eastAsia" w:ascii="仿宋" w:hAnsi="仿宋" w:eastAsia="仿宋" w:cs="仿宋"/>
                <w:color w:val="auto"/>
                <w:kern w:val="0"/>
                <w:szCs w:val="21"/>
                <w:highlight w:val="none"/>
                <w14:ligatures w14:val="none"/>
              </w:rPr>
              <w:t xml:space="preserve"> </w:t>
            </w:r>
          </w:p>
        </w:tc>
        <w:tc>
          <w:tcPr>
            <w:tcW w:w="4718" w:type="dxa"/>
            <w:vAlign w:val="center"/>
          </w:tcPr>
          <w:p w14:paraId="317952A5">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14:ligatures w14:val="none"/>
              </w:rPr>
            </w:pPr>
            <w:r>
              <w:rPr>
                <w:rFonts w:hint="eastAsia" w:ascii="仿宋" w:hAnsi="仿宋" w:eastAsia="仿宋" w:cs="仿宋"/>
                <w:color w:val="auto"/>
                <w:kern w:val="0"/>
                <w:szCs w:val="21"/>
                <w:highlight w:val="none"/>
                <w14:ligatures w14:val="none"/>
              </w:rPr>
              <w:t>50</w:t>
            </w:r>
          </w:p>
        </w:tc>
      </w:tr>
      <w:tr w14:paraId="491F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27E9817F">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23B8678A">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最大</w:t>
            </w:r>
            <w:r>
              <w:rPr>
                <w:rFonts w:hint="eastAsia" w:ascii="仿宋" w:hAnsi="仿宋" w:eastAsia="仿宋" w:cs="仿宋"/>
                <w:color w:val="auto"/>
                <w:kern w:val="0"/>
                <w:szCs w:val="21"/>
                <w:highlight w:val="none"/>
                <w14:ligatures w14:val="none"/>
              </w:rPr>
              <w:t>功率</w:t>
            </w:r>
          </w:p>
        </w:tc>
        <w:tc>
          <w:tcPr>
            <w:tcW w:w="4718" w:type="dxa"/>
            <w:vAlign w:val="center"/>
          </w:tcPr>
          <w:p w14:paraId="0A15860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14:ligatures w14:val="none"/>
              </w:rPr>
              <w:t>55</w:t>
            </w:r>
          </w:p>
        </w:tc>
      </w:tr>
      <w:tr w14:paraId="0AFE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6182A20A">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3C76530A">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shd w:val="clear" w:color="auto" w:fill="FFFFFF"/>
                <w14:ligatures w14:val="none"/>
              </w:rPr>
              <w:t>功率因素</w:t>
            </w:r>
          </w:p>
        </w:tc>
        <w:tc>
          <w:tcPr>
            <w:tcW w:w="4718" w:type="dxa"/>
            <w:vAlign w:val="center"/>
          </w:tcPr>
          <w:p w14:paraId="6A0C80A7">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14:ligatures w14:val="none"/>
              </w:rPr>
              <w:t>0.99</w:t>
            </w:r>
          </w:p>
        </w:tc>
      </w:tr>
      <w:tr w14:paraId="5D1C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0C92D949">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6A6E4646">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功率因素调节范围</w:t>
            </w:r>
            <w:r>
              <w:rPr>
                <w:rFonts w:hint="eastAsia" w:ascii="仿宋" w:hAnsi="仿宋" w:eastAsia="仿宋" w:cs="仿宋"/>
                <w:color w:val="auto"/>
                <w:kern w:val="0"/>
                <w:szCs w:val="21"/>
                <w:highlight w:val="none"/>
                <w:shd w:val="clear" w:color="auto" w:fill="FFFFFF"/>
                <w14:ligatures w14:val="none"/>
              </w:rPr>
              <w:t xml:space="preserve">    </w:t>
            </w:r>
          </w:p>
        </w:tc>
        <w:tc>
          <w:tcPr>
            <w:tcW w:w="4718" w:type="dxa"/>
            <w:vAlign w:val="center"/>
          </w:tcPr>
          <w:p w14:paraId="76A9635A">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14:ligatures w14:val="none"/>
              </w:rPr>
              <w:t>1（超前）~1（滞后）</w:t>
            </w:r>
          </w:p>
        </w:tc>
      </w:tr>
      <w:tr w14:paraId="624B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17BAF78C">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1D46ADAE">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电</w:t>
            </w:r>
            <w:r>
              <w:rPr>
                <w:rFonts w:hint="eastAsia" w:ascii="仿宋" w:hAnsi="仿宋" w:eastAsia="仿宋" w:cs="仿宋"/>
                <w:color w:val="auto"/>
                <w:kern w:val="0"/>
                <w:szCs w:val="21"/>
                <w:highlight w:val="none"/>
                <w:shd w:val="clear" w:color="auto" w:fill="FFFFFF"/>
                <w14:ligatures w14:val="none"/>
              </w:rPr>
              <w:t xml:space="preserve">流畸变率 </w:t>
            </w:r>
            <w:r>
              <w:rPr>
                <w:rFonts w:hint="eastAsia" w:ascii="仿宋" w:hAnsi="仿宋" w:eastAsia="仿宋" w:cs="仿宋"/>
                <w:color w:val="auto"/>
                <w:kern w:val="0"/>
                <w:szCs w:val="21"/>
                <w:highlight w:val="none"/>
                <w14:ligatures w14:val="none"/>
              </w:rPr>
              <w:t xml:space="preserve"> </w:t>
            </w:r>
          </w:p>
        </w:tc>
        <w:tc>
          <w:tcPr>
            <w:tcW w:w="4718" w:type="dxa"/>
            <w:vAlign w:val="center"/>
          </w:tcPr>
          <w:p w14:paraId="1DF8985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＜2%（额定功率）</w:t>
            </w:r>
          </w:p>
        </w:tc>
      </w:tr>
      <w:tr w14:paraId="6836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1A773E18">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1CAC70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超载能</w:t>
            </w:r>
            <w:r>
              <w:rPr>
                <w:rFonts w:hint="eastAsia" w:ascii="仿宋" w:hAnsi="仿宋" w:eastAsia="仿宋" w:cs="仿宋"/>
                <w:color w:val="auto"/>
                <w:kern w:val="0"/>
                <w:szCs w:val="21"/>
                <w:highlight w:val="none"/>
                <w:shd w:val="clear" w:color="auto" w:fill="FFFFFF"/>
                <w14:ligatures w14:val="none"/>
              </w:rPr>
              <w:t xml:space="preserve">力         </w:t>
            </w:r>
            <w:r>
              <w:rPr>
                <w:rFonts w:hint="eastAsia" w:ascii="仿宋" w:hAnsi="仿宋" w:eastAsia="仿宋" w:cs="仿宋"/>
                <w:color w:val="auto"/>
                <w:kern w:val="0"/>
                <w:szCs w:val="21"/>
                <w:highlight w:val="none"/>
                <w14:ligatures w14:val="none"/>
              </w:rPr>
              <w:t xml:space="preserve"> </w:t>
            </w:r>
          </w:p>
        </w:tc>
        <w:tc>
          <w:tcPr>
            <w:tcW w:w="4718" w:type="dxa"/>
            <w:vAlign w:val="center"/>
          </w:tcPr>
          <w:p w14:paraId="51C5C7E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110%长期</w:t>
            </w:r>
          </w:p>
        </w:tc>
      </w:tr>
      <w:tr w14:paraId="4FF0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restart"/>
            <w:vAlign w:val="center"/>
          </w:tcPr>
          <w:p w14:paraId="36D2EA0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交流参数（离网）</w:t>
            </w:r>
          </w:p>
        </w:tc>
        <w:tc>
          <w:tcPr>
            <w:tcW w:w="2400" w:type="dxa"/>
            <w:vAlign w:val="center"/>
          </w:tcPr>
          <w:p w14:paraId="2A855D76">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额定输出</w:t>
            </w:r>
            <w:r>
              <w:rPr>
                <w:rFonts w:hint="eastAsia" w:ascii="仿宋" w:hAnsi="仿宋" w:eastAsia="仿宋" w:cs="仿宋"/>
                <w:color w:val="auto"/>
                <w:kern w:val="0"/>
                <w:szCs w:val="21"/>
                <w:highlight w:val="none"/>
                <w14:ligatures w14:val="none"/>
              </w:rPr>
              <w:t>电压（</w:t>
            </w:r>
            <w:r>
              <w:rPr>
                <w:rFonts w:hint="eastAsia" w:ascii="仿宋" w:hAnsi="仿宋" w:eastAsia="仿宋" w:cs="仿宋"/>
                <w:color w:val="auto"/>
                <w:kern w:val="0"/>
                <w:szCs w:val="21"/>
                <w:highlight w:val="none"/>
                <w:lang w:eastAsia="en-US"/>
                <w14:ligatures w14:val="none"/>
              </w:rPr>
              <w:t>V</w:t>
            </w:r>
            <w:r>
              <w:rPr>
                <w:rFonts w:hint="eastAsia" w:ascii="仿宋" w:hAnsi="仿宋" w:eastAsia="仿宋" w:cs="仿宋"/>
                <w:color w:val="auto"/>
                <w:kern w:val="0"/>
                <w:szCs w:val="21"/>
                <w:highlight w:val="none"/>
                <w14:ligatures w14:val="none"/>
              </w:rPr>
              <w:t>）</w:t>
            </w:r>
          </w:p>
        </w:tc>
        <w:tc>
          <w:tcPr>
            <w:tcW w:w="4718" w:type="dxa"/>
            <w:vAlign w:val="center"/>
          </w:tcPr>
          <w:p w14:paraId="578B07BC">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230/400</w:t>
            </w:r>
          </w:p>
        </w:tc>
      </w:tr>
      <w:tr w14:paraId="4DBF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0298264A">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75D7F46E">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交流电压谐波</w:t>
            </w:r>
          </w:p>
        </w:tc>
        <w:tc>
          <w:tcPr>
            <w:tcW w:w="4718" w:type="dxa"/>
            <w:vAlign w:val="center"/>
          </w:tcPr>
          <w:p w14:paraId="29DA5955">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14:ligatures w14:val="none"/>
              </w:rPr>
              <w:t>＜3%（额定功率）</w:t>
            </w:r>
          </w:p>
        </w:tc>
      </w:tr>
      <w:tr w14:paraId="7DA9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76D4A6B3">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376A3057">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频</w:t>
            </w:r>
            <w:r>
              <w:rPr>
                <w:rFonts w:hint="eastAsia" w:ascii="仿宋" w:hAnsi="仿宋" w:eastAsia="仿宋" w:cs="仿宋"/>
                <w:color w:val="auto"/>
                <w:kern w:val="0"/>
                <w:szCs w:val="21"/>
                <w:highlight w:val="none"/>
                <w:shd w:val="clear" w:color="auto" w:fill="FFFFFF"/>
                <w14:ligatures w14:val="none"/>
              </w:rPr>
              <w:t>率 （</w:t>
            </w:r>
            <w:r>
              <w:rPr>
                <w:rFonts w:hint="eastAsia" w:ascii="仿宋" w:hAnsi="仿宋" w:eastAsia="仿宋" w:cs="仿宋"/>
                <w:color w:val="auto"/>
                <w:kern w:val="0"/>
                <w:szCs w:val="21"/>
                <w:highlight w:val="none"/>
                <w14:ligatures w14:val="none"/>
              </w:rPr>
              <w:t>Hz</w:t>
            </w:r>
            <w:r>
              <w:rPr>
                <w:rFonts w:hint="eastAsia" w:ascii="仿宋" w:hAnsi="仿宋" w:eastAsia="仿宋" w:cs="仿宋"/>
                <w:color w:val="auto"/>
                <w:kern w:val="0"/>
                <w:szCs w:val="21"/>
                <w:highlight w:val="none"/>
                <w:shd w:val="clear" w:color="auto" w:fill="FFFFFF"/>
                <w14:ligatures w14:val="none"/>
              </w:rPr>
              <w:t xml:space="preserve">） </w:t>
            </w:r>
            <w:r>
              <w:rPr>
                <w:rFonts w:hint="eastAsia" w:ascii="仿宋" w:hAnsi="仿宋" w:eastAsia="仿宋" w:cs="仿宋"/>
                <w:color w:val="auto"/>
                <w:kern w:val="0"/>
                <w:szCs w:val="21"/>
                <w:highlight w:val="none"/>
                <w14:ligatures w14:val="none"/>
              </w:rPr>
              <w:t xml:space="preserve"> </w:t>
            </w:r>
          </w:p>
        </w:tc>
        <w:tc>
          <w:tcPr>
            <w:tcW w:w="4718" w:type="dxa"/>
            <w:vAlign w:val="center"/>
          </w:tcPr>
          <w:p w14:paraId="12C80CDD">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14:ligatures w14:val="none"/>
              </w:rPr>
              <w:t>50/60</w:t>
            </w:r>
          </w:p>
        </w:tc>
      </w:tr>
      <w:tr w14:paraId="48D7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3AAC7B5E">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BE93A07">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交流输出功率（KW）</w:t>
            </w:r>
          </w:p>
        </w:tc>
        <w:tc>
          <w:tcPr>
            <w:tcW w:w="4718" w:type="dxa"/>
            <w:vAlign w:val="center"/>
          </w:tcPr>
          <w:p w14:paraId="107CB963">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50</w:t>
            </w:r>
          </w:p>
        </w:tc>
      </w:tr>
      <w:tr w14:paraId="1FC1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restart"/>
            <w:vAlign w:val="center"/>
          </w:tcPr>
          <w:p w14:paraId="5FDC1683">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系统参数</w:t>
            </w:r>
          </w:p>
        </w:tc>
        <w:tc>
          <w:tcPr>
            <w:tcW w:w="2400" w:type="dxa"/>
            <w:vAlign w:val="center"/>
          </w:tcPr>
          <w:p w14:paraId="09ADE432">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系统平均功耗</w:t>
            </w:r>
            <w:r>
              <w:rPr>
                <w:rFonts w:hint="eastAsia" w:ascii="仿宋" w:hAnsi="仿宋" w:eastAsia="仿宋" w:cs="仿宋"/>
                <w:color w:val="auto"/>
                <w:kern w:val="0"/>
                <w:szCs w:val="21"/>
                <w:highlight w:val="none"/>
                <w14:ligatures w14:val="none"/>
              </w:rPr>
              <w:t>（</w:t>
            </w:r>
            <w:r>
              <w:rPr>
                <w:rFonts w:hint="eastAsia" w:ascii="仿宋" w:hAnsi="仿宋" w:eastAsia="仿宋" w:cs="仿宋"/>
                <w:color w:val="auto"/>
                <w:kern w:val="0"/>
                <w:szCs w:val="21"/>
                <w:highlight w:val="none"/>
                <w:lang w:eastAsia="en-US"/>
                <w14:ligatures w14:val="none"/>
              </w:rPr>
              <w:t>W</w:t>
            </w:r>
            <w:r>
              <w:rPr>
                <w:rFonts w:hint="eastAsia" w:ascii="仿宋" w:hAnsi="仿宋" w:eastAsia="仿宋" w:cs="仿宋"/>
                <w:color w:val="auto"/>
                <w:kern w:val="0"/>
                <w:szCs w:val="21"/>
                <w:highlight w:val="none"/>
                <w14:ligatures w14:val="none"/>
              </w:rPr>
              <w:t>）</w:t>
            </w:r>
          </w:p>
        </w:tc>
        <w:tc>
          <w:tcPr>
            <w:tcW w:w="4718" w:type="dxa"/>
            <w:vAlign w:val="center"/>
          </w:tcPr>
          <w:p w14:paraId="11FD8F4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≈700</w:t>
            </w:r>
          </w:p>
        </w:tc>
      </w:tr>
      <w:tr w14:paraId="4498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3ABBB079">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1973C483">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系统效率</w:t>
            </w:r>
          </w:p>
        </w:tc>
        <w:tc>
          <w:tcPr>
            <w:tcW w:w="4718" w:type="dxa"/>
            <w:vAlign w:val="center"/>
          </w:tcPr>
          <w:p w14:paraId="0F239A6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≥8</w:t>
            </w:r>
            <w:r>
              <w:rPr>
                <w:rFonts w:hint="eastAsia" w:ascii="仿宋" w:hAnsi="仿宋" w:eastAsia="仿宋" w:cs="仿宋"/>
                <w:color w:val="auto"/>
                <w:kern w:val="0"/>
                <w:szCs w:val="21"/>
                <w:highlight w:val="none"/>
                <w14:ligatures w14:val="none"/>
              </w:rPr>
              <w:t>8</w:t>
            </w:r>
            <w:r>
              <w:rPr>
                <w:rFonts w:hint="eastAsia" w:ascii="仿宋" w:hAnsi="仿宋" w:eastAsia="仿宋" w:cs="仿宋"/>
                <w:color w:val="auto"/>
                <w:kern w:val="0"/>
                <w:szCs w:val="21"/>
                <w:highlight w:val="none"/>
                <w:lang w:eastAsia="en-US"/>
                <w14:ligatures w14:val="none"/>
              </w:rPr>
              <w:t>%</w:t>
            </w:r>
          </w:p>
        </w:tc>
      </w:tr>
      <w:tr w14:paraId="4FBEA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10E80857">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2110F589">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循环次数</w:t>
            </w:r>
            <w:r>
              <w:rPr>
                <w:rFonts w:hint="eastAsia" w:ascii="仿宋" w:hAnsi="仿宋" w:eastAsia="仿宋" w:cs="仿宋"/>
                <w:color w:val="auto"/>
                <w:kern w:val="0"/>
                <w:szCs w:val="21"/>
                <w:highlight w:val="none"/>
                <w14:ligatures w14:val="none"/>
              </w:rPr>
              <w:t>（</w:t>
            </w:r>
            <w:r>
              <w:rPr>
                <w:rFonts w:hint="eastAsia" w:ascii="仿宋" w:hAnsi="仿宋" w:eastAsia="仿宋" w:cs="仿宋"/>
                <w:color w:val="auto"/>
                <w:kern w:val="0"/>
                <w:szCs w:val="21"/>
                <w:highlight w:val="none"/>
                <w:lang w:eastAsia="en-US"/>
                <w14:ligatures w14:val="none"/>
              </w:rPr>
              <w:t>次</w:t>
            </w:r>
            <w:r>
              <w:rPr>
                <w:rFonts w:hint="eastAsia" w:ascii="仿宋" w:hAnsi="仿宋" w:eastAsia="仿宋" w:cs="仿宋"/>
                <w:color w:val="auto"/>
                <w:kern w:val="0"/>
                <w:szCs w:val="21"/>
                <w:highlight w:val="none"/>
                <w14:ligatures w14:val="none"/>
              </w:rPr>
              <w:t>）</w:t>
            </w:r>
          </w:p>
        </w:tc>
        <w:tc>
          <w:tcPr>
            <w:tcW w:w="4718" w:type="dxa"/>
            <w:vAlign w:val="center"/>
          </w:tcPr>
          <w:p w14:paraId="12047A2B">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6</w:t>
            </w:r>
            <w:r>
              <w:rPr>
                <w:rFonts w:hint="eastAsia" w:ascii="仿宋" w:hAnsi="仿宋" w:eastAsia="仿宋" w:cs="仿宋"/>
                <w:color w:val="auto"/>
                <w:kern w:val="0"/>
                <w:szCs w:val="21"/>
                <w:highlight w:val="none"/>
                <w:lang w:eastAsia="en-US"/>
                <w14:ligatures w14:val="none"/>
              </w:rPr>
              <w:t>000</w:t>
            </w:r>
            <w:r>
              <w:rPr>
                <w:rFonts w:hint="eastAsia" w:ascii="仿宋" w:hAnsi="仿宋" w:eastAsia="仿宋" w:cs="仿宋"/>
                <w:color w:val="auto"/>
                <w:kern w:val="0"/>
                <w:szCs w:val="21"/>
                <w:highlight w:val="none"/>
                <w14:ligatures w14:val="none"/>
              </w:rPr>
              <w:t>次   25℃±2℃ 0.5P  90％DOC   EOL70％</w:t>
            </w:r>
          </w:p>
        </w:tc>
      </w:tr>
      <w:tr w14:paraId="3163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3141BAD5">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43FA4ECD">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通讯接口</w:t>
            </w:r>
          </w:p>
        </w:tc>
        <w:tc>
          <w:tcPr>
            <w:tcW w:w="4718" w:type="dxa"/>
            <w:vAlign w:val="center"/>
          </w:tcPr>
          <w:p w14:paraId="3F4F7B52">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LAN/485</w:t>
            </w:r>
          </w:p>
        </w:tc>
      </w:tr>
      <w:tr w14:paraId="4B4C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6302593F">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54C20041">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IP等级</w:t>
            </w:r>
          </w:p>
        </w:tc>
        <w:tc>
          <w:tcPr>
            <w:tcW w:w="4718" w:type="dxa"/>
            <w:vAlign w:val="center"/>
          </w:tcPr>
          <w:p w14:paraId="2E664BBA">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IP54</w:t>
            </w:r>
          </w:p>
        </w:tc>
      </w:tr>
      <w:tr w14:paraId="7210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66917AC2">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3C593576">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工作温度</w:t>
            </w:r>
            <w:r>
              <w:rPr>
                <w:rFonts w:hint="eastAsia" w:ascii="仿宋" w:hAnsi="仿宋" w:eastAsia="仿宋" w:cs="仿宋"/>
                <w:color w:val="auto"/>
                <w:kern w:val="0"/>
                <w:szCs w:val="21"/>
                <w:highlight w:val="none"/>
                <w14:ligatures w14:val="none"/>
              </w:rPr>
              <w:t>（</w:t>
            </w:r>
            <w:r>
              <w:rPr>
                <w:rFonts w:hint="eastAsia" w:ascii="仿宋" w:hAnsi="仿宋" w:eastAsia="仿宋" w:cs="仿宋"/>
                <w:color w:val="auto"/>
                <w:kern w:val="0"/>
                <w:szCs w:val="21"/>
                <w:highlight w:val="none"/>
                <w:lang w:eastAsia="en-US"/>
                <w14:ligatures w14:val="none"/>
              </w:rPr>
              <w:t>℃</w:t>
            </w:r>
            <w:r>
              <w:rPr>
                <w:rFonts w:hint="eastAsia" w:ascii="仿宋" w:hAnsi="仿宋" w:eastAsia="仿宋" w:cs="仿宋"/>
                <w:color w:val="auto"/>
                <w:kern w:val="0"/>
                <w:szCs w:val="21"/>
                <w:highlight w:val="none"/>
                <w14:ligatures w14:val="none"/>
              </w:rPr>
              <w:t>）</w:t>
            </w:r>
          </w:p>
        </w:tc>
        <w:tc>
          <w:tcPr>
            <w:tcW w:w="4718" w:type="dxa"/>
            <w:vAlign w:val="center"/>
          </w:tcPr>
          <w:p w14:paraId="6EF7B4E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-20~+55</w:t>
            </w:r>
          </w:p>
        </w:tc>
      </w:tr>
      <w:tr w14:paraId="73F7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56B26617">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2A656CB7">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噪音</w:t>
            </w:r>
            <w:r>
              <w:rPr>
                <w:rFonts w:hint="eastAsia" w:ascii="仿宋" w:hAnsi="仿宋" w:eastAsia="仿宋" w:cs="仿宋"/>
                <w:color w:val="auto"/>
                <w:kern w:val="0"/>
                <w:szCs w:val="21"/>
                <w:highlight w:val="none"/>
                <w14:ligatures w14:val="none"/>
              </w:rPr>
              <w:t>（</w:t>
            </w:r>
            <w:r>
              <w:rPr>
                <w:rFonts w:hint="eastAsia" w:ascii="仿宋" w:hAnsi="仿宋" w:eastAsia="仿宋" w:cs="仿宋"/>
                <w:color w:val="auto"/>
                <w:kern w:val="0"/>
                <w:szCs w:val="21"/>
                <w:highlight w:val="none"/>
                <w:lang w:eastAsia="en-US"/>
                <w14:ligatures w14:val="none"/>
              </w:rPr>
              <w:t>dB</w:t>
            </w:r>
            <w:r>
              <w:rPr>
                <w:rFonts w:hint="eastAsia" w:ascii="仿宋" w:hAnsi="仿宋" w:eastAsia="仿宋" w:cs="仿宋"/>
                <w:color w:val="auto"/>
                <w:kern w:val="0"/>
                <w:szCs w:val="21"/>
                <w:highlight w:val="none"/>
                <w14:ligatures w14:val="none"/>
              </w:rPr>
              <w:t>）</w:t>
            </w:r>
          </w:p>
        </w:tc>
        <w:tc>
          <w:tcPr>
            <w:tcW w:w="4718" w:type="dxa"/>
            <w:vAlign w:val="center"/>
          </w:tcPr>
          <w:p w14:paraId="04A349B6">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w:t>
            </w:r>
            <w:r>
              <w:rPr>
                <w:rFonts w:hint="eastAsia" w:ascii="仿宋" w:hAnsi="仿宋" w:eastAsia="仿宋" w:cs="仿宋"/>
                <w:color w:val="auto"/>
                <w:kern w:val="0"/>
                <w:szCs w:val="21"/>
                <w:highlight w:val="none"/>
                <w14:ligatures w14:val="none"/>
              </w:rPr>
              <w:t>80  1.5米测试距离</w:t>
            </w:r>
          </w:p>
        </w:tc>
      </w:tr>
      <w:tr w14:paraId="5AEE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0D4F0454">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2CDD3449">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尺寸（宽*深*高）</w:t>
            </w:r>
          </w:p>
        </w:tc>
        <w:tc>
          <w:tcPr>
            <w:tcW w:w="4718" w:type="dxa"/>
            <w:vAlign w:val="center"/>
          </w:tcPr>
          <w:p w14:paraId="6F230E0A">
            <w:pPr>
              <w:pageBreakBefore w:val="0"/>
              <w:widowControl/>
              <w:kinsoku/>
              <w:wordWrap/>
              <w:overflowPunct/>
              <w:autoSpaceDE/>
              <w:autoSpaceDN/>
              <w:bidi w:val="0"/>
              <w:adjustRightInd w:val="0"/>
              <w:snapToGrid w:val="0"/>
              <w:spacing w:line="360" w:lineRule="exact"/>
              <w:ind w:left="0" w:leftChars="0" w:firstLine="396"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spacing w:val="-6"/>
                <w:kern w:val="0"/>
                <w:szCs w:val="21"/>
                <w:highlight w:val="none"/>
                <w:lang w:eastAsia="en-US"/>
                <w14:ligatures w14:val="none"/>
              </w:rPr>
              <w:t>1</w:t>
            </w:r>
            <w:r>
              <w:rPr>
                <w:rFonts w:hint="eastAsia" w:ascii="仿宋" w:hAnsi="仿宋" w:eastAsia="仿宋" w:cs="仿宋"/>
                <w:color w:val="auto"/>
                <w:spacing w:val="-6"/>
                <w:kern w:val="0"/>
                <w:szCs w:val="21"/>
                <w:highlight w:val="none"/>
                <w14:ligatures w14:val="none"/>
              </w:rPr>
              <w:t>20</w:t>
            </w:r>
            <w:r>
              <w:rPr>
                <w:rFonts w:hint="eastAsia" w:ascii="仿宋" w:hAnsi="仿宋" w:eastAsia="仿宋" w:cs="仿宋"/>
                <w:color w:val="auto"/>
                <w:spacing w:val="-6"/>
                <w:kern w:val="0"/>
                <w:szCs w:val="21"/>
                <w:highlight w:val="none"/>
                <w:lang w:eastAsia="en-US"/>
                <w14:ligatures w14:val="none"/>
              </w:rPr>
              <w:t>0*1</w:t>
            </w:r>
            <w:r>
              <w:rPr>
                <w:rFonts w:hint="eastAsia" w:ascii="仿宋" w:hAnsi="仿宋" w:eastAsia="仿宋" w:cs="仿宋"/>
                <w:color w:val="auto"/>
                <w:spacing w:val="-6"/>
                <w:kern w:val="0"/>
                <w:szCs w:val="21"/>
                <w:highlight w:val="none"/>
                <w14:ligatures w14:val="none"/>
              </w:rPr>
              <w:t>553.2</w:t>
            </w:r>
            <w:r>
              <w:rPr>
                <w:rFonts w:hint="eastAsia" w:ascii="仿宋" w:hAnsi="仿宋" w:eastAsia="仿宋" w:cs="仿宋"/>
                <w:color w:val="auto"/>
                <w:spacing w:val="-2"/>
                <w:kern w:val="0"/>
                <w:szCs w:val="21"/>
                <w:highlight w:val="none"/>
                <w:lang w:eastAsia="en-US"/>
                <w14:ligatures w14:val="none"/>
              </w:rPr>
              <w:t>*2</w:t>
            </w:r>
            <w:r>
              <w:rPr>
                <w:rFonts w:hint="eastAsia" w:ascii="仿宋" w:hAnsi="仿宋" w:eastAsia="仿宋" w:cs="仿宋"/>
                <w:color w:val="auto"/>
                <w:spacing w:val="-2"/>
                <w:kern w:val="0"/>
                <w:szCs w:val="21"/>
                <w:highlight w:val="none"/>
                <w14:ligatures w14:val="none"/>
              </w:rPr>
              <w:t>003.3（带空调）</w:t>
            </w:r>
          </w:p>
        </w:tc>
      </w:tr>
      <w:tr w14:paraId="2AB2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5879C759">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352AE8DF">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重量（</w:t>
            </w:r>
            <w:r>
              <w:rPr>
                <w:rFonts w:hint="eastAsia" w:ascii="仿宋" w:hAnsi="仿宋" w:eastAsia="仿宋" w:cs="仿宋"/>
                <w:color w:val="auto"/>
                <w:kern w:val="0"/>
                <w:szCs w:val="21"/>
                <w:highlight w:val="none"/>
                <w14:ligatures w14:val="none"/>
              </w:rPr>
              <w:t>kg</w:t>
            </w:r>
            <w:r>
              <w:rPr>
                <w:rFonts w:hint="eastAsia" w:ascii="仿宋" w:hAnsi="仿宋" w:eastAsia="仿宋" w:cs="仿宋"/>
                <w:color w:val="auto"/>
                <w:kern w:val="0"/>
                <w:szCs w:val="21"/>
                <w:highlight w:val="none"/>
                <w:lang w:eastAsia="en-US"/>
                <w14:ligatures w14:val="none"/>
              </w:rPr>
              <w:t>）</w:t>
            </w:r>
          </w:p>
        </w:tc>
        <w:tc>
          <w:tcPr>
            <w:tcW w:w="4718" w:type="dxa"/>
            <w:vAlign w:val="center"/>
          </w:tcPr>
          <w:p w14:paraId="265CCF2D">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1480±25kg</w:t>
            </w:r>
          </w:p>
        </w:tc>
      </w:tr>
      <w:tr w14:paraId="05F6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51E84E30">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4302770F">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电表</w:t>
            </w:r>
          </w:p>
        </w:tc>
        <w:tc>
          <w:tcPr>
            <w:tcW w:w="4718" w:type="dxa"/>
            <w:vAlign w:val="center"/>
          </w:tcPr>
          <w:p w14:paraId="56472023">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计量等级0.5S</w:t>
            </w:r>
          </w:p>
        </w:tc>
      </w:tr>
      <w:tr w14:paraId="5A47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restart"/>
            <w:vAlign w:val="center"/>
          </w:tcPr>
          <w:p w14:paraId="4FAFBA9E">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保护</w:t>
            </w:r>
          </w:p>
        </w:tc>
        <w:tc>
          <w:tcPr>
            <w:tcW w:w="2400" w:type="dxa"/>
            <w:vAlign w:val="center"/>
          </w:tcPr>
          <w:p w14:paraId="1CC61E87">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直流输入</w:t>
            </w:r>
          </w:p>
        </w:tc>
        <w:tc>
          <w:tcPr>
            <w:tcW w:w="4718" w:type="dxa"/>
            <w:vAlign w:val="center"/>
          </w:tcPr>
          <w:p w14:paraId="5DFED820">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lang w:eastAsia="en-US"/>
                <w14:ligatures w14:val="none"/>
              </w:rPr>
              <w:t>断路器+Fuse</w:t>
            </w:r>
          </w:p>
        </w:tc>
      </w:tr>
      <w:tr w14:paraId="5236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79CDADAD">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516D24C6">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交流输入</w:t>
            </w:r>
          </w:p>
        </w:tc>
        <w:tc>
          <w:tcPr>
            <w:tcW w:w="4718" w:type="dxa"/>
            <w:vAlign w:val="center"/>
          </w:tcPr>
          <w:p w14:paraId="2158C437">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断路器</w:t>
            </w:r>
          </w:p>
        </w:tc>
      </w:tr>
      <w:tr w14:paraId="5FF0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7EAF8F18">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65D11722">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过压保护</w:t>
            </w:r>
          </w:p>
        </w:tc>
        <w:tc>
          <w:tcPr>
            <w:tcW w:w="4718" w:type="dxa"/>
            <w:vAlign w:val="center"/>
          </w:tcPr>
          <w:p w14:paraId="5591BE08">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DC Type Ⅱ/AC Type Ⅱ</w:t>
            </w:r>
          </w:p>
        </w:tc>
      </w:tr>
      <w:tr w14:paraId="4DDC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09892748">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60E8AF81">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消防系统</w:t>
            </w:r>
          </w:p>
        </w:tc>
        <w:tc>
          <w:tcPr>
            <w:tcW w:w="4718" w:type="dxa"/>
            <w:vAlign w:val="center"/>
          </w:tcPr>
          <w:p w14:paraId="76FFC43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气溶胶</w:t>
            </w:r>
          </w:p>
        </w:tc>
      </w:tr>
      <w:tr w14:paraId="5A23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Align w:val="center"/>
          </w:tcPr>
          <w:p w14:paraId="6449B9E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进线方式</w:t>
            </w:r>
          </w:p>
        </w:tc>
        <w:tc>
          <w:tcPr>
            <w:tcW w:w="4718" w:type="dxa"/>
            <w:gridSpan w:val="2"/>
            <w:vAlign w:val="center"/>
          </w:tcPr>
          <w:p w14:paraId="2B90BAD2">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lang w:eastAsia="en-US"/>
                <w14:ligatures w14:val="none"/>
              </w:rPr>
            </w:pPr>
            <w:r>
              <w:rPr>
                <w:rFonts w:hint="eastAsia" w:ascii="仿宋" w:hAnsi="仿宋" w:eastAsia="仿宋" w:cs="仿宋"/>
                <w:color w:val="auto"/>
                <w:kern w:val="0"/>
                <w:szCs w:val="21"/>
                <w:highlight w:val="none"/>
                <w:lang w:eastAsia="en-US"/>
                <w14:ligatures w14:val="none"/>
              </w:rPr>
              <w:t>底部进线</w:t>
            </w:r>
          </w:p>
        </w:tc>
      </w:tr>
      <w:tr w14:paraId="2DD5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restart"/>
            <w:vAlign w:val="center"/>
          </w:tcPr>
          <w:p w14:paraId="0E5F3D96">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环境要求</w:t>
            </w:r>
          </w:p>
        </w:tc>
        <w:tc>
          <w:tcPr>
            <w:tcW w:w="2400" w:type="dxa"/>
            <w:vAlign w:val="center"/>
          </w:tcPr>
          <w:p w14:paraId="54C76784">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允许环境温度</w:t>
            </w:r>
            <w:r>
              <w:rPr>
                <w:rFonts w:hint="eastAsia" w:ascii="仿宋" w:hAnsi="仿宋" w:eastAsia="仿宋" w:cs="仿宋"/>
                <w:color w:val="auto"/>
                <w:kern w:val="0"/>
                <w:szCs w:val="21"/>
                <w:highlight w:val="none"/>
                <w14:ligatures w14:val="none"/>
              </w:rPr>
              <w:t>（</w:t>
            </w:r>
            <w:r>
              <w:rPr>
                <w:rFonts w:hint="eastAsia" w:ascii="仿宋" w:hAnsi="仿宋" w:eastAsia="仿宋" w:cs="仿宋"/>
                <w:color w:val="auto"/>
                <w:kern w:val="0"/>
                <w:szCs w:val="21"/>
                <w:highlight w:val="none"/>
                <w:lang w:eastAsia="en-US"/>
                <w14:ligatures w14:val="none"/>
              </w:rPr>
              <w:t>℃</w:t>
            </w:r>
            <w:r>
              <w:rPr>
                <w:rFonts w:hint="eastAsia" w:ascii="仿宋" w:hAnsi="仿宋" w:eastAsia="仿宋" w:cs="仿宋"/>
                <w:color w:val="auto"/>
                <w:kern w:val="0"/>
                <w:szCs w:val="21"/>
                <w:highlight w:val="none"/>
                <w14:ligatures w14:val="none"/>
              </w:rPr>
              <w:t>）</w:t>
            </w:r>
          </w:p>
        </w:tc>
        <w:tc>
          <w:tcPr>
            <w:tcW w:w="4718" w:type="dxa"/>
            <w:vAlign w:val="center"/>
          </w:tcPr>
          <w:p w14:paraId="6D92F348">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lang w:eastAsia="en-US"/>
                <w14:ligatures w14:val="none"/>
              </w:rPr>
              <w:t>-20~</w:t>
            </w:r>
            <w:r>
              <w:rPr>
                <w:rFonts w:hint="eastAsia" w:ascii="仿宋" w:hAnsi="仿宋" w:eastAsia="仿宋" w:cs="仿宋"/>
                <w:color w:val="auto"/>
                <w:kern w:val="0"/>
                <w:szCs w:val="21"/>
                <w:highlight w:val="none"/>
                <w14:ligatures w14:val="none"/>
              </w:rPr>
              <w:t>55</w:t>
            </w:r>
          </w:p>
        </w:tc>
      </w:tr>
      <w:tr w14:paraId="637D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44F54366">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3F4B1FF9">
            <w:pPr>
              <w:pageBreakBefore w:val="0"/>
              <w:widowControl/>
              <w:kinsoku/>
              <w:wordWrap/>
              <w:overflowPunct/>
              <w:bidi w:val="0"/>
              <w:snapToGrid w:val="0"/>
              <w:spacing w:line="360" w:lineRule="exact"/>
              <w:jc w:val="both"/>
              <w:textAlignment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允许环境湿度（%RH）</w:t>
            </w:r>
          </w:p>
        </w:tc>
        <w:tc>
          <w:tcPr>
            <w:tcW w:w="4718" w:type="dxa"/>
            <w:vAlign w:val="center"/>
          </w:tcPr>
          <w:p w14:paraId="5738C5A9">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14:ligatures w14:val="none"/>
              </w:rPr>
            </w:pPr>
            <w:r>
              <w:rPr>
                <w:rFonts w:hint="eastAsia" w:ascii="仿宋" w:hAnsi="仿宋" w:eastAsia="仿宋" w:cs="仿宋"/>
                <w:color w:val="auto"/>
                <w:kern w:val="0"/>
                <w:szCs w:val="21"/>
                <w:highlight w:val="none"/>
                <w14:ligatures w14:val="none"/>
              </w:rPr>
              <w:t>5</w:t>
            </w:r>
            <w:r>
              <w:rPr>
                <w:rFonts w:hint="eastAsia" w:ascii="仿宋" w:hAnsi="仿宋" w:eastAsia="仿宋" w:cs="仿宋"/>
                <w:color w:val="auto"/>
                <w:kern w:val="0"/>
                <w:szCs w:val="21"/>
                <w:highlight w:val="none"/>
                <w:lang w:eastAsia="en-US"/>
                <w14:ligatures w14:val="none"/>
              </w:rPr>
              <w:t>~</w:t>
            </w:r>
            <w:r>
              <w:rPr>
                <w:rFonts w:hint="eastAsia" w:ascii="仿宋" w:hAnsi="仿宋" w:eastAsia="仿宋" w:cs="仿宋"/>
                <w:color w:val="auto"/>
                <w:kern w:val="0"/>
                <w:szCs w:val="21"/>
                <w:highlight w:val="none"/>
                <w14:ligatures w14:val="none"/>
              </w:rPr>
              <w:t>95</w:t>
            </w:r>
          </w:p>
        </w:tc>
      </w:tr>
      <w:tr w14:paraId="26F9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306641AC">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75B1B229">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工作海拔</w:t>
            </w:r>
            <w:r>
              <w:rPr>
                <w:rFonts w:hint="eastAsia" w:ascii="仿宋" w:hAnsi="仿宋" w:eastAsia="仿宋" w:cs="仿宋"/>
                <w:color w:val="auto"/>
                <w:kern w:val="0"/>
                <w:szCs w:val="21"/>
                <w:highlight w:val="none"/>
                <w14:ligatures w14:val="none"/>
              </w:rPr>
              <w:t>（米）</w:t>
            </w:r>
          </w:p>
        </w:tc>
        <w:tc>
          <w:tcPr>
            <w:tcW w:w="4718" w:type="dxa"/>
            <w:vAlign w:val="center"/>
          </w:tcPr>
          <w:p w14:paraId="34E12222">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14:ligatures w14:val="none"/>
              </w:rPr>
              <w:t>＜</w:t>
            </w:r>
            <w:r>
              <w:rPr>
                <w:rFonts w:hint="eastAsia" w:ascii="仿宋" w:hAnsi="仿宋" w:eastAsia="仿宋" w:cs="仿宋"/>
                <w:color w:val="auto"/>
                <w:kern w:val="0"/>
                <w:sz w:val="24"/>
                <w:highlight w:val="none"/>
                <w:lang w:eastAsia="en-US"/>
                <w14:ligatures w14:val="none"/>
              </w:rPr>
              <w:t>2000</w:t>
            </w:r>
          </w:p>
        </w:tc>
      </w:tr>
      <w:tr w14:paraId="29AC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31C39D63">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0CE9ED2C">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防护等级</w:t>
            </w:r>
          </w:p>
        </w:tc>
        <w:tc>
          <w:tcPr>
            <w:tcW w:w="4718" w:type="dxa"/>
            <w:vAlign w:val="center"/>
          </w:tcPr>
          <w:p w14:paraId="6D65C5C1">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IP54</w:t>
            </w:r>
          </w:p>
        </w:tc>
      </w:tr>
      <w:tr w14:paraId="4619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5" w:type="dxa"/>
            <w:vMerge w:val="continue"/>
          </w:tcPr>
          <w:p w14:paraId="1D50226D">
            <w:pPr>
              <w:pageBreakBefore w:val="0"/>
              <w:widowControl/>
              <w:kinsoku/>
              <w:wordWrap/>
              <w:overflowPunct/>
              <w:bidi w:val="0"/>
              <w:snapToGrid w:val="0"/>
              <w:spacing w:line="360" w:lineRule="exact"/>
              <w:ind w:left="0" w:leftChars="0" w:firstLine="420" w:firstLineChars="200"/>
              <w:jc w:val="left"/>
              <w:rPr>
                <w:rFonts w:hint="eastAsia" w:ascii="仿宋" w:hAnsi="仿宋" w:eastAsia="仿宋" w:cs="仿宋"/>
                <w:color w:val="auto"/>
                <w:kern w:val="0"/>
                <w:szCs w:val="21"/>
                <w:highlight w:val="none"/>
                <w:lang w:eastAsia="en-US"/>
                <w14:ligatures w14:val="none"/>
              </w:rPr>
            </w:pPr>
          </w:p>
        </w:tc>
        <w:tc>
          <w:tcPr>
            <w:tcW w:w="2400" w:type="dxa"/>
            <w:vAlign w:val="center"/>
          </w:tcPr>
          <w:p w14:paraId="44C4B320">
            <w:pPr>
              <w:pageBreakBefore w:val="0"/>
              <w:widowControl/>
              <w:kinsoku/>
              <w:wordWrap/>
              <w:overflowPunct/>
              <w:bidi w:val="0"/>
              <w:snapToGrid w:val="0"/>
              <w:spacing w:line="360" w:lineRule="exact"/>
              <w:ind w:left="0" w:leftChars="0" w:firstLine="420" w:firstLineChars="200"/>
              <w:jc w:val="center"/>
              <w:textAlignment w:val="center"/>
              <w:rPr>
                <w:rFonts w:hint="eastAsia" w:ascii="仿宋" w:hAnsi="仿宋" w:eastAsia="仿宋" w:cs="仿宋"/>
                <w:color w:val="auto"/>
                <w:kern w:val="0"/>
                <w:szCs w:val="21"/>
                <w:highlight w:val="none"/>
                <w:lang w:eastAsia="en-US"/>
                <w14:ligatures w14:val="none"/>
              </w:rPr>
            </w:pPr>
            <w:r>
              <w:rPr>
                <w:rFonts w:hint="eastAsia" w:ascii="仿宋" w:hAnsi="仿宋" w:eastAsia="仿宋" w:cs="仿宋"/>
                <w:color w:val="auto"/>
                <w:kern w:val="0"/>
                <w:szCs w:val="21"/>
                <w:highlight w:val="none"/>
                <w:lang w:eastAsia="en-US"/>
                <w14:ligatures w14:val="none"/>
              </w:rPr>
              <w:t>冷却方式</w:t>
            </w:r>
          </w:p>
        </w:tc>
        <w:tc>
          <w:tcPr>
            <w:tcW w:w="4718" w:type="dxa"/>
            <w:vAlign w:val="center"/>
          </w:tcPr>
          <w:p w14:paraId="20B72B44">
            <w:pPr>
              <w:pageBreakBefore w:val="0"/>
              <w:widowControl/>
              <w:kinsoku/>
              <w:wordWrap/>
              <w:overflowPunct/>
              <w:autoSpaceDE/>
              <w:autoSpaceDN/>
              <w:bidi w:val="0"/>
              <w:adjustRightInd w:val="0"/>
              <w:snapToGrid w:val="0"/>
              <w:spacing w:line="360" w:lineRule="exact"/>
              <w:ind w:left="0" w:leftChars="0" w:firstLine="420" w:firstLineChars="200"/>
              <w:jc w:val="center"/>
              <w:rPr>
                <w:rFonts w:hint="eastAsia" w:ascii="仿宋" w:hAnsi="仿宋" w:eastAsia="仿宋" w:cs="仿宋"/>
                <w:color w:val="auto"/>
                <w:kern w:val="0"/>
                <w:szCs w:val="21"/>
                <w:highlight w:val="none"/>
                <w:shd w:val="clear" w:color="auto" w:fill="FFFFFF"/>
                <w14:ligatures w14:val="none"/>
              </w:rPr>
            </w:pPr>
            <w:r>
              <w:rPr>
                <w:rFonts w:hint="eastAsia" w:ascii="仿宋" w:hAnsi="仿宋" w:eastAsia="仿宋" w:cs="仿宋"/>
                <w:color w:val="auto"/>
                <w:kern w:val="0"/>
                <w:szCs w:val="21"/>
                <w:highlight w:val="none"/>
                <w:lang w:eastAsia="en-US"/>
                <w14:ligatures w14:val="none"/>
              </w:rPr>
              <w:t>智能</w:t>
            </w:r>
            <w:r>
              <w:rPr>
                <w:rFonts w:hint="eastAsia" w:ascii="仿宋" w:hAnsi="仿宋" w:eastAsia="仿宋" w:cs="仿宋"/>
                <w:color w:val="auto"/>
                <w:kern w:val="0"/>
                <w:szCs w:val="21"/>
                <w:highlight w:val="none"/>
                <w14:ligatures w14:val="none"/>
              </w:rPr>
              <w:t>风冷</w:t>
            </w:r>
          </w:p>
        </w:tc>
      </w:tr>
    </w:tbl>
    <w:p w14:paraId="74D6BE91">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150</w:t>
      </w:r>
      <w:r>
        <w:rPr>
          <w:rFonts w:hint="eastAsia" w:ascii="仿宋" w:hAnsi="仿宋" w:eastAsia="仿宋" w:cs="仿宋"/>
          <w:b/>
          <w:bCs/>
          <w:color w:val="auto"/>
          <w:kern w:val="0"/>
          <w:szCs w:val="21"/>
          <w:highlight w:val="none"/>
          <w:shd w:val="clear" w:color="auto" w:fill="FFFFFF"/>
          <w14:ligatures w14:val="none"/>
        </w:rPr>
        <w:t>kWh</w:t>
      </w:r>
      <w:r>
        <w:rPr>
          <w:rFonts w:hint="eastAsia" w:ascii="仿宋" w:hAnsi="仿宋" w:eastAsia="仿宋" w:cs="仿宋"/>
          <w:color w:val="auto"/>
          <w:highlight w:val="none"/>
        </w:rPr>
        <w:t>电池技术</w:t>
      </w:r>
      <w:r>
        <w:rPr>
          <w:rFonts w:hint="eastAsia" w:ascii="仿宋" w:hAnsi="仿宋" w:eastAsia="仿宋" w:cs="仿宋"/>
          <w:color w:val="auto"/>
          <w:highlight w:val="none"/>
          <w:lang w:val="en-US" w:eastAsia="zh-CN"/>
        </w:rPr>
        <w:t>要求</w:t>
      </w:r>
    </w:p>
    <w:p w14:paraId="1B444166">
      <w:pPr>
        <w:pageBreakBefore w:val="0"/>
        <w:kinsoku/>
        <w:wordWrap/>
        <w:overflowPunct/>
        <w:bidi w:val="0"/>
        <w:spacing w:line="360" w:lineRule="exact"/>
        <w:ind w:left="0" w:leftChars="0" w:firstLine="420" w:firstLineChars="20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锂离子蓄电池技术参数</w:t>
      </w:r>
    </w:p>
    <w:tbl>
      <w:tblPr>
        <w:tblStyle w:val="6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2"/>
        <w:gridCol w:w="846"/>
        <w:gridCol w:w="3257"/>
        <w:gridCol w:w="2717"/>
        <w:gridCol w:w="1591"/>
      </w:tblGrid>
      <w:tr w14:paraId="21582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419" w:type="pct"/>
            <w:vAlign w:val="center"/>
          </w:tcPr>
          <w:p w14:paraId="745895C2">
            <w:pPr>
              <w:pageBreakBefore w:val="0"/>
              <w:kinsoku/>
              <w:wordWrap/>
              <w:overflowPunct/>
              <w:bidi w:val="0"/>
              <w:adjustRightInd w:val="0"/>
              <w:snapToGrid w:val="0"/>
              <w:spacing w:line="360" w:lineRule="exact"/>
              <w:ind w:left="0" w:leftChars="0" w:firstLine="0" w:firstLineChars="0"/>
              <w:jc w:val="both"/>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序号</w:t>
            </w:r>
          </w:p>
        </w:tc>
        <w:tc>
          <w:tcPr>
            <w:tcW w:w="2225" w:type="pct"/>
            <w:gridSpan w:val="2"/>
            <w:vAlign w:val="center"/>
          </w:tcPr>
          <w:p w14:paraId="40B78BA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名称</w:t>
            </w:r>
          </w:p>
        </w:tc>
        <w:tc>
          <w:tcPr>
            <w:tcW w:w="1485" w:type="pct"/>
            <w:vAlign w:val="center"/>
          </w:tcPr>
          <w:p w14:paraId="0D8CBFD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技术参数</w:t>
            </w:r>
          </w:p>
        </w:tc>
        <w:tc>
          <w:tcPr>
            <w:tcW w:w="871" w:type="pct"/>
            <w:vAlign w:val="center"/>
          </w:tcPr>
          <w:p w14:paraId="1EE9914C">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备注</w:t>
            </w:r>
          </w:p>
        </w:tc>
      </w:tr>
      <w:tr w14:paraId="073A5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419" w:type="pct"/>
            <w:vMerge w:val="restart"/>
            <w:vAlign w:val="center"/>
          </w:tcPr>
          <w:p w14:paraId="188F2E06">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w:t>
            </w:r>
          </w:p>
          <w:p w14:paraId="1B67096A">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color w:val="auto"/>
                <w:highlight w:val="none"/>
              </w:rPr>
            </w:pPr>
          </w:p>
          <w:p w14:paraId="4865C0A2">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color w:val="auto"/>
                <w:highlight w:val="none"/>
              </w:rPr>
            </w:pPr>
          </w:p>
          <w:p w14:paraId="02469191">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restart"/>
            <w:vAlign w:val="center"/>
          </w:tcPr>
          <w:p w14:paraId="1D54669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单</w:t>
            </w:r>
          </w:p>
          <w:p w14:paraId="5D29B049">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体</w:t>
            </w:r>
          </w:p>
          <w:p w14:paraId="6C614D2A">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电</w:t>
            </w:r>
          </w:p>
          <w:p w14:paraId="7343950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池</w:t>
            </w:r>
          </w:p>
          <w:p w14:paraId="22DFED7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参</w:t>
            </w:r>
          </w:p>
          <w:p w14:paraId="1A537295">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数</w:t>
            </w:r>
          </w:p>
        </w:tc>
        <w:tc>
          <w:tcPr>
            <w:tcW w:w="1779" w:type="pct"/>
            <w:vAlign w:val="center"/>
          </w:tcPr>
          <w:p w14:paraId="2ED4A5BB">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电芯类型</w:t>
            </w:r>
          </w:p>
        </w:tc>
        <w:tc>
          <w:tcPr>
            <w:tcW w:w="1485" w:type="pct"/>
            <w:vAlign w:val="center"/>
          </w:tcPr>
          <w:p w14:paraId="5FD370EC">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磷酸铁锂</w:t>
            </w:r>
          </w:p>
        </w:tc>
        <w:tc>
          <w:tcPr>
            <w:tcW w:w="871" w:type="pct"/>
            <w:vAlign w:val="center"/>
          </w:tcPr>
          <w:p w14:paraId="09CAE6F7">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5649A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1DF9591C">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1812B66C">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0A539C8A">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标称容量（Ah）</w:t>
            </w:r>
          </w:p>
        </w:tc>
        <w:tc>
          <w:tcPr>
            <w:tcW w:w="1485" w:type="pct"/>
            <w:vAlign w:val="center"/>
          </w:tcPr>
          <w:p w14:paraId="1BE6FB10">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96</w:t>
            </w:r>
          </w:p>
        </w:tc>
        <w:tc>
          <w:tcPr>
            <w:tcW w:w="871" w:type="pct"/>
            <w:vAlign w:val="center"/>
          </w:tcPr>
          <w:p w14:paraId="6BFA1216">
            <w:pPr>
              <w:pageBreakBefore w:val="0"/>
              <w:kinsoku/>
              <w:wordWrap/>
              <w:overflowPunct/>
              <w:bidi w:val="0"/>
              <w:adjustRightInd w:val="0"/>
              <w:snapToGrid w:val="0"/>
              <w:spacing w:line="360" w:lineRule="exact"/>
              <w:ind w:left="0" w:leftChars="0" w:firstLine="0" w:firstLineChars="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实际≥96Ah</w:t>
            </w:r>
          </w:p>
        </w:tc>
      </w:tr>
      <w:tr w14:paraId="6FAFB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4DCCB6EA">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30694139">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0E3F3D66">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标称电压（V）</w:t>
            </w:r>
          </w:p>
        </w:tc>
        <w:tc>
          <w:tcPr>
            <w:tcW w:w="1485" w:type="pct"/>
            <w:vAlign w:val="center"/>
          </w:tcPr>
          <w:p w14:paraId="39ED2309">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3.2</w:t>
            </w:r>
          </w:p>
        </w:tc>
        <w:tc>
          <w:tcPr>
            <w:tcW w:w="871" w:type="pct"/>
            <w:vAlign w:val="center"/>
          </w:tcPr>
          <w:p w14:paraId="3509C19B">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2D83D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1F38000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3021825E">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199FFB6E">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重量(g)</w:t>
            </w:r>
          </w:p>
        </w:tc>
        <w:tc>
          <w:tcPr>
            <w:tcW w:w="1485" w:type="pct"/>
            <w:vAlign w:val="center"/>
          </w:tcPr>
          <w:p w14:paraId="660AB540">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2060±50</w:t>
            </w:r>
          </w:p>
        </w:tc>
        <w:tc>
          <w:tcPr>
            <w:tcW w:w="871" w:type="pct"/>
            <w:vAlign w:val="center"/>
          </w:tcPr>
          <w:p w14:paraId="76BD4490">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645C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4504CF5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744675EA">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4522B33C">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最大持续充电电流</w:t>
            </w:r>
          </w:p>
        </w:tc>
        <w:tc>
          <w:tcPr>
            <w:tcW w:w="1485" w:type="pct"/>
            <w:vAlign w:val="center"/>
          </w:tcPr>
          <w:p w14:paraId="4563FB6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0.5C</w:t>
            </w:r>
          </w:p>
        </w:tc>
        <w:tc>
          <w:tcPr>
            <w:tcW w:w="871" w:type="pct"/>
            <w:vAlign w:val="center"/>
          </w:tcPr>
          <w:p w14:paraId="3A31E061">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04958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46A43A71">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716B81A2">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2BA41996">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最大持续放电电流</w:t>
            </w:r>
          </w:p>
        </w:tc>
        <w:tc>
          <w:tcPr>
            <w:tcW w:w="1485" w:type="pct"/>
            <w:vAlign w:val="center"/>
          </w:tcPr>
          <w:p w14:paraId="48B7C027">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0.5C</w:t>
            </w:r>
          </w:p>
        </w:tc>
        <w:tc>
          <w:tcPr>
            <w:tcW w:w="871" w:type="pct"/>
            <w:vAlign w:val="center"/>
          </w:tcPr>
          <w:p w14:paraId="2B088AA4">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71F05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restart"/>
            <w:vAlign w:val="center"/>
          </w:tcPr>
          <w:p w14:paraId="2A96196C">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2</w:t>
            </w:r>
          </w:p>
        </w:tc>
        <w:tc>
          <w:tcPr>
            <w:tcW w:w="446" w:type="pct"/>
            <w:vMerge w:val="restart"/>
            <w:vAlign w:val="center"/>
          </w:tcPr>
          <w:p w14:paraId="30B7EA0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电</w:t>
            </w:r>
          </w:p>
          <w:p w14:paraId="5C0B8B5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池</w:t>
            </w:r>
          </w:p>
          <w:p w14:paraId="24EACA27">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插</w:t>
            </w:r>
          </w:p>
          <w:p w14:paraId="0C09FF73">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箱</w:t>
            </w:r>
          </w:p>
        </w:tc>
        <w:tc>
          <w:tcPr>
            <w:tcW w:w="1779" w:type="pct"/>
            <w:vAlign w:val="center"/>
          </w:tcPr>
          <w:p w14:paraId="79D10FD3">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串并联方式</w:t>
            </w:r>
          </w:p>
        </w:tc>
        <w:tc>
          <w:tcPr>
            <w:tcW w:w="1485" w:type="pct"/>
            <w:vAlign w:val="center"/>
          </w:tcPr>
          <w:p w14:paraId="459B901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2P20S</w:t>
            </w:r>
          </w:p>
        </w:tc>
        <w:tc>
          <w:tcPr>
            <w:tcW w:w="871" w:type="pct"/>
            <w:vAlign w:val="center"/>
          </w:tcPr>
          <w:p w14:paraId="4AA5A7A9">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7BA1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62BDBA5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13465ACE">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1795F629">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标称容量（Ah）</w:t>
            </w:r>
          </w:p>
        </w:tc>
        <w:tc>
          <w:tcPr>
            <w:tcW w:w="1485" w:type="pct"/>
            <w:vAlign w:val="center"/>
          </w:tcPr>
          <w:p w14:paraId="508DAC39">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192</w:t>
            </w:r>
          </w:p>
        </w:tc>
        <w:tc>
          <w:tcPr>
            <w:tcW w:w="871" w:type="pct"/>
            <w:vAlign w:val="center"/>
          </w:tcPr>
          <w:p w14:paraId="2B76DD0A">
            <w:pPr>
              <w:pageBreakBefore w:val="0"/>
              <w:kinsoku/>
              <w:wordWrap/>
              <w:overflowPunct/>
              <w:bidi w:val="0"/>
              <w:adjustRightInd w:val="0"/>
              <w:snapToGrid w:val="0"/>
              <w:spacing w:line="360" w:lineRule="exact"/>
              <w:ind w:left="0" w:leftChars="0" w:firstLine="0" w:firstLineChars="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实际≥192Ah</w:t>
            </w:r>
          </w:p>
        </w:tc>
      </w:tr>
      <w:tr w14:paraId="42D4A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7B5C0C0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3CE617F0">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30AA5F04">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标称电压（V）</w:t>
            </w:r>
          </w:p>
        </w:tc>
        <w:tc>
          <w:tcPr>
            <w:tcW w:w="1485" w:type="pct"/>
            <w:vAlign w:val="center"/>
          </w:tcPr>
          <w:p w14:paraId="47D50B06">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64</w:t>
            </w:r>
          </w:p>
        </w:tc>
        <w:tc>
          <w:tcPr>
            <w:tcW w:w="871" w:type="pct"/>
            <w:vAlign w:val="center"/>
          </w:tcPr>
          <w:p w14:paraId="78C90D8F">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4DAA0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0728E78E">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723EE9DC">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2C2F6E26">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标称能量(kWh)</w:t>
            </w:r>
          </w:p>
        </w:tc>
        <w:tc>
          <w:tcPr>
            <w:tcW w:w="1485" w:type="pct"/>
            <w:vAlign w:val="center"/>
          </w:tcPr>
          <w:p w14:paraId="42352F34">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12.288</w:t>
            </w:r>
          </w:p>
        </w:tc>
        <w:tc>
          <w:tcPr>
            <w:tcW w:w="871" w:type="pct"/>
            <w:vAlign w:val="center"/>
          </w:tcPr>
          <w:p w14:paraId="7196ABC5">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3AD3C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419" w:type="pct"/>
            <w:vMerge w:val="continue"/>
            <w:vAlign w:val="center"/>
          </w:tcPr>
          <w:p w14:paraId="29771D3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3940390E">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513BC500">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尺寸：长×宽×高(mm)</w:t>
            </w:r>
          </w:p>
        </w:tc>
        <w:tc>
          <w:tcPr>
            <w:tcW w:w="1485" w:type="pct"/>
            <w:vAlign w:val="center"/>
          </w:tcPr>
          <w:p w14:paraId="50F5CD18">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395×750×235 mm</w:t>
            </w:r>
          </w:p>
        </w:tc>
        <w:tc>
          <w:tcPr>
            <w:tcW w:w="871" w:type="pct"/>
            <w:vAlign w:val="center"/>
          </w:tcPr>
          <w:p w14:paraId="4D7540C9">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05484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7153D6B0">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0083F7D8">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6D9D96E4">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重量（kg）</w:t>
            </w:r>
          </w:p>
        </w:tc>
        <w:tc>
          <w:tcPr>
            <w:tcW w:w="1485" w:type="pct"/>
            <w:vAlign w:val="center"/>
          </w:tcPr>
          <w:p w14:paraId="147958F0">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105kg</w:t>
            </w:r>
          </w:p>
        </w:tc>
        <w:tc>
          <w:tcPr>
            <w:tcW w:w="871" w:type="pct"/>
            <w:vAlign w:val="center"/>
          </w:tcPr>
          <w:p w14:paraId="43A70519">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18BAC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restart"/>
            <w:vAlign w:val="center"/>
          </w:tcPr>
          <w:p w14:paraId="2937F207">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3</w:t>
            </w:r>
          </w:p>
        </w:tc>
        <w:tc>
          <w:tcPr>
            <w:tcW w:w="446" w:type="pct"/>
            <w:vMerge w:val="restart"/>
            <w:vAlign w:val="center"/>
          </w:tcPr>
          <w:p w14:paraId="1FDFF691">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电</w:t>
            </w:r>
          </w:p>
          <w:p w14:paraId="1202BA8E">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池</w:t>
            </w:r>
          </w:p>
          <w:p w14:paraId="098FE28E">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簇</w:t>
            </w:r>
          </w:p>
        </w:tc>
        <w:tc>
          <w:tcPr>
            <w:tcW w:w="1779" w:type="pct"/>
            <w:vAlign w:val="center"/>
          </w:tcPr>
          <w:p w14:paraId="52A99627">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标称容量（Ah）</w:t>
            </w:r>
          </w:p>
        </w:tc>
        <w:tc>
          <w:tcPr>
            <w:tcW w:w="1485" w:type="pct"/>
            <w:vAlign w:val="center"/>
          </w:tcPr>
          <w:p w14:paraId="1EC6C79F">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192</w:t>
            </w:r>
          </w:p>
        </w:tc>
        <w:tc>
          <w:tcPr>
            <w:tcW w:w="871" w:type="pct"/>
            <w:vAlign w:val="center"/>
          </w:tcPr>
          <w:p w14:paraId="501E10DF">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75FCD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1C6ADC5E">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6BAC42B4">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1779" w:type="pct"/>
            <w:vAlign w:val="center"/>
          </w:tcPr>
          <w:p w14:paraId="7F9CDE83">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标称电压（V）</w:t>
            </w:r>
          </w:p>
        </w:tc>
        <w:tc>
          <w:tcPr>
            <w:tcW w:w="1485" w:type="pct"/>
            <w:vAlign w:val="center"/>
          </w:tcPr>
          <w:p w14:paraId="1EF78D5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768</w:t>
            </w:r>
          </w:p>
        </w:tc>
        <w:tc>
          <w:tcPr>
            <w:tcW w:w="871" w:type="pct"/>
            <w:vAlign w:val="center"/>
          </w:tcPr>
          <w:p w14:paraId="7928B181">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1B199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062B9C21">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5EFDDC49">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1779" w:type="pct"/>
            <w:vAlign w:val="center"/>
          </w:tcPr>
          <w:p w14:paraId="55E81FDD">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标称能量(kWh)</w:t>
            </w:r>
          </w:p>
        </w:tc>
        <w:tc>
          <w:tcPr>
            <w:tcW w:w="1485" w:type="pct"/>
            <w:vAlign w:val="center"/>
          </w:tcPr>
          <w:p w14:paraId="3A65681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147</w:t>
            </w:r>
          </w:p>
        </w:tc>
        <w:tc>
          <w:tcPr>
            <w:tcW w:w="871" w:type="pct"/>
            <w:vAlign w:val="center"/>
          </w:tcPr>
          <w:p w14:paraId="4B64DE1D">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2432C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773F26D4">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1B96DFF0">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65404F1E">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标准充放电倍率</w:t>
            </w:r>
          </w:p>
        </w:tc>
        <w:tc>
          <w:tcPr>
            <w:tcW w:w="1485" w:type="pct"/>
            <w:vAlign w:val="center"/>
          </w:tcPr>
          <w:p w14:paraId="2399295D">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0.5</w:t>
            </w:r>
          </w:p>
        </w:tc>
        <w:tc>
          <w:tcPr>
            <w:tcW w:w="871" w:type="pct"/>
            <w:vAlign w:val="center"/>
          </w:tcPr>
          <w:p w14:paraId="74E82B8D">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77B0D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6349A9EF">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437DCEA2">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6168841D">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充电截止电压（V）</w:t>
            </w:r>
          </w:p>
        </w:tc>
        <w:tc>
          <w:tcPr>
            <w:tcW w:w="1485" w:type="pct"/>
            <w:vAlign w:val="center"/>
          </w:tcPr>
          <w:p w14:paraId="5AED6C73">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864</w:t>
            </w:r>
          </w:p>
        </w:tc>
        <w:tc>
          <w:tcPr>
            <w:tcW w:w="871" w:type="pct"/>
            <w:vAlign w:val="center"/>
          </w:tcPr>
          <w:p w14:paraId="3C9C0EAB">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79718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2E2C9EB2">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415DE855">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62149D49">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放电截止电压（V）</w:t>
            </w:r>
          </w:p>
        </w:tc>
        <w:tc>
          <w:tcPr>
            <w:tcW w:w="1485" w:type="pct"/>
            <w:vAlign w:val="center"/>
          </w:tcPr>
          <w:p w14:paraId="6213C544">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672</w:t>
            </w:r>
          </w:p>
        </w:tc>
        <w:tc>
          <w:tcPr>
            <w:tcW w:w="871" w:type="pct"/>
            <w:vAlign w:val="center"/>
          </w:tcPr>
          <w:p w14:paraId="01D3BB0B">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r w14:paraId="26D8C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419" w:type="pct"/>
            <w:vMerge w:val="continue"/>
            <w:vAlign w:val="center"/>
          </w:tcPr>
          <w:p w14:paraId="13FA76BB">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p>
        </w:tc>
        <w:tc>
          <w:tcPr>
            <w:tcW w:w="446" w:type="pct"/>
            <w:vMerge w:val="continue"/>
            <w:vAlign w:val="center"/>
          </w:tcPr>
          <w:p w14:paraId="48685FE7">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c>
          <w:tcPr>
            <w:tcW w:w="1779" w:type="pct"/>
            <w:vAlign w:val="center"/>
          </w:tcPr>
          <w:p w14:paraId="30019113">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重量（kg）</w:t>
            </w:r>
          </w:p>
        </w:tc>
        <w:tc>
          <w:tcPr>
            <w:tcW w:w="1485" w:type="pct"/>
            <w:vAlign w:val="center"/>
          </w:tcPr>
          <w:p w14:paraId="448B995F">
            <w:pPr>
              <w:pageBreakBefore w:val="0"/>
              <w:kinsoku/>
              <w:wordWrap/>
              <w:overflowPunct/>
              <w:bidi w:val="0"/>
              <w:adjustRightInd w:val="0"/>
              <w:snapToGrid w:val="0"/>
              <w:spacing w:line="360" w:lineRule="exact"/>
              <w:ind w:left="0" w:leftChars="0" w:firstLine="420" w:firstLineChars="200"/>
              <w:jc w:val="center"/>
              <w:rPr>
                <w:rFonts w:hint="eastAsia" w:ascii="仿宋" w:hAnsi="仿宋" w:eastAsia="仿宋" w:cs="仿宋"/>
                <w:snapToGrid w:val="0"/>
                <w:color w:val="auto"/>
                <w:szCs w:val="21"/>
                <w:highlight w:val="none"/>
              </w:rPr>
            </w:pPr>
            <w:r>
              <w:rPr>
                <w:rFonts w:hint="eastAsia" w:ascii="仿宋" w:hAnsi="仿宋" w:eastAsia="仿宋" w:cs="仿宋"/>
                <w:snapToGrid w:val="0"/>
                <w:color w:val="auto"/>
                <w:szCs w:val="21"/>
                <w:highlight w:val="none"/>
              </w:rPr>
              <w:t>1300kg</w:t>
            </w:r>
          </w:p>
        </w:tc>
        <w:tc>
          <w:tcPr>
            <w:tcW w:w="871" w:type="pct"/>
            <w:vAlign w:val="center"/>
          </w:tcPr>
          <w:p w14:paraId="77A48EE7">
            <w:pPr>
              <w:pageBreakBefore w:val="0"/>
              <w:kinsoku/>
              <w:wordWrap/>
              <w:overflowPunct/>
              <w:bidi w:val="0"/>
              <w:adjustRightInd w:val="0"/>
              <w:snapToGrid w:val="0"/>
              <w:spacing w:line="360" w:lineRule="exact"/>
              <w:ind w:left="0" w:leftChars="0" w:firstLine="420" w:firstLineChars="200"/>
              <w:jc w:val="left"/>
              <w:rPr>
                <w:rFonts w:hint="eastAsia" w:ascii="仿宋" w:hAnsi="仿宋" w:eastAsia="仿宋" w:cs="仿宋"/>
                <w:snapToGrid w:val="0"/>
                <w:color w:val="auto"/>
                <w:szCs w:val="21"/>
                <w:highlight w:val="none"/>
              </w:rPr>
            </w:pPr>
          </w:p>
        </w:tc>
      </w:tr>
    </w:tbl>
    <w:p w14:paraId="64D04719">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215kWh电池</w:t>
      </w:r>
      <w:r>
        <w:rPr>
          <w:rFonts w:hint="eastAsia" w:ascii="仿宋" w:hAnsi="仿宋" w:eastAsia="仿宋" w:cs="仿宋"/>
          <w:color w:val="auto"/>
          <w:highlight w:val="none"/>
          <w:lang w:val="en-US" w:eastAsia="zh-CN"/>
        </w:rPr>
        <w:t>技术要求</w:t>
      </w:r>
    </w:p>
    <w:p w14:paraId="2CF26F13">
      <w:pPr>
        <w:pageBreakBefore w:val="0"/>
        <w:kinsoku/>
        <w:wordWrap/>
        <w:overflowPunct/>
        <w:bidi w:val="0"/>
        <w:spacing w:line="360" w:lineRule="exact"/>
        <w:ind w:left="0" w:leftChars="0" w:firstLine="470" w:firstLineChars="200"/>
        <w:rPr>
          <w:rFonts w:hint="eastAsia" w:ascii="仿宋" w:hAnsi="仿宋" w:eastAsia="仿宋" w:cs="仿宋"/>
          <w:color w:val="auto"/>
          <w:spacing w:val="7"/>
          <w:sz w:val="22"/>
          <w:highlight w:val="none"/>
          <w:lang w:eastAsia="zh-CN"/>
        </w:rPr>
      </w:pPr>
      <w:r>
        <w:rPr>
          <w:rFonts w:hint="eastAsia" w:ascii="仿宋" w:hAnsi="仿宋" w:eastAsia="仿宋" w:cs="仿宋"/>
          <w:b/>
          <w:bCs/>
          <w:color w:val="auto"/>
          <w:spacing w:val="7"/>
          <w:sz w:val="22"/>
          <w:highlight w:val="none"/>
          <w:lang w:eastAsia="zh-CN"/>
        </w:rPr>
        <w:t>电池系统参数表</w:t>
      </w:r>
    </w:p>
    <w:tbl>
      <w:tblPr>
        <w:tblStyle w:val="64"/>
        <w:tblW w:w="8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4"/>
        <w:gridCol w:w="1984"/>
        <w:gridCol w:w="5271"/>
      </w:tblGrid>
      <w:tr w14:paraId="1193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08" w:type="dxa"/>
            <w:gridSpan w:val="2"/>
          </w:tcPr>
          <w:p w14:paraId="44DF25B5">
            <w:pPr>
              <w:pageBreakBefore w:val="0"/>
              <w:kinsoku/>
              <w:wordWrap/>
              <w:overflowPunct/>
              <w:bidi w:val="0"/>
              <w:spacing w:line="360" w:lineRule="exact"/>
              <w:ind w:left="0" w:leftChars="0" w:firstLine="422" w:firstLineChars="200"/>
              <w:jc w:val="center"/>
              <w:rPr>
                <w:rStyle w:val="80"/>
                <w:rFonts w:hint="eastAsia" w:ascii="仿宋" w:hAnsi="仿宋" w:eastAsia="仿宋" w:cs="仿宋"/>
                <w:b/>
                <w:bCs/>
                <w:color w:val="auto"/>
                <w:highlight w:val="none"/>
                <w:lang w:eastAsia="zh-CN"/>
              </w:rPr>
            </w:pPr>
            <w:r>
              <w:rPr>
                <w:rStyle w:val="80"/>
                <w:rFonts w:hint="eastAsia" w:ascii="仿宋" w:hAnsi="仿宋" w:eastAsia="仿宋" w:cs="仿宋"/>
                <w:b/>
                <w:bCs/>
                <w:color w:val="auto"/>
                <w:highlight w:val="none"/>
                <w:lang w:eastAsia="zh-CN"/>
              </w:rPr>
              <w:t>项目</w:t>
            </w:r>
          </w:p>
        </w:tc>
        <w:tc>
          <w:tcPr>
            <w:tcW w:w="5271" w:type="dxa"/>
            <w:vAlign w:val="center"/>
          </w:tcPr>
          <w:p w14:paraId="1824BA15">
            <w:pPr>
              <w:pageBreakBefore w:val="0"/>
              <w:kinsoku/>
              <w:wordWrap/>
              <w:overflowPunct/>
              <w:bidi w:val="0"/>
              <w:spacing w:line="360" w:lineRule="exact"/>
              <w:ind w:left="0" w:leftChars="0" w:firstLine="422" w:firstLineChars="200"/>
              <w:jc w:val="center"/>
              <w:rPr>
                <w:rFonts w:hint="eastAsia" w:ascii="仿宋" w:hAnsi="仿宋" w:eastAsia="仿宋" w:cs="仿宋"/>
                <w:b/>
                <w:bCs/>
                <w:color w:val="auto"/>
                <w:sz w:val="21"/>
                <w:szCs w:val="21"/>
                <w:highlight w:val="none"/>
                <w:shd w:val="clear" w:color="auto" w:fill="FFFFFF"/>
                <w:lang w:eastAsia="zh-CN"/>
              </w:rPr>
            </w:pPr>
            <w:r>
              <w:rPr>
                <w:rFonts w:hint="eastAsia" w:ascii="仿宋" w:hAnsi="仿宋" w:eastAsia="仿宋" w:cs="仿宋"/>
                <w:b/>
                <w:bCs/>
                <w:color w:val="auto"/>
                <w:sz w:val="21"/>
                <w:szCs w:val="21"/>
                <w:highlight w:val="none"/>
                <w:shd w:val="clear" w:color="auto" w:fill="FFFFFF"/>
                <w:lang w:eastAsia="zh-CN"/>
              </w:rPr>
              <w:t>100kW/215kWh</w:t>
            </w:r>
          </w:p>
        </w:tc>
      </w:tr>
      <w:tr w14:paraId="3A8B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restart"/>
            <w:vAlign w:val="center"/>
          </w:tcPr>
          <w:p w14:paraId="7E7CABAA">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直流电池参数</w:t>
            </w:r>
          </w:p>
          <w:p w14:paraId="3D8B894D">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p>
        </w:tc>
        <w:tc>
          <w:tcPr>
            <w:tcW w:w="1984" w:type="dxa"/>
            <w:vAlign w:val="center"/>
          </w:tcPr>
          <w:p w14:paraId="72AB4000">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电芯类型</w:t>
            </w:r>
          </w:p>
        </w:tc>
        <w:tc>
          <w:tcPr>
            <w:tcW w:w="5271" w:type="dxa"/>
            <w:vAlign w:val="center"/>
          </w:tcPr>
          <w:p w14:paraId="4EC72153">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3.2V280Ah</w:t>
            </w:r>
          </w:p>
        </w:tc>
      </w:tr>
      <w:tr w14:paraId="464CA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624" w:type="dxa"/>
            <w:vMerge w:val="continue"/>
          </w:tcPr>
          <w:p w14:paraId="7C209C03">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62D8067B">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电池系统配置</w:t>
            </w:r>
          </w:p>
        </w:tc>
        <w:tc>
          <w:tcPr>
            <w:tcW w:w="5271" w:type="dxa"/>
            <w:vAlign w:val="center"/>
          </w:tcPr>
          <w:p w14:paraId="11F94706">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1P2</w:t>
            </w:r>
            <w:r>
              <w:rPr>
                <w:rFonts w:hint="eastAsia" w:ascii="仿宋" w:hAnsi="仿宋" w:eastAsia="仿宋" w:cs="仿宋"/>
                <w:color w:val="auto"/>
                <w:sz w:val="21"/>
                <w:szCs w:val="21"/>
                <w:highlight w:val="none"/>
                <w:lang w:eastAsia="zh-CN"/>
              </w:rPr>
              <w:t>40</w:t>
            </w:r>
            <w:r>
              <w:rPr>
                <w:rFonts w:hint="eastAsia" w:ascii="仿宋" w:hAnsi="仿宋" w:eastAsia="仿宋" w:cs="仿宋"/>
                <w:color w:val="auto"/>
                <w:sz w:val="21"/>
                <w:szCs w:val="21"/>
                <w:highlight w:val="none"/>
              </w:rPr>
              <w:t>S</w:t>
            </w:r>
          </w:p>
        </w:tc>
      </w:tr>
      <w:tr w14:paraId="0753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624" w:type="dxa"/>
            <w:vMerge w:val="continue"/>
          </w:tcPr>
          <w:p w14:paraId="30D9B138">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0BCC2636">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lang w:eastAsia="zh-CN"/>
              </w:rPr>
            </w:pPr>
            <w:r>
              <w:rPr>
                <w:rFonts w:hint="eastAsia" w:ascii="仿宋" w:hAnsi="仿宋" w:eastAsia="仿宋" w:cs="仿宋"/>
                <w:color w:val="auto"/>
                <w:sz w:val="21"/>
                <w:szCs w:val="21"/>
                <w:highlight w:val="none"/>
                <w:shd w:val="clear" w:color="auto" w:fill="FFFFFF"/>
                <w:lang w:eastAsia="zh-CN"/>
              </w:rPr>
              <w:t>电池箱组合方式</w:t>
            </w:r>
          </w:p>
        </w:tc>
        <w:tc>
          <w:tcPr>
            <w:tcW w:w="5271" w:type="dxa"/>
            <w:vAlign w:val="center"/>
          </w:tcPr>
          <w:p w14:paraId="780A8AF3">
            <w:pPr>
              <w:pageBreakBefore w:val="0"/>
              <w:kinsoku/>
              <w:wordWrap/>
              <w:overflowPunct/>
              <w:autoSpaceDE/>
              <w:autoSpaceDN/>
              <w:bidi w:val="0"/>
              <w:adjustRightInd w:val="0"/>
              <w:spacing w:line="360" w:lineRule="exact"/>
              <w:ind w:left="0" w:leftChars="0" w:firstLine="400" w:firstLineChars="200"/>
              <w:jc w:val="center"/>
              <w:rPr>
                <w:rFonts w:hint="eastAsia" w:ascii="仿宋" w:hAnsi="仿宋" w:eastAsia="仿宋" w:cs="仿宋"/>
                <w:color w:val="auto"/>
                <w:sz w:val="20"/>
                <w:szCs w:val="20"/>
                <w:highlight w:val="none"/>
                <w:lang w:eastAsia="zh-CN" w:bidi="ar"/>
              </w:rPr>
            </w:pPr>
            <w:r>
              <w:rPr>
                <w:rFonts w:hint="eastAsia" w:ascii="仿宋" w:hAnsi="仿宋" w:eastAsia="仿宋" w:cs="仿宋"/>
                <w:color w:val="auto"/>
                <w:sz w:val="20"/>
                <w:szCs w:val="20"/>
                <w:highlight w:val="none"/>
                <w:lang w:eastAsia="zh-CN" w:bidi="ar"/>
              </w:rPr>
              <w:t>1P48S</w:t>
            </w:r>
          </w:p>
        </w:tc>
      </w:tr>
      <w:tr w14:paraId="2713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02AAED65">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6D422FD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额定电压</w:t>
            </w:r>
            <w:r>
              <w:rPr>
                <w:rFonts w:hint="eastAsia" w:ascii="仿宋" w:hAnsi="仿宋" w:eastAsia="仿宋" w:cs="仿宋"/>
                <w:color w:val="auto"/>
                <w:sz w:val="21"/>
                <w:szCs w:val="21"/>
                <w:highlight w:val="none"/>
                <w:lang w:eastAsia="zh-CN"/>
              </w:rPr>
              <w:t>（V）</w:t>
            </w:r>
          </w:p>
        </w:tc>
        <w:tc>
          <w:tcPr>
            <w:tcW w:w="5271" w:type="dxa"/>
            <w:vAlign w:val="center"/>
          </w:tcPr>
          <w:p w14:paraId="28A5BA9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768</w:t>
            </w:r>
          </w:p>
        </w:tc>
      </w:tr>
      <w:tr w14:paraId="43E1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624" w:type="dxa"/>
            <w:vMerge w:val="continue"/>
          </w:tcPr>
          <w:p w14:paraId="4D202716">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72FA34A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电池电压范围（</w:t>
            </w:r>
            <w:r>
              <w:rPr>
                <w:rFonts w:hint="eastAsia" w:ascii="仿宋" w:hAnsi="仿宋" w:eastAsia="仿宋" w:cs="仿宋"/>
                <w:color w:val="auto"/>
                <w:sz w:val="20"/>
                <w:szCs w:val="20"/>
                <w:highlight w:val="none"/>
                <w:lang w:eastAsia="zh-CN" w:bidi="ar"/>
              </w:rPr>
              <w:t>Vd.c.</w:t>
            </w:r>
            <w:r>
              <w:rPr>
                <w:rFonts w:hint="eastAsia" w:ascii="仿宋" w:hAnsi="仿宋" w:eastAsia="仿宋" w:cs="仿宋"/>
                <w:color w:val="auto"/>
                <w:sz w:val="21"/>
                <w:szCs w:val="21"/>
                <w:highlight w:val="none"/>
                <w:lang w:eastAsia="zh-CN"/>
              </w:rPr>
              <w:t>）</w:t>
            </w:r>
          </w:p>
        </w:tc>
        <w:tc>
          <w:tcPr>
            <w:tcW w:w="5271" w:type="dxa"/>
            <w:vAlign w:val="center"/>
          </w:tcPr>
          <w:p w14:paraId="42BCD730">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672</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852</w:t>
            </w:r>
          </w:p>
        </w:tc>
      </w:tr>
      <w:tr w14:paraId="0FC0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624" w:type="dxa"/>
            <w:vMerge w:val="continue"/>
          </w:tcPr>
          <w:p w14:paraId="4B233F6B">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48DF2E41">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电池系统能量（kWh）</w:t>
            </w:r>
          </w:p>
        </w:tc>
        <w:tc>
          <w:tcPr>
            <w:tcW w:w="5271" w:type="dxa"/>
            <w:vAlign w:val="center"/>
          </w:tcPr>
          <w:p w14:paraId="24CE8CED">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eastAsia="zh-CN"/>
              </w:rPr>
              <w:t>15</w:t>
            </w:r>
          </w:p>
        </w:tc>
      </w:tr>
      <w:tr w14:paraId="48156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6EA32A18">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11580591">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lang w:eastAsia="zh-CN"/>
              </w:rPr>
            </w:pPr>
            <w:r>
              <w:rPr>
                <w:rFonts w:hint="eastAsia" w:ascii="仿宋" w:hAnsi="仿宋" w:eastAsia="仿宋" w:cs="仿宋"/>
                <w:color w:val="auto"/>
                <w:sz w:val="21"/>
                <w:szCs w:val="21"/>
                <w:highlight w:val="none"/>
              </w:rPr>
              <w:t>额定电流</w:t>
            </w:r>
            <w:r>
              <w:rPr>
                <w:rFonts w:hint="eastAsia" w:ascii="仿宋" w:hAnsi="仿宋" w:eastAsia="仿宋" w:cs="仿宋"/>
                <w:color w:val="auto"/>
                <w:sz w:val="21"/>
                <w:szCs w:val="21"/>
                <w:highlight w:val="none"/>
                <w:lang w:eastAsia="zh-CN"/>
              </w:rPr>
              <w:t>（A）</w:t>
            </w:r>
          </w:p>
        </w:tc>
        <w:tc>
          <w:tcPr>
            <w:tcW w:w="5271" w:type="dxa"/>
            <w:vAlign w:val="center"/>
          </w:tcPr>
          <w:p w14:paraId="5DFF999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140</w:t>
            </w:r>
          </w:p>
        </w:tc>
      </w:tr>
      <w:tr w14:paraId="0907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033CD601">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1A8584AA">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最大电流</w:t>
            </w:r>
            <w:r>
              <w:rPr>
                <w:rFonts w:hint="eastAsia" w:ascii="仿宋" w:hAnsi="仿宋" w:eastAsia="仿宋" w:cs="仿宋"/>
                <w:color w:val="auto"/>
                <w:sz w:val="21"/>
                <w:szCs w:val="21"/>
                <w:highlight w:val="none"/>
                <w:lang w:eastAsia="zh-CN"/>
              </w:rPr>
              <w:t>（A）</w:t>
            </w:r>
          </w:p>
        </w:tc>
        <w:tc>
          <w:tcPr>
            <w:tcW w:w="5271" w:type="dxa"/>
            <w:vAlign w:val="center"/>
          </w:tcPr>
          <w:p w14:paraId="1FC4338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173</w:t>
            </w:r>
          </w:p>
        </w:tc>
      </w:tr>
      <w:tr w14:paraId="79942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24" w:type="dxa"/>
            <w:vMerge w:val="continue"/>
          </w:tcPr>
          <w:p w14:paraId="21348767">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64E5650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充放电倍率</w:t>
            </w:r>
          </w:p>
        </w:tc>
        <w:tc>
          <w:tcPr>
            <w:tcW w:w="5271" w:type="dxa"/>
            <w:vAlign w:val="center"/>
          </w:tcPr>
          <w:p w14:paraId="6E229362">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0.5</w:t>
            </w:r>
            <w:r>
              <w:rPr>
                <w:rFonts w:hint="eastAsia" w:ascii="仿宋" w:hAnsi="仿宋" w:eastAsia="仿宋" w:cs="仿宋"/>
                <w:color w:val="auto"/>
                <w:sz w:val="21"/>
                <w:szCs w:val="21"/>
                <w:highlight w:val="none"/>
                <w:lang w:eastAsia="zh-CN"/>
              </w:rPr>
              <w:t>C</w:t>
            </w:r>
          </w:p>
        </w:tc>
      </w:tr>
      <w:tr w14:paraId="5F75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624" w:type="dxa"/>
            <w:vMerge w:val="continue"/>
          </w:tcPr>
          <w:p w14:paraId="11AA6A9E">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43E77765">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冷却方式</w:t>
            </w:r>
          </w:p>
        </w:tc>
        <w:tc>
          <w:tcPr>
            <w:tcW w:w="5271" w:type="dxa"/>
            <w:vAlign w:val="center"/>
          </w:tcPr>
          <w:p w14:paraId="0D61553D">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液冷</w:t>
            </w:r>
          </w:p>
        </w:tc>
      </w:tr>
      <w:tr w14:paraId="0B40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624" w:type="dxa"/>
            <w:vMerge w:val="restart"/>
            <w:vAlign w:val="center"/>
          </w:tcPr>
          <w:p w14:paraId="3149681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交流参数</w:t>
            </w:r>
          </w:p>
          <w:p w14:paraId="03424E1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（并网）</w:t>
            </w:r>
          </w:p>
        </w:tc>
        <w:tc>
          <w:tcPr>
            <w:tcW w:w="1984" w:type="dxa"/>
            <w:vAlign w:val="center"/>
          </w:tcPr>
          <w:p w14:paraId="026E0410">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额定电压  </w:t>
            </w:r>
          </w:p>
        </w:tc>
        <w:tc>
          <w:tcPr>
            <w:tcW w:w="5271" w:type="dxa"/>
            <w:vAlign w:val="center"/>
          </w:tcPr>
          <w:p w14:paraId="232BA47B">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lang w:eastAsia="zh-CN"/>
              </w:rPr>
            </w:pPr>
            <w:r>
              <w:rPr>
                <w:rFonts w:hint="eastAsia" w:ascii="仿宋" w:hAnsi="仿宋" w:eastAsia="仿宋" w:cs="仿宋"/>
                <w:color w:val="auto"/>
                <w:sz w:val="21"/>
                <w:szCs w:val="21"/>
                <w:highlight w:val="none"/>
                <w:lang w:eastAsia="zh-CN"/>
              </w:rPr>
              <w:t>400V</w:t>
            </w:r>
          </w:p>
        </w:tc>
      </w:tr>
      <w:tr w14:paraId="0E19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624" w:type="dxa"/>
            <w:vMerge w:val="continue"/>
          </w:tcPr>
          <w:p w14:paraId="360968B9">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13E85FDE">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接线方</w:t>
            </w:r>
            <w:r>
              <w:rPr>
                <w:rFonts w:hint="eastAsia" w:ascii="仿宋" w:hAnsi="仿宋" w:eastAsia="仿宋" w:cs="仿宋"/>
                <w:color w:val="auto"/>
                <w:sz w:val="21"/>
                <w:szCs w:val="21"/>
                <w:highlight w:val="none"/>
                <w:shd w:val="clear" w:color="auto" w:fill="FFFFFF"/>
                <w:lang w:eastAsia="zh-CN"/>
              </w:rPr>
              <w:t xml:space="preserve">式         </w:t>
            </w:r>
            <w:r>
              <w:rPr>
                <w:rFonts w:hint="eastAsia" w:ascii="仿宋" w:hAnsi="仿宋" w:eastAsia="仿宋" w:cs="仿宋"/>
                <w:color w:val="auto"/>
                <w:sz w:val="21"/>
                <w:szCs w:val="21"/>
                <w:highlight w:val="none"/>
                <w:lang w:eastAsia="zh-CN"/>
              </w:rPr>
              <w:t xml:space="preserve"> </w:t>
            </w:r>
          </w:p>
        </w:tc>
        <w:tc>
          <w:tcPr>
            <w:tcW w:w="5271" w:type="dxa"/>
            <w:vAlign w:val="center"/>
          </w:tcPr>
          <w:p w14:paraId="176BCB52">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lang w:eastAsia="zh-CN"/>
              </w:rPr>
              <w:t>3P4L</w:t>
            </w:r>
          </w:p>
        </w:tc>
      </w:tr>
      <w:tr w14:paraId="59D2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624" w:type="dxa"/>
            <w:vMerge w:val="continue"/>
          </w:tcPr>
          <w:p w14:paraId="22033866">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14A5944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额定功</w:t>
            </w:r>
            <w:r>
              <w:rPr>
                <w:rFonts w:hint="eastAsia" w:ascii="仿宋" w:hAnsi="仿宋" w:eastAsia="仿宋" w:cs="仿宋"/>
                <w:color w:val="auto"/>
                <w:sz w:val="21"/>
                <w:szCs w:val="21"/>
                <w:highlight w:val="none"/>
                <w:shd w:val="clear" w:color="auto" w:fill="FFFFFF"/>
                <w:lang w:eastAsia="zh-CN"/>
              </w:rPr>
              <w:t>率（</w:t>
            </w:r>
            <w:r>
              <w:rPr>
                <w:rFonts w:hint="eastAsia" w:ascii="仿宋" w:hAnsi="仿宋" w:eastAsia="仿宋" w:cs="仿宋"/>
                <w:color w:val="auto"/>
                <w:sz w:val="21"/>
                <w:szCs w:val="21"/>
                <w:highlight w:val="none"/>
                <w:lang w:eastAsia="zh-CN"/>
              </w:rPr>
              <w:t>KW</w:t>
            </w:r>
            <w:r>
              <w:rPr>
                <w:rFonts w:hint="eastAsia" w:ascii="仿宋" w:hAnsi="仿宋" w:eastAsia="仿宋" w:cs="仿宋"/>
                <w:color w:val="auto"/>
                <w:sz w:val="21"/>
                <w:szCs w:val="21"/>
                <w:highlight w:val="none"/>
                <w:shd w:val="clear" w:color="auto" w:fill="FFFFFF"/>
                <w:lang w:eastAsia="zh-CN"/>
              </w:rPr>
              <w:t xml:space="preserve">）        </w:t>
            </w:r>
            <w:r>
              <w:rPr>
                <w:rFonts w:hint="eastAsia" w:ascii="仿宋" w:hAnsi="仿宋" w:eastAsia="仿宋" w:cs="仿宋"/>
                <w:color w:val="auto"/>
                <w:sz w:val="21"/>
                <w:szCs w:val="21"/>
                <w:highlight w:val="none"/>
                <w:lang w:eastAsia="zh-CN"/>
              </w:rPr>
              <w:t xml:space="preserve"> </w:t>
            </w:r>
          </w:p>
        </w:tc>
        <w:tc>
          <w:tcPr>
            <w:tcW w:w="5271" w:type="dxa"/>
            <w:vAlign w:val="center"/>
          </w:tcPr>
          <w:p w14:paraId="51E966F5">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lang w:eastAsia="zh-CN"/>
              </w:rPr>
            </w:pPr>
            <w:r>
              <w:rPr>
                <w:rFonts w:hint="eastAsia" w:ascii="仿宋" w:hAnsi="仿宋" w:eastAsia="仿宋" w:cs="仿宋"/>
                <w:color w:val="auto"/>
                <w:sz w:val="21"/>
                <w:szCs w:val="21"/>
                <w:highlight w:val="none"/>
                <w:lang w:eastAsia="zh-CN"/>
              </w:rPr>
              <w:t>100</w:t>
            </w:r>
          </w:p>
        </w:tc>
      </w:tr>
      <w:tr w14:paraId="2ED7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1A5C7CFF">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53122E4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最大</w:t>
            </w:r>
            <w:r>
              <w:rPr>
                <w:rFonts w:hint="eastAsia" w:ascii="仿宋" w:hAnsi="仿宋" w:eastAsia="仿宋" w:cs="仿宋"/>
                <w:color w:val="auto"/>
                <w:sz w:val="21"/>
                <w:szCs w:val="21"/>
                <w:highlight w:val="none"/>
                <w:lang w:eastAsia="zh-CN"/>
              </w:rPr>
              <w:t>功率</w:t>
            </w:r>
          </w:p>
        </w:tc>
        <w:tc>
          <w:tcPr>
            <w:tcW w:w="5271" w:type="dxa"/>
            <w:vAlign w:val="center"/>
          </w:tcPr>
          <w:p w14:paraId="08661193">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lang w:eastAsia="zh-CN"/>
              </w:rPr>
              <w:t>115</w:t>
            </w:r>
          </w:p>
        </w:tc>
      </w:tr>
      <w:tr w14:paraId="71F1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55ADC5BF">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7CECC44A">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shd w:val="clear" w:color="auto" w:fill="FFFFFF"/>
                <w:lang w:eastAsia="zh-CN"/>
              </w:rPr>
              <w:t>功率因素</w:t>
            </w:r>
          </w:p>
        </w:tc>
        <w:tc>
          <w:tcPr>
            <w:tcW w:w="5271" w:type="dxa"/>
            <w:vAlign w:val="center"/>
          </w:tcPr>
          <w:p w14:paraId="7C7CAF77">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lang w:eastAsia="zh-CN"/>
              </w:rPr>
              <w:t>0.99</w:t>
            </w:r>
          </w:p>
        </w:tc>
      </w:tr>
      <w:tr w14:paraId="695D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7DA1199B">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4F021C5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功率因素调节范围</w:t>
            </w:r>
            <w:r>
              <w:rPr>
                <w:rFonts w:hint="eastAsia" w:ascii="仿宋" w:hAnsi="仿宋" w:eastAsia="仿宋" w:cs="仿宋"/>
                <w:color w:val="auto"/>
                <w:sz w:val="21"/>
                <w:szCs w:val="21"/>
                <w:highlight w:val="none"/>
                <w:shd w:val="clear" w:color="auto" w:fill="FFFFFF"/>
                <w:lang w:eastAsia="zh-CN"/>
              </w:rPr>
              <w:t xml:space="preserve">    </w:t>
            </w:r>
          </w:p>
        </w:tc>
        <w:tc>
          <w:tcPr>
            <w:tcW w:w="5271" w:type="dxa"/>
            <w:vAlign w:val="center"/>
          </w:tcPr>
          <w:p w14:paraId="554D745E">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lang w:eastAsia="zh-CN"/>
              </w:rPr>
              <w:t>1（超前）~1（滞后）</w:t>
            </w:r>
          </w:p>
        </w:tc>
      </w:tr>
      <w:tr w14:paraId="1BB7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5C2BDEFF">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1FB3BB9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电</w:t>
            </w:r>
            <w:r>
              <w:rPr>
                <w:rFonts w:hint="eastAsia" w:ascii="仿宋" w:hAnsi="仿宋" w:eastAsia="仿宋" w:cs="仿宋"/>
                <w:color w:val="auto"/>
                <w:sz w:val="21"/>
                <w:szCs w:val="21"/>
                <w:highlight w:val="none"/>
                <w:shd w:val="clear" w:color="auto" w:fill="FFFFFF"/>
                <w:lang w:eastAsia="zh-CN"/>
              </w:rPr>
              <w:t xml:space="preserve">流畸变率 </w:t>
            </w:r>
            <w:r>
              <w:rPr>
                <w:rFonts w:hint="eastAsia" w:ascii="仿宋" w:hAnsi="仿宋" w:eastAsia="仿宋" w:cs="仿宋"/>
                <w:color w:val="auto"/>
                <w:sz w:val="21"/>
                <w:szCs w:val="21"/>
                <w:highlight w:val="none"/>
                <w:lang w:eastAsia="zh-CN"/>
              </w:rPr>
              <w:t xml:space="preserve"> </w:t>
            </w:r>
          </w:p>
        </w:tc>
        <w:tc>
          <w:tcPr>
            <w:tcW w:w="5271" w:type="dxa"/>
            <w:vAlign w:val="center"/>
          </w:tcPr>
          <w:p w14:paraId="4CD94B4E">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＜3%（额定功率）</w:t>
            </w:r>
          </w:p>
        </w:tc>
      </w:tr>
      <w:tr w14:paraId="4672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440017EC">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32E2A8AE">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过载能</w:t>
            </w:r>
            <w:r>
              <w:rPr>
                <w:rFonts w:hint="eastAsia" w:ascii="仿宋" w:hAnsi="仿宋" w:eastAsia="仿宋" w:cs="仿宋"/>
                <w:color w:val="auto"/>
                <w:sz w:val="21"/>
                <w:szCs w:val="21"/>
                <w:highlight w:val="none"/>
                <w:shd w:val="clear" w:color="auto" w:fill="FFFFFF"/>
                <w:lang w:eastAsia="zh-CN"/>
              </w:rPr>
              <w:t xml:space="preserve">力         </w:t>
            </w:r>
            <w:r>
              <w:rPr>
                <w:rFonts w:hint="eastAsia" w:ascii="仿宋" w:hAnsi="仿宋" w:eastAsia="仿宋" w:cs="仿宋"/>
                <w:color w:val="auto"/>
                <w:sz w:val="21"/>
                <w:szCs w:val="21"/>
                <w:highlight w:val="none"/>
                <w:lang w:eastAsia="zh-CN"/>
              </w:rPr>
              <w:t xml:space="preserve"> </w:t>
            </w:r>
          </w:p>
        </w:tc>
        <w:tc>
          <w:tcPr>
            <w:tcW w:w="5271" w:type="dxa"/>
            <w:vAlign w:val="center"/>
          </w:tcPr>
          <w:p w14:paraId="7F86352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110%长期</w:t>
            </w:r>
          </w:p>
        </w:tc>
      </w:tr>
      <w:tr w14:paraId="0AE3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restart"/>
            <w:vAlign w:val="center"/>
          </w:tcPr>
          <w:p w14:paraId="1D9D567E">
            <w:pPr>
              <w:pageBreakBefore w:val="0"/>
              <w:kinsoku/>
              <w:wordWrap/>
              <w:overflowPunct/>
              <w:autoSpaceDE/>
              <w:autoSpaceDN/>
              <w:bidi w:val="0"/>
              <w:adjustRightInd w:val="0"/>
              <w:spacing w:line="360" w:lineRule="exact"/>
              <w:ind w:left="0" w:leftChars="0" w:firstLine="420" w:firstLineChars="200"/>
              <w:jc w:val="center"/>
              <w:rPr>
                <w:rStyle w:val="80"/>
                <w:rFonts w:hint="eastAsia" w:ascii="仿宋" w:hAnsi="仿宋" w:eastAsia="仿宋" w:cs="仿宋"/>
                <w:color w:val="auto"/>
                <w:highlight w:val="none"/>
              </w:rPr>
            </w:pPr>
            <w:r>
              <w:rPr>
                <w:rFonts w:hint="eastAsia" w:ascii="仿宋" w:hAnsi="仿宋" w:eastAsia="仿宋" w:cs="仿宋"/>
                <w:color w:val="auto"/>
                <w:sz w:val="21"/>
                <w:szCs w:val="21"/>
                <w:highlight w:val="none"/>
              </w:rPr>
              <w:t>交流参数（离网）</w:t>
            </w:r>
          </w:p>
        </w:tc>
        <w:tc>
          <w:tcPr>
            <w:tcW w:w="1984" w:type="dxa"/>
            <w:vAlign w:val="center"/>
          </w:tcPr>
          <w:p w14:paraId="6A419D8D">
            <w:pPr>
              <w:pageBreakBefore w:val="0"/>
              <w:kinsoku/>
              <w:wordWrap/>
              <w:overflowPunct/>
              <w:autoSpaceDE/>
              <w:autoSpaceDN/>
              <w:bidi w:val="0"/>
              <w:adjustRightInd w:val="0"/>
              <w:spacing w:line="360" w:lineRule="exact"/>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额定输出</w:t>
            </w:r>
            <w:r>
              <w:rPr>
                <w:rFonts w:hint="eastAsia" w:ascii="仿宋" w:hAnsi="仿宋" w:eastAsia="仿宋" w:cs="仿宋"/>
                <w:color w:val="auto"/>
                <w:sz w:val="21"/>
                <w:szCs w:val="21"/>
                <w:highlight w:val="none"/>
                <w:lang w:eastAsia="zh-CN"/>
              </w:rPr>
              <w:t>电压（</w:t>
            </w:r>
            <w:r>
              <w:rPr>
                <w:rFonts w:hint="eastAsia" w:ascii="仿宋" w:hAnsi="仿宋" w:eastAsia="仿宋" w:cs="仿宋"/>
                <w:color w:val="auto"/>
                <w:sz w:val="21"/>
                <w:szCs w:val="21"/>
                <w:highlight w:val="none"/>
              </w:rPr>
              <w:t>V</w:t>
            </w:r>
            <w:r>
              <w:rPr>
                <w:rFonts w:hint="eastAsia" w:ascii="仿宋" w:hAnsi="仿宋" w:eastAsia="仿宋" w:cs="仿宋"/>
                <w:color w:val="auto"/>
                <w:sz w:val="21"/>
                <w:szCs w:val="21"/>
                <w:highlight w:val="none"/>
                <w:lang w:eastAsia="zh-CN"/>
              </w:rPr>
              <w:t>）</w:t>
            </w:r>
          </w:p>
        </w:tc>
        <w:tc>
          <w:tcPr>
            <w:tcW w:w="5271" w:type="dxa"/>
            <w:vAlign w:val="center"/>
          </w:tcPr>
          <w:p w14:paraId="2F6DE2B5">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400</w:t>
            </w:r>
          </w:p>
        </w:tc>
      </w:tr>
      <w:tr w14:paraId="61BB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16AC5439">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24020BD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交流电压谐波</w:t>
            </w:r>
          </w:p>
        </w:tc>
        <w:tc>
          <w:tcPr>
            <w:tcW w:w="5271" w:type="dxa"/>
            <w:vAlign w:val="center"/>
          </w:tcPr>
          <w:p w14:paraId="329BF36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lang w:eastAsia="zh-CN"/>
              </w:rPr>
              <w:t>＜3%（额定功率）</w:t>
            </w:r>
          </w:p>
        </w:tc>
      </w:tr>
      <w:tr w14:paraId="01EE6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0A77F27E">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01B0A0FE">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频</w:t>
            </w:r>
            <w:r>
              <w:rPr>
                <w:rFonts w:hint="eastAsia" w:ascii="仿宋" w:hAnsi="仿宋" w:eastAsia="仿宋" w:cs="仿宋"/>
                <w:color w:val="auto"/>
                <w:sz w:val="21"/>
                <w:szCs w:val="21"/>
                <w:highlight w:val="none"/>
                <w:shd w:val="clear" w:color="auto" w:fill="FFFFFF"/>
                <w:lang w:eastAsia="zh-CN"/>
              </w:rPr>
              <w:t>率 （</w:t>
            </w:r>
            <w:r>
              <w:rPr>
                <w:rFonts w:hint="eastAsia" w:ascii="仿宋" w:hAnsi="仿宋" w:eastAsia="仿宋" w:cs="仿宋"/>
                <w:color w:val="auto"/>
                <w:sz w:val="21"/>
                <w:szCs w:val="21"/>
                <w:highlight w:val="none"/>
                <w:lang w:eastAsia="zh-CN"/>
              </w:rPr>
              <w:t>Hz</w:t>
            </w:r>
            <w:r>
              <w:rPr>
                <w:rFonts w:hint="eastAsia" w:ascii="仿宋" w:hAnsi="仿宋" w:eastAsia="仿宋" w:cs="仿宋"/>
                <w:color w:val="auto"/>
                <w:sz w:val="21"/>
                <w:szCs w:val="21"/>
                <w:highlight w:val="none"/>
                <w:shd w:val="clear" w:color="auto" w:fill="FFFFFF"/>
                <w:lang w:eastAsia="zh-CN"/>
              </w:rPr>
              <w:t xml:space="preserve">） </w:t>
            </w:r>
            <w:r>
              <w:rPr>
                <w:rFonts w:hint="eastAsia" w:ascii="仿宋" w:hAnsi="仿宋" w:eastAsia="仿宋" w:cs="仿宋"/>
                <w:color w:val="auto"/>
                <w:sz w:val="21"/>
                <w:szCs w:val="21"/>
                <w:highlight w:val="none"/>
                <w:lang w:eastAsia="zh-CN"/>
              </w:rPr>
              <w:t xml:space="preserve"> </w:t>
            </w:r>
          </w:p>
        </w:tc>
        <w:tc>
          <w:tcPr>
            <w:tcW w:w="5271" w:type="dxa"/>
            <w:vAlign w:val="center"/>
          </w:tcPr>
          <w:p w14:paraId="01506527">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lang w:eastAsia="zh-CN"/>
              </w:rPr>
              <w:t>50/60</w:t>
            </w:r>
          </w:p>
        </w:tc>
      </w:tr>
      <w:tr w14:paraId="16A7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645E43AE">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26117EA4">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交流输出功率（KW）</w:t>
            </w:r>
          </w:p>
        </w:tc>
        <w:tc>
          <w:tcPr>
            <w:tcW w:w="5271" w:type="dxa"/>
            <w:vAlign w:val="center"/>
          </w:tcPr>
          <w:p w14:paraId="7B0EEB9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100</w:t>
            </w:r>
          </w:p>
        </w:tc>
      </w:tr>
      <w:tr w14:paraId="1E7B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restart"/>
            <w:vAlign w:val="center"/>
          </w:tcPr>
          <w:p w14:paraId="2B8A6D5A">
            <w:pPr>
              <w:pageBreakBefore w:val="0"/>
              <w:kinsoku/>
              <w:wordWrap/>
              <w:overflowPunct/>
              <w:autoSpaceDE/>
              <w:autoSpaceDN/>
              <w:bidi w:val="0"/>
              <w:adjustRightInd w:val="0"/>
              <w:spacing w:line="360" w:lineRule="exact"/>
              <w:ind w:left="0" w:leftChars="0" w:firstLine="420" w:firstLineChars="200"/>
              <w:jc w:val="center"/>
              <w:rPr>
                <w:rStyle w:val="80"/>
                <w:rFonts w:hint="eastAsia" w:ascii="仿宋" w:hAnsi="仿宋" w:eastAsia="仿宋" w:cs="仿宋"/>
                <w:color w:val="auto"/>
                <w:highlight w:val="none"/>
              </w:rPr>
            </w:pPr>
            <w:r>
              <w:rPr>
                <w:rFonts w:hint="eastAsia" w:ascii="仿宋" w:hAnsi="仿宋" w:eastAsia="仿宋" w:cs="仿宋"/>
                <w:color w:val="auto"/>
                <w:sz w:val="21"/>
                <w:szCs w:val="21"/>
                <w:highlight w:val="none"/>
              </w:rPr>
              <w:t>系统参数</w:t>
            </w:r>
          </w:p>
        </w:tc>
        <w:tc>
          <w:tcPr>
            <w:tcW w:w="1984" w:type="dxa"/>
            <w:vAlign w:val="center"/>
          </w:tcPr>
          <w:p w14:paraId="40B2C365">
            <w:pPr>
              <w:pageBreakBefore w:val="0"/>
              <w:kinsoku/>
              <w:wordWrap/>
              <w:overflowPunct/>
              <w:bidi w:val="0"/>
              <w:spacing w:line="360" w:lineRule="exact"/>
              <w:jc w:val="both"/>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系统平均功耗</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w:t>
            </w:r>
            <w:r>
              <w:rPr>
                <w:rFonts w:hint="eastAsia" w:ascii="仿宋" w:hAnsi="仿宋" w:eastAsia="仿宋" w:cs="仿宋"/>
                <w:color w:val="auto"/>
                <w:sz w:val="21"/>
                <w:szCs w:val="21"/>
                <w:highlight w:val="none"/>
                <w:lang w:eastAsia="zh-CN"/>
              </w:rPr>
              <w:t>）</w:t>
            </w:r>
          </w:p>
        </w:tc>
        <w:tc>
          <w:tcPr>
            <w:tcW w:w="5271" w:type="dxa"/>
            <w:vAlign w:val="center"/>
          </w:tcPr>
          <w:p w14:paraId="41B0C455">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≈700</w:t>
            </w:r>
          </w:p>
        </w:tc>
      </w:tr>
      <w:tr w14:paraId="752D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1C433BCD">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7CACA94A">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系统效率</w:t>
            </w:r>
          </w:p>
        </w:tc>
        <w:tc>
          <w:tcPr>
            <w:tcW w:w="5271" w:type="dxa"/>
            <w:vAlign w:val="center"/>
          </w:tcPr>
          <w:p w14:paraId="1E92034D">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r>
              <w:rPr>
                <w:rFonts w:hint="eastAsia" w:ascii="仿宋" w:hAnsi="仿宋" w:eastAsia="仿宋" w:cs="仿宋"/>
                <w:color w:val="auto"/>
                <w:sz w:val="21"/>
                <w:szCs w:val="21"/>
                <w:highlight w:val="none"/>
                <w:lang w:eastAsia="zh-CN"/>
              </w:rPr>
              <w:t>8</w:t>
            </w:r>
            <w:r>
              <w:rPr>
                <w:rFonts w:hint="eastAsia" w:ascii="仿宋" w:hAnsi="仿宋" w:eastAsia="仿宋" w:cs="仿宋"/>
                <w:color w:val="auto"/>
                <w:sz w:val="21"/>
                <w:szCs w:val="21"/>
                <w:highlight w:val="none"/>
              </w:rPr>
              <w:t>%</w:t>
            </w:r>
          </w:p>
        </w:tc>
      </w:tr>
      <w:tr w14:paraId="2618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3F47C66E">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27EBFD8B">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循环次数</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次</w:t>
            </w:r>
            <w:r>
              <w:rPr>
                <w:rFonts w:hint="eastAsia" w:ascii="仿宋" w:hAnsi="仿宋" w:eastAsia="仿宋" w:cs="仿宋"/>
                <w:color w:val="auto"/>
                <w:sz w:val="21"/>
                <w:szCs w:val="21"/>
                <w:highlight w:val="none"/>
                <w:lang w:eastAsia="zh-CN"/>
              </w:rPr>
              <w:t>）</w:t>
            </w:r>
          </w:p>
        </w:tc>
        <w:tc>
          <w:tcPr>
            <w:tcW w:w="5271" w:type="dxa"/>
            <w:vAlign w:val="center"/>
          </w:tcPr>
          <w:p w14:paraId="6841548B">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6</w:t>
            </w:r>
            <w:r>
              <w:rPr>
                <w:rFonts w:hint="eastAsia" w:ascii="仿宋" w:hAnsi="仿宋" w:eastAsia="仿宋" w:cs="仿宋"/>
                <w:color w:val="auto"/>
                <w:sz w:val="21"/>
                <w:szCs w:val="21"/>
                <w:highlight w:val="none"/>
              </w:rPr>
              <w:t>000</w:t>
            </w:r>
          </w:p>
        </w:tc>
      </w:tr>
      <w:tr w14:paraId="0530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1BB7A4EA">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6B5C2B54">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通讯接口</w:t>
            </w:r>
          </w:p>
        </w:tc>
        <w:tc>
          <w:tcPr>
            <w:tcW w:w="5271" w:type="dxa"/>
            <w:vAlign w:val="center"/>
          </w:tcPr>
          <w:p w14:paraId="73C5E22C">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LAN/485</w:t>
            </w:r>
          </w:p>
        </w:tc>
      </w:tr>
      <w:tr w14:paraId="09B9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24" w:type="dxa"/>
            <w:vMerge w:val="continue"/>
          </w:tcPr>
          <w:p w14:paraId="026F3161">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4455737D">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IP等级</w:t>
            </w:r>
          </w:p>
        </w:tc>
        <w:tc>
          <w:tcPr>
            <w:tcW w:w="5271" w:type="dxa"/>
            <w:vAlign w:val="center"/>
          </w:tcPr>
          <w:p w14:paraId="2BF5B98C">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IP54</w:t>
            </w:r>
          </w:p>
        </w:tc>
      </w:tr>
      <w:tr w14:paraId="173F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120E9D50">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071D9756">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工作温度</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w:t>
            </w:r>
          </w:p>
        </w:tc>
        <w:tc>
          <w:tcPr>
            <w:tcW w:w="5271" w:type="dxa"/>
            <w:vAlign w:val="center"/>
          </w:tcPr>
          <w:p w14:paraId="63140FD8">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-20~+</w:t>
            </w:r>
            <w:r>
              <w:rPr>
                <w:rFonts w:hint="eastAsia" w:ascii="仿宋" w:hAnsi="仿宋" w:eastAsia="仿宋" w:cs="仿宋"/>
                <w:color w:val="auto"/>
                <w:sz w:val="21"/>
                <w:szCs w:val="21"/>
                <w:highlight w:val="none"/>
                <w:lang w:eastAsia="zh-CN"/>
              </w:rPr>
              <w:t>55</w:t>
            </w:r>
          </w:p>
        </w:tc>
      </w:tr>
      <w:tr w14:paraId="1DF2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60E015D8">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078A1ECC">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噪音</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dB</w:t>
            </w:r>
            <w:r>
              <w:rPr>
                <w:rFonts w:hint="eastAsia" w:ascii="仿宋" w:hAnsi="仿宋" w:eastAsia="仿宋" w:cs="仿宋"/>
                <w:color w:val="auto"/>
                <w:sz w:val="21"/>
                <w:szCs w:val="21"/>
                <w:highlight w:val="none"/>
                <w:lang w:eastAsia="zh-CN"/>
              </w:rPr>
              <w:t>）</w:t>
            </w:r>
          </w:p>
        </w:tc>
        <w:tc>
          <w:tcPr>
            <w:tcW w:w="5271" w:type="dxa"/>
            <w:vAlign w:val="center"/>
          </w:tcPr>
          <w:p w14:paraId="68482EE0">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w:t>
            </w:r>
          </w:p>
        </w:tc>
      </w:tr>
      <w:tr w14:paraId="131E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6AB1E330">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713662E7">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尺寸（宽*深*高）</w:t>
            </w:r>
          </w:p>
        </w:tc>
        <w:tc>
          <w:tcPr>
            <w:tcW w:w="5271" w:type="dxa"/>
            <w:vAlign w:val="center"/>
          </w:tcPr>
          <w:p w14:paraId="3BC8DF7B">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1300*1300*2</w:t>
            </w:r>
            <w:r>
              <w:rPr>
                <w:rFonts w:hint="eastAsia" w:ascii="仿宋" w:hAnsi="仿宋" w:eastAsia="仿宋" w:cs="仿宋"/>
                <w:color w:val="auto"/>
                <w:sz w:val="21"/>
                <w:szCs w:val="21"/>
                <w:highlight w:val="none"/>
                <w:lang w:eastAsia="zh-CN"/>
              </w:rPr>
              <w:t>285</w:t>
            </w:r>
          </w:p>
        </w:tc>
      </w:tr>
      <w:tr w14:paraId="3C2A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1B01C248">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6183E334">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重量（</w:t>
            </w:r>
            <w:r>
              <w:rPr>
                <w:rFonts w:hint="eastAsia" w:ascii="仿宋" w:hAnsi="仿宋" w:eastAsia="仿宋" w:cs="仿宋"/>
                <w:color w:val="auto"/>
                <w:sz w:val="21"/>
                <w:szCs w:val="21"/>
                <w:highlight w:val="none"/>
                <w:lang w:eastAsia="zh-CN"/>
              </w:rPr>
              <w:t>kg</w:t>
            </w:r>
            <w:r>
              <w:rPr>
                <w:rFonts w:hint="eastAsia" w:ascii="仿宋" w:hAnsi="仿宋" w:eastAsia="仿宋" w:cs="仿宋"/>
                <w:color w:val="auto"/>
                <w:sz w:val="21"/>
                <w:szCs w:val="21"/>
                <w:highlight w:val="none"/>
              </w:rPr>
              <w:t>）</w:t>
            </w:r>
          </w:p>
        </w:tc>
        <w:tc>
          <w:tcPr>
            <w:tcW w:w="5271" w:type="dxa"/>
            <w:vAlign w:val="center"/>
          </w:tcPr>
          <w:p w14:paraId="3233AABC">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≈2900</w:t>
            </w:r>
          </w:p>
        </w:tc>
      </w:tr>
      <w:tr w14:paraId="1832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restart"/>
            <w:vAlign w:val="center"/>
          </w:tcPr>
          <w:p w14:paraId="671B6D20">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保护</w:t>
            </w:r>
          </w:p>
        </w:tc>
        <w:tc>
          <w:tcPr>
            <w:tcW w:w="1984" w:type="dxa"/>
            <w:vAlign w:val="center"/>
          </w:tcPr>
          <w:p w14:paraId="3412971E">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直流输入</w:t>
            </w:r>
          </w:p>
        </w:tc>
        <w:tc>
          <w:tcPr>
            <w:tcW w:w="5271" w:type="dxa"/>
            <w:vAlign w:val="center"/>
          </w:tcPr>
          <w:p w14:paraId="3C1A593D">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rPr>
              <w:t>断路器+Fuse</w:t>
            </w:r>
          </w:p>
        </w:tc>
      </w:tr>
      <w:tr w14:paraId="7130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24" w:type="dxa"/>
            <w:vMerge w:val="continue"/>
          </w:tcPr>
          <w:p w14:paraId="72A45EA4">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419AE578">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交流输入</w:t>
            </w:r>
          </w:p>
        </w:tc>
        <w:tc>
          <w:tcPr>
            <w:tcW w:w="5271" w:type="dxa"/>
            <w:vAlign w:val="center"/>
          </w:tcPr>
          <w:p w14:paraId="0354AAA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断路器</w:t>
            </w:r>
          </w:p>
        </w:tc>
      </w:tr>
      <w:tr w14:paraId="2F0C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5DE053A7">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04E82E02">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过压保护</w:t>
            </w:r>
          </w:p>
        </w:tc>
        <w:tc>
          <w:tcPr>
            <w:tcW w:w="5271" w:type="dxa"/>
            <w:vAlign w:val="center"/>
          </w:tcPr>
          <w:p w14:paraId="31C93413">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DC Type Ⅱ/AC Type Ⅱ</w:t>
            </w:r>
          </w:p>
        </w:tc>
      </w:tr>
      <w:tr w14:paraId="481E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624" w:type="dxa"/>
            <w:vMerge w:val="continue"/>
          </w:tcPr>
          <w:p w14:paraId="385DEB7B">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3DB27812">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消防系统</w:t>
            </w:r>
          </w:p>
        </w:tc>
        <w:tc>
          <w:tcPr>
            <w:tcW w:w="5271" w:type="dxa"/>
            <w:vAlign w:val="center"/>
          </w:tcPr>
          <w:p w14:paraId="08266755">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气溶胶</w:t>
            </w:r>
          </w:p>
        </w:tc>
      </w:tr>
      <w:tr w14:paraId="1789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624" w:type="dxa"/>
            <w:vAlign w:val="center"/>
          </w:tcPr>
          <w:p w14:paraId="5D728862">
            <w:pPr>
              <w:pageBreakBefore w:val="0"/>
              <w:kinsoku/>
              <w:wordWrap/>
              <w:overflowPunct/>
              <w:autoSpaceDE/>
              <w:autoSpaceDN/>
              <w:bidi w:val="0"/>
              <w:adjustRightInd w:val="0"/>
              <w:spacing w:line="360" w:lineRule="exact"/>
              <w:ind w:left="0" w:leftChars="0" w:firstLine="420" w:firstLineChars="200"/>
              <w:jc w:val="center"/>
              <w:rPr>
                <w:rStyle w:val="80"/>
                <w:rFonts w:hint="eastAsia" w:ascii="仿宋" w:hAnsi="仿宋" w:eastAsia="仿宋" w:cs="仿宋"/>
                <w:color w:val="auto"/>
                <w:highlight w:val="none"/>
              </w:rPr>
            </w:pPr>
            <w:r>
              <w:rPr>
                <w:rFonts w:hint="eastAsia" w:ascii="仿宋" w:hAnsi="仿宋" w:eastAsia="仿宋" w:cs="仿宋"/>
                <w:color w:val="auto"/>
                <w:sz w:val="21"/>
                <w:szCs w:val="21"/>
                <w:highlight w:val="none"/>
              </w:rPr>
              <w:t>进线方式</w:t>
            </w:r>
          </w:p>
        </w:tc>
        <w:tc>
          <w:tcPr>
            <w:tcW w:w="7255" w:type="dxa"/>
            <w:gridSpan w:val="2"/>
            <w:vAlign w:val="center"/>
          </w:tcPr>
          <w:p w14:paraId="0579D051">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rPr>
              <w:t>底部进线</w:t>
            </w:r>
          </w:p>
        </w:tc>
      </w:tr>
      <w:tr w14:paraId="54D3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restart"/>
          </w:tcPr>
          <w:p w14:paraId="4E6A5053">
            <w:pPr>
              <w:pageBreakBefore w:val="0"/>
              <w:kinsoku/>
              <w:wordWrap/>
              <w:overflowPunct/>
              <w:bidi w:val="0"/>
              <w:spacing w:line="360" w:lineRule="exact"/>
              <w:ind w:left="0" w:leftChars="0" w:firstLine="420" w:firstLineChars="200"/>
              <w:jc w:val="center"/>
              <w:rPr>
                <w:rStyle w:val="80"/>
                <w:rFonts w:hint="eastAsia" w:ascii="仿宋" w:hAnsi="仿宋" w:eastAsia="仿宋" w:cs="仿宋"/>
                <w:color w:val="auto"/>
                <w:highlight w:val="none"/>
                <w:lang w:eastAsia="zh-CN"/>
              </w:rPr>
            </w:pPr>
          </w:p>
          <w:p w14:paraId="3A8DCED2">
            <w:pPr>
              <w:pageBreakBefore w:val="0"/>
              <w:kinsoku/>
              <w:wordWrap/>
              <w:overflowPunct/>
              <w:bidi w:val="0"/>
              <w:spacing w:line="360" w:lineRule="exact"/>
              <w:ind w:left="0" w:leftChars="0" w:firstLine="420" w:firstLineChars="200"/>
              <w:jc w:val="center"/>
              <w:rPr>
                <w:rStyle w:val="80"/>
                <w:rFonts w:hint="eastAsia" w:ascii="仿宋" w:hAnsi="仿宋" w:eastAsia="仿宋" w:cs="仿宋"/>
                <w:color w:val="auto"/>
                <w:highlight w:val="none"/>
                <w:lang w:eastAsia="zh-CN"/>
              </w:rPr>
            </w:pPr>
          </w:p>
          <w:p w14:paraId="01A90280">
            <w:pPr>
              <w:pageBreakBefore w:val="0"/>
              <w:kinsoku/>
              <w:wordWrap/>
              <w:overflowPunct/>
              <w:bidi w:val="0"/>
              <w:spacing w:line="360" w:lineRule="exact"/>
              <w:ind w:left="0" w:leftChars="0" w:firstLine="420" w:firstLineChars="200"/>
              <w:jc w:val="center"/>
              <w:rPr>
                <w:rStyle w:val="80"/>
                <w:rFonts w:hint="eastAsia" w:ascii="仿宋" w:hAnsi="仿宋" w:eastAsia="仿宋" w:cs="仿宋"/>
                <w:color w:val="auto"/>
                <w:highlight w:val="none"/>
                <w:lang w:eastAsia="zh-CN"/>
              </w:rPr>
            </w:pPr>
            <w:r>
              <w:rPr>
                <w:rStyle w:val="80"/>
                <w:rFonts w:hint="eastAsia" w:ascii="仿宋" w:hAnsi="仿宋" w:eastAsia="仿宋" w:cs="仿宋"/>
                <w:color w:val="auto"/>
                <w:highlight w:val="none"/>
                <w:lang w:eastAsia="zh-CN"/>
              </w:rPr>
              <w:t>环境要求</w:t>
            </w:r>
          </w:p>
        </w:tc>
        <w:tc>
          <w:tcPr>
            <w:tcW w:w="1984" w:type="dxa"/>
            <w:vAlign w:val="center"/>
          </w:tcPr>
          <w:p w14:paraId="08A2BE80">
            <w:pPr>
              <w:pageBreakBefore w:val="0"/>
              <w:kinsoku/>
              <w:wordWrap/>
              <w:overflowPunct/>
              <w:bidi w:val="0"/>
              <w:spacing w:line="360" w:lineRule="exact"/>
              <w:jc w:val="both"/>
              <w:textAlignment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允许环境湿度（%RH）</w:t>
            </w:r>
          </w:p>
        </w:tc>
        <w:tc>
          <w:tcPr>
            <w:tcW w:w="5271" w:type="dxa"/>
            <w:vAlign w:val="center"/>
          </w:tcPr>
          <w:p w14:paraId="3701E686">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5</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95</w:t>
            </w:r>
          </w:p>
        </w:tc>
      </w:tr>
      <w:tr w14:paraId="4C90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0964C409">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2110CC66">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工作海拔</w:t>
            </w:r>
            <w:r>
              <w:rPr>
                <w:rFonts w:hint="eastAsia" w:ascii="仿宋" w:hAnsi="仿宋" w:eastAsia="仿宋" w:cs="仿宋"/>
                <w:color w:val="auto"/>
                <w:sz w:val="21"/>
                <w:szCs w:val="21"/>
                <w:highlight w:val="none"/>
                <w:lang w:eastAsia="zh-CN"/>
              </w:rPr>
              <w:t>（米）</w:t>
            </w:r>
          </w:p>
        </w:tc>
        <w:tc>
          <w:tcPr>
            <w:tcW w:w="5271" w:type="dxa"/>
            <w:vAlign w:val="center"/>
          </w:tcPr>
          <w:p w14:paraId="234A53CA">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highlight w:val="none"/>
              </w:rPr>
              <w:t>2000</w:t>
            </w:r>
          </w:p>
        </w:tc>
      </w:tr>
      <w:tr w14:paraId="09C8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4" w:type="dxa"/>
            <w:vMerge w:val="continue"/>
          </w:tcPr>
          <w:p w14:paraId="0560F17B">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1B6E4EBD">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防护等级</w:t>
            </w:r>
          </w:p>
        </w:tc>
        <w:tc>
          <w:tcPr>
            <w:tcW w:w="5271" w:type="dxa"/>
            <w:vAlign w:val="center"/>
          </w:tcPr>
          <w:p w14:paraId="08027FA9">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IP5</w:t>
            </w:r>
            <w:r>
              <w:rPr>
                <w:rFonts w:hint="eastAsia" w:ascii="仿宋" w:hAnsi="仿宋" w:eastAsia="仿宋" w:cs="仿宋"/>
                <w:color w:val="auto"/>
                <w:sz w:val="21"/>
                <w:szCs w:val="21"/>
                <w:highlight w:val="none"/>
                <w:lang w:eastAsia="zh-CN"/>
              </w:rPr>
              <w:t>5</w:t>
            </w:r>
          </w:p>
        </w:tc>
      </w:tr>
      <w:tr w14:paraId="2CA0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24" w:type="dxa"/>
            <w:vMerge w:val="continue"/>
          </w:tcPr>
          <w:p w14:paraId="185B99E7">
            <w:pPr>
              <w:pageBreakBefore w:val="0"/>
              <w:kinsoku/>
              <w:wordWrap/>
              <w:overflowPunct/>
              <w:bidi w:val="0"/>
              <w:spacing w:line="360" w:lineRule="exact"/>
              <w:ind w:left="0" w:leftChars="0" w:firstLine="420" w:firstLineChars="200"/>
              <w:rPr>
                <w:rStyle w:val="80"/>
                <w:rFonts w:hint="eastAsia" w:ascii="仿宋" w:hAnsi="仿宋" w:eastAsia="仿宋" w:cs="仿宋"/>
                <w:color w:val="auto"/>
                <w:highlight w:val="none"/>
              </w:rPr>
            </w:pPr>
          </w:p>
        </w:tc>
        <w:tc>
          <w:tcPr>
            <w:tcW w:w="1984" w:type="dxa"/>
            <w:vAlign w:val="center"/>
          </w:tcPr>
          <w:p w14:paraId="48CA0AF7">
            <w:pPr>
              <w:pageBreakBefore w:val="0"/>
              <w:kinsoku/>
              <w:wordWrap/>
              <w:overflowPunct/>
              <w:bidi w:val="0"/>
              <w:spacing w:line="360" w:lineRule="exact"/>
              <w:ind w:left="0" w:leftChars="0" w:firstLine="420" w:firstLineChars="200"/>
              <w:jc w:val="center"/>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冷却方式</w:t>
            </w:r>
          </w:p>
        </w:tc>
        <w:tc>
          <w:tcPr>
            <w:tcW w:w="5271" w:type="dxa"/>
            <w:vAlign w:val="center"/>
          </w:tcPr>
          <w:p w14:paraId="496292AF">
            <w:pPr>
              <w:pageBreakBefore w:val="0"/>
              <w:kinsoku/>
              <w:wordWrap/>
              <w:overflowPunct/>
              <w:autoSpaceDE/>
              <w:autoSpaceDN/>
              <w:bidi w:val="0"/>
              <w:adjustRightInd w:val="0"/>
              <w:spacing w:line="360" w:lineRule="exact"/>
              <w:ind w:left="0" w:leftChars="0" w:firstLine="420" w:firstLineChars="200"/>
              <w:jc w:val="center"/>
              <w:rPr>
                <w:rFonts w:hint="eastAsia" w:ascii="仿宋" w:hAnsi="仿宋" w:eastAsia="仿宋" w:cs="仿宋"/>
                <w:color w:val="auto"/>
                <w:sz w:val="21"/>
                <w:szCs w:val="21"/>
                <w:highlight w:val="none"/>
                <w:shd w:val="clear" w:color="auto" w:fill="FFFFFF"/>
              </w:rPr>
            </w:pPr>
            <w:r>
              <w:rPr>
                <w:rFonts w:hint="eastAsia" w:ascii="仿宋" w:hAnsi="仿宋" w:eastAsia="仿宋" w:cs="仿宋"/>
                <w:color w:val="auto"/>
                <w:sz w:val="21"/>
                <w:szCs w:val="21"/>
                <w:highlight w:val="none"/>
              </w:rPr>
              <w:t>智能液冷</w:t>
            </w:r>
          </w:p>
        </w:tc>
      </w:tr>
    </w:tbl>
    <w:p w14:paraId="05A388ED">
      <w:pPr>
        <w:pStyle w:val="2"/>
        <w:keepNext/>
        <w:keepLines/>
        <w:pageBreakBefore w:val="0"/>
        <w:widowControl w:val="0"/>
        <w:kinsoku/>
        <w:wordWrap/>
        <w:overflowPunct/>
        <w:topLinePunct w:val="0"/>
        <w:autoSpaceDE/>
        <w:autoSpaceDN/>
        <w:bidi w:val="0"/>
        <w:adjustRightInd/>
        <w:snapToGrid/>
        <w:spacing w:before="0" w:after="0" w:line="360" w:lineRule="exact"/>
        <w:ind w:left="0" w:firstLine="643" w:firstLineChars="200"/>
        <w:textAlignment w:val="auto"/>
        <w:rPr>
          <w:rFonts w:hint="eastAsia" w:ascii="仿宋" w:hAnsi="仿宋" w:eastAsia="仿宋" w:cs="仿宋"/>
          <w:color w:val="auto"/>
          <w:highlight w:val="none"/>
        </w:rPr>
      </w:pPr>
      <w:bookmarkStart w:id="90" w:name="_Toc117860317"/>
      <w:bookmarkStart w:id="91" w:name="_Hlk116543348"/>
      <w:bookmarkStart w:id="92" w:name="_Hlk116492593"/>
      <w:r>
        <w:rPr>
          <w:rFonts w:hint="eastAsia" w:ascii="仿宋" w:hAnsi="仿宋" w:eastAsia="仿宋" w:cs="仿宋"/>
          <w:color w:val="auto"/>
          <w:highlight w:val="none"/>
        </w:rPr>
        <w:t>光伏部分技术要求</w:t>
      </w:r>
      <w:bookmarkEnd w:id="90"/>
    </w:p>
    <w:p w14:paraId="39B399A7">
      <w:pPr>
        <w:pStyle w:val="4"/>
        <w:keepNext/>
        <w:keepLines/>
        <w:pageBreakBefore w:val="0"/>
        <w:widowControl w:val="0"/>
        <w:kinsoku/>
        <w:wordWrap/>
        <w:overflowPunct/>
        <w:topLinePunct w:val="0"/>
        <w:autoSpaceDE/>
        <w:autoSpaceDN/>
        <w:bidi w:val="0"/>
        <w:adjustRightInd/>
        <w:snapToGrid/>
        <w:spacing w:before="0" w:after="0" w:line="360" w:lineRule="exact"/>
        <w:ind w:left="0" w:firstLine="643" w:firstLineChars="200"/>
        <w:textAlignment w:val="auto"/>
        <w:rPr>
          <w:rFonts w:hint="eastAsia" w:ascii="仿宋" w:hAnsi="仿宋" w:eastAsia="仿宋" w:cs="仿宋"/>
          <w:b/>
          <w:bCs/>
          <w:color w:val="auto"/>
          <w:kern w:val="2"/>
          <w:sz w:val="32"/>
          <w:szCs w:val="32"/>
          <w:highlight w:val="none"/>
          <w:lang w:val="zh-CN" w:eastAsia="zh-CN" w:bidi="ar-SA"/>
        </w:rPr>
      </w:pPr>
      <w:r>
        <w:rPr>
          <w:rFonts w:hint="eastAsia" w:ascii="仿宋" w:hAnsi="仿宋" w:eastAsia="仿宋" w:cs="仿宋"/>
          <w:b/>
          <w:bCs/>
          <w:color w:val="auto"/>
          <w:kern w:val="2"/>
          <w:sz w:val="32"/>
          <w:szCs w:val="32"/>
          <w:highlight w:val="none"/>
          <w:lang w:val="zh-CN" w:eastAsia="zh-CN" w:bidi="ar-SA"/>
        </w:rPr>
        <w:t>光伏组件技术要求</w:t>
      </w:r>
    </w:p>
    <w:p w14:paraId="362AAF68">
      <w:pPr>
        <w:pageBreakBefore w:val="0"/>
        <w:kinsoku/>
        <w:wordWrap/>
        <w:overflowPunct/>
        <w:topLinePunct w:val="0"/>
        <w:bidi w:val="0"/>
        <w:adjustRightInd w:val="0"/>
        <w:snapToGrid w:val="0"/>
        <w:spacing w:line="360" w:lineRule="exact"/>
        <w:ind w:left="0" w:leftChars="0" w:firstLine="480" w:firstLineChars="200"/>
        <w:textAlignment w:val="auto"/>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光伏组件应使用品质优良的原材料制造,采用高效率双玻半片单晶硅太阳能组件,符合GB/T9535-1998或GB/T18911-2002要求，确保产品在最严酷的环境中的长寿命和高可靠性。单晶体硅组件须按照GB/T9535（或IEC61215）标准要求，通过国家批准认证机构的认证。</w:t>
      </w:r>
    </w:p>
    <w:p w14:paraId="6CCD9967">
      <w:pPr>
        <w:pageBreakBefore w:val="0"/>
        <w:kinsoku/>
        <w:wordWrap/>
        <w:overflowPunct/>
        <w:topLinePunct w:val="0"/>
        <w:bidi w:val="0"/>
        <w:adjustRightInd w:val="0"/>
        <w:snapToGrid w:val="0"/>
        <w:spacing w:line="360" w:lineRule="exact"/>
        <w:ind w:left="0" w:leftChars="0" w:firstLine="480" w:firstLineChars="200"/>
        <w:textAlignment w:val="auto"/>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供货组件应为双玻半片单晶硅光伏组件，组件的标称功率不小于450Wp，且供应一个项目一个单元的组件规格应一致，供方提供详细的投标组件的性能参数；</w:t>
      </w:r>
    </w:p>
    <w:p w14:paraId="3BAA4258">
      <w:pPr>
        <w:pageBreakBefore w:val="0"/>
        <w:kinsoku/>
        <w:wordWrap/>
        <w:overflowPunct/>
        <w:topLinePunct w:val="0"/>
        <w:bidi w:val="0"/>
        <w:adjustRightInd w:val="0"/>
        <w:snapToGrid w:val="0"/>
        <w:spacing w:line="360" w:lineRule="exact"/>
        <w:ind w:left="0" w:leftChars="0" w:firstLine="480" w:firstLineChars="200"/>
        <w:jc w:val="center"/>
        <w:textAlignment w:val="auto"/>
        <w:rPr>
          <w:rFonts w:hint="eastAsia" w:ascii="仿宋" w:hAnsi="仿宋" w:eastAsia="仿宋" w:cs="仿宋"/>
          <w:color w:val="auto"/>
          <w:sz w:val="24"/>
          <w:szCs w:val="32"/>
          <w:highlight w:val="none"/>
        </w:rPr>
      </w:pPr>
      <w:r>
        <w:rPr>
          <w:rFonts w:hint="eastAsia" w:ascii="仿宋" w:hAnsi="仿宋" w:eastAsia="仿宋" w:cs="仿宋"/>
          <w:color w:val="auto"/>
          <w:sz w:val="24"/>
          <w:szCs w:val="32"/>
          <w:highlight w:val="none"/>
        </w:rPr>
        <w:t>表4-2组件电性能参数</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3143"/>
        <w:gridCol w:w="1259"/>
        <w:gridCol w:w="3563"/>
      </w:tblGrid>
      <w:tr w14:paraId="32C7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09E912AD">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序号</w:t>
            </w:r>
          </w:p>
        </w:tc>
        <w:tc>
          <w:tcPr>
            <w:tcW w:w="1713" w:type="pct"/>
            <w:tcBorders>
              <w:right w:val="single" w:color="auto" w:sz="4" w:space="0"/>
            </w:tcBorders>
            <w:vAlign w:val="center"/>
          </w:tcPr>
          <w:p w14:paraId="011CC718">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名称</w:t>
            </w:r>
          </w:p>
        </w:tc>
        <w:tc>
          <w:tcPr>
            <w:tcW w:w="2628" w:type="pct"/>
            <w:gridSpan w:val="2"/>
            <w:tcBorders>
              <w:top w:val="single" w:color="auto" w:sz="4" w:space="0"/>
              <w:left w:val="single" w:color="auto" w:sz="4" w:space="0"/>
              <w:bottom w:val="single" w:color="auto" w:sz="4" w:space="0"/>
              <w:right w:val="single" w:color="auto" w:sz="4" w:space="0"/>
            </w:tcBorders>
            <w:vAlign w:val="center"/>
          </w:tcPr>
          <w:p w14:paraId="1F3445F5">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性能参数</w:t>
            </w:r>
          </w:p>
        </w:tc>
      </w:tr>
      <w:tr w14:paraId="3EEF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0BE38385">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1</w:t>
            </w:r>
          </w:p>
        </w:tc>
        <w:tc>
          <w:tcPr>
            <w:tcW w:w="1713" w:type="pct"/>
            <w:vAlign w:val="center"/>
          </w:tcPr>
          <w:p w14:paraId="7112A4BF">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最大输出功率</w:t>
            </w:r>
          </w:p>
        </w:tc>
        <w:tc>
          <w:tcPr>
            <w:tcW w:w="686" w:type="pct"/>
            <w:tcBorders>
              <w:top w:val="single" w:color="auto" w:sz="4" w:space="0"/>
            </w:tcBorders>
            <w:vAlign w:val="center"/>
          </w:tcPr>
          <w:p w14:paraId="2DDBDEE4">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Wp</w:t>
            </w:r>
          </w:p>
        </w:tc>
        <w:tc>
          <w:tcPr>
            <w:tcW w:w="1942" w:type="pct"/>
            <w:tcBorders>
              <w:top w:val="single" w:color="auto" w:sz="4" w:space="0"/>
            </w:tcBorders>
            <w:vAlign w:val="center"/>
          </w:tcPr>
          <w:p w14:paraId="285FE3AD">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≥450</w:t>
            </w:r>
          </w:p>
        </w:tc>
      </w:tr>
      <w:tr w14:paraId="1B09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2E16F90C">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2</w:t>
            </w:r>
          </w:p>
        </w:tc>
        <w:tc>
          <w:tcPr>
            <w:tcW w:w="1713" w:type="pct"/>
            <w:vAlign w:val="center"/>
          </w:tcPr>
          <w:p w14:paraId="7FEC5AE1">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最大系统电压</w:t>
            </w:r>
          </w:p>
        </w:tc>
        <w:tc>
          <w:tcPr>
            <w:tcW w:w="686" w:type="pct"/>
            <w:vAlign w:val="center"/>
          </w:tcPr>
          <w:p w14:paraId="1E76646C">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V</w:t>
            </w:r>
          </w:p>
        </w:tc>
        <w:tc>
          <w:tcPr>
            <w:tcW w:w="1942" w:type="pct"/>
            <w:vAlign w:val="center"/>
          </w:tcPr>
          <w:p w14:paraId="6CE97FA1">
            <w:pPr>
              <w:pageBreakBefore w:val="0"/>
              <w:kinsoku/>
              <w:wordWrap/>
              <w:overflowPunct/>
              <w:topLinePunct w:val="0"/>
              <w:autoSpaceDE/>
              <w:autoSpaceDN/>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DC1000（IEC）</w:t>
            </w:r>
          </w:p>
        </w:tc>
      </w:tr>
      <w:tr w14:paraId="6AE2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442300ED">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3</w:t>
            </w:r>
          </w:p>
        </w:tc>
        <w:tc>
          <w:tcPr>
            <w:tcW w:w="1713" w:type="pct"/>
            <w:vAlign w:val="center"/>
          </w:tcPr>
          <w:p w14:paraId="04DB88AC">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工作温度范围</w:t>
            </w:r>
          </w:p>
        </w:tc>
        <w:tc>
          <w:tcPr>
            <w:tcW w:w="686" w:type="pct"/>
            <w:vAlign w:val="center"/>
          </w:tcPr>
          <w:p w14:paraId="667B9A3B">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w:t>
            </w:r>
          </w:p>
        </w:tc>
        <w:tc>
          <w:tcPr>
            <w:tcW w:w="1942" w:type="pct"/>
            <w:vAlign w:val="center"/>
          </w:tcPr>
          <w:p w14:paraId="086BF3BE">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-40～85</w:t>
            </w:r>
          </w:p>
        </w:tc>
      </w:tr>
      <w:tr w14:paraId="7A7F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4B90B186">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4</w:t>
            </w:r>
          </w:p>
        </w:tc>
        <w:tc>
          <w:tcPr>
            <w:tcW w:w="1713" w:type="pct"/>
            <w:vAlign w:val="center"/>
          </w:tcPr>
          <w:p w14:paraId="6FB6E439">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第一年功率衰降率</w:t>
            </w:r>
          </w:p>
        </w:tc>
        <w:tc>
          <w:tcPr>
            <w:tcW w:w="686" w:type="pct"/>
            <w:vAlign w:val="center"/>
          </w:tcPr>
          <w:p w14:paraId="125E50C7">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w:t>
            </w:r>
          </w:p>
        </w:tc>
        <w:tc>
          <w:tcPr>
            <w:tcW w:w="1942" w:type="pct"/>
            <w:vAlign w:val="center"/>
          </w:tcPr>
          <w:p w14:paraId="58304C3F">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≤2.5%</w:t>
            </w:r>
          </w:p>
        </w:tc>
      </w:tr>
      <w:tr w14:paraId="0348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03E0B51A">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5</w:t>
            </w:r>
          </w:p>
        </w:tc>
        <w:tc>
          <w:tcPr>
            <w:tcW w:w="1713" w:type="pct"/>
            <w:vAlign w:val="center"/>
          </w:tcPr>
          <w:p w14:paraId="6C8B4886">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功率衰减承诺</w:t>
            </w:r>
          </w:p>
          <w:p w14:paraId="144A70CD">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（第2-25年）</w:t>
            </w:r>
          </w:p>
        </w:tc>
        <w:tc>
          <w:tcPr>
            <w:tcW w:w="686" w:type="pct"/>
            <w:vAlign w:val="center"/>
          </w:tcPr>
          <w:p w14:paraId="7457A5C4">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w:t>
            </w:r>
          </w:p>
        </w:tc>
        <w:tc>
          <w:tcPr>
            <w:tcW w:w="1942" w:type="pct"/>
            <w:vAlign w:val="center"/>
          </w:tcPr>
          <w:p w14:paraId="2248599D">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每年衰减≤0.7%/年</w:t>
            </w:r>
          </w:p>
        </w:tc>
      </w:tr>
      <w:tr w14:paraId="330B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25A8C461">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6</w:t>
            </w:r>
          </w:p>
        </w:tc>
        <w:tc>
          <w:tcPr>
            <w:tcW w:w="1713" w:type="pct"/>
            <w:vAlign w:val="center"/>
          </w:tcPr>
          <w:p w14:paraId="701550E7">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电池片等级</w:t>
            </w:r>
          </w:p>
        </w:tc>
        <w:tc>
          <w:tcPr>
            <w:tcW w:w="686" w:type="pct"/>
            <w:vAlign w:val="center"/>
          </w:tcPr>
          <w:p w14:paraId="4DDBE655">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p>
        </w:tc>
        <w:tc>
          <w:tcPr>
            <w:tcW w:w="1942" w:type="pct"/>
            <w:vAlign w:val="center"/>
          </w:tcPr>
          <w:p w14:paraId="093BB571">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A</w:t>
            </w:r>
          </w:p>
        </w:tc>
      </w:tr>
      <w:tr w14:paraId="4024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6E20EB2A">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7</w:t>
            </w:r>
          </w:p>
        </w:tc>
        <w:tc>
          <w:tcPr>
            <w:tcW w:w="1713" w:type="pct"/>
            <w:vAlign w:val="center"/>
          </w:tcPr>
          <w:p w14:paraId="796C3B09">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防护等级</w:t>
            </w:r>
          </w:p>
        </w:tc>
        <w:tc>
          <w:tcPr>
            <w:tcW w:w="686" w:type="pct"/>
            <w:vAlign w:val="center"/>
          </w:tcPr>
          <w:p w14:paraId="275AD672">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p>
        </w:tc>
        <w:tc>
          <w:tcPr>
            <w:tcW w:w="1942" w:type="pct"/>
            <w:vAlign w:val="center"/>
          </w:tcPr>
          <w:p w14:paraId="3418F07A">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IP65</w:t>
            </w:r>
          </w:p>
        </w:tc>
      </w:tr>
      <w:tr w14:paraId="4CBE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59" w:type="pct"/>
            <w:vAlign w:val="center"/>
          </w:tcPr>
          <w:p w14:paraId="6F2D9098">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8</w:t>
            </w:r>
          </w:p>
        </w:tc>
        <w:tc>
          <w:tcPr>
            <w:tcW w:w="1713" w:type="pct"/>
            <w:vAlign w:val="center"/>
          </w:tcPr>
          <w:p w14:paraId="4044BDB4">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组件效率</w:t>
            </w:r>
          </w:p>
        </w:tc>
        <w:tc>
          <w:tcPr>
            <w:tcW w:w="686" w:type="pct"/>
            <w:vAlign w:val="center"/>
          </w:tcPr>
          <w:p w14:paraId="62403459">
            <w:pPr>
              <w:pageBreakBefore w:val="0"/>
              <w:widowControl/>
              <w:kinsoku/>
              <w:wordWrap/>
              <w:overflowPunct/>
              <w:topLinePunct w:val="0"/>
              <w:bidi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w:t>
            </w:r>
          </w:p>
        </w:tc>
        <w:tc>
          <w:tcPr>
            <w:tcW w:w="1942" w:type="pct"/>
            <w:vAlign w:val="center"/>
          </w:tcPr>
          <w:p w14:paraId="1DDE843E">
            <w:pPr>
              <w:pageBreakBefore w:val="0"/>
              <w:kinsoku/>
              <w:wordWrap/>
              <w:overflowPunct/>
              <w:topLinePunct w:val="0"/>
              <w:bidi w:val="0"/>
              <w:snapToGrid w:val="0"/>
              <w:spacing w:line="360" w:lineRule="exact"/>
              <w:ind w:left="0" w:leftChars="0" w:firstLine="420" w:firstLineChars="200"/>
              <w:jc w:val="center"/>
              <w:textAlignment w:val="auto"/>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≥20</w:t>
            </w:r>
          </w:p>
        </w:tc>
      </w:tr>
    </w:tbl>
    <w:p w14:paraId="2385781E">
      <w:pPr>
        <w:pageBreakBefore w:val="0"/>
        <w:kinsoku/>
        <w:wordWrap/>
        <w:overflowPunct/>
        <w:topLinePunct w:val="0"/>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每块光伏组件应带有正负出线、正负极连接头和旁路二极管（防止组件热斑故障）。自带的串联所使用的电缆线应满足抗紫外线、抗老化、抗高温、防腐蚀和阻燃等性能要求，选用双绝缘防紫外线阻燃铜芯电缆，电缆性能符合GB/T18950-2003性能测试的要求；接线盒（引线盒）应密封防水、散热性好并连接牢固，引线极性标记准确、明显，采用满足IEC标准的电气连接；采用工业防水耐温快速接插件，接插件防锈、防腐蚀等性能要求，并应满足符合相关国家和行业规范规程。</w:t>
      </w:r>
    </w:p>
    <w:p w14:paraId="5FEC71BC">
      <w:pPr>
        <w:pageBreakBefore w:val="0"/>
        <w:kinsoku/>
        <w:wordWrap/>
        <w:overflowPunct/>
        <w:topLinePunct w:val="0"/>
        <w:bidi w:val="0"/>
        <w:adjustRightInd w:val="0"/>
        <w:snapToGrid w:val="0"/>
        <w:spacing w:line="360" w:lineRule="exact"/>
        <w:ind w:left="0" w:lef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光伏组件应满足正常使用寿命不小于25年。</w:t>
      </w:r>
    </w:p>
    <w:p w14:paraId="33B494AC">
      <w:pPr>
        <w:pStyle w:val="4"/>
        <w:keepNext/>
        <w:keepLines/>
        <w:pageBreakBefore w:val="0"/>
        <w:widowControl w:val="0"/>
        <w:kinsoku/>
        <w:wordWrap/>
        <w:overflowPunct/>
        <w:topLinePunct w:val="0"/>
        <w:autoSpaceDE/>
        <w:autoSpaceDN/>
        <w:bidi w:val="0"/>
        <w:adjustRightInd/>
        <w:snapToGrid/>
        <w:spacing w:before="0" w:after="0" w:line="360" w:lineRule="exact"/>
        <w:ind w:left="0" w:firstLine="482" w:firstLineChars="200"/>
        <w:textAlignment w:val="auto"/>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b/>
          <w:bCs/>
          <w:color w:val="auto"/>
          <w:kern w:val="2"/>
          <w:sz w:val="24"/>
          <w:szCs w:val="24"/>
          <w:highlight w:val="none"/>
          <w:lang w:val="zh-CN" w:eastAsia="zh-CN" w:bidi="ar-SA"/>
        </w:rPr>
        <w:t>光伏逆变器技术要求</w:t>
      </w:r>
    </w:p>
    <w:p w14:paraId="404F1EDC">
      <w:pPr>
        <w:pageBreakBefore w:val="0"/>
        <w:widowControl/>
        <w:kinsoku/>
        <w:wordWrap/>
        <w:overflowPunct/>
        <w:topLinePunct w:val="0"/>
        <w:bidi w:val="0"/>
        <w:spacing w:line="360" w:lineRule="exact"/>
        <w:ind w:left="0" w:leftChars="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光伏逆变器应支持IV诊断，最大效率不低于98.0%，采用无熔丝设计，设备防护等级不应低于IP65，具备多路高精度组串检测功能，内置交直流防雷和RCD检测，支持MBUS通信。</w:t>
      </w:r>
    </w:p>
    <w:tbl>
      <w:tblPr>
        <w:tblStyle w:val="65"/>
        <w:tblpPr w:leftFromText="180" w:rightFromText="180" w:vertAnchor="text" w:horzAnchor="page" w:tblpX="14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8"/>
        <w:gridCol w:w="104"/>
        <w:gridCol w:w="1855"/>
        <w:gridCol w:w="2610"/>
        <w:gridCol w:w="2538"/>
      </w:tblGrid>
      <w:tr w14:paraId="251D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dxa"/>
            <w:gridSpan w:val="2"/>
            <w:vAlign w:val="center"/>
          </w:tcPr>
          <w:p w14:paraId="2D51C5F1">
            <w:pPr>
              <w:pageBreakBefore w:val="0"/>
              <w:kinsoku/>
              <w:wordWrap/>
              <w:overflowPunct/>
              <w:bidi w:val="0"/>
              <w:spacing w:line="360" w:lineRule="exact"/>
              <w:ind w:left="0" w:leftChars="0" w:firstLine="420" w:firstLineChars="200"/>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功率</w:t>
            </w:r>
          </w:p>
        </w:tc>
        <w:tc>
          <w:tcPr>
            <w:tcW w:w="1855" w:type="dxa"/>
            <w:vAlign w:val="center"/>
          </w:tcPr>
          <w:p w14:paraId="09209D94">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125kW</w:t>
            </w:r>
          </w:p>
        </w:tc>
        <w:tc>
          <w:tcPr>
            <w:tcW w:w="2610" w:type="dxa"/>
          </w:tcPr>
          <w:p w14:paraId="37CAB0C2">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110kW</w:t>
            </w:r>
          </w:p>
        </w:tc>
        <w:tc>
          <w:tcPr>
            <w:tcW w:w="2538" w:type="dxa"/>
          </w:tcPr>
          <w:p w14:paraId="0AFB5D6E">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60kW</w:t>
            </w:r>
          </w:p>
        </w:tc>
      </w:tr>
      <w:tr w14:paraId="1BB6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654EE389">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效率</w:t>
            </w:r>
          </w:p>
        </w:tc>
      </w:tr>
      <w:tr w14:paraId="5D57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0A4C25E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最大效率</w:t>
            </w:r>
          </w:p>
        </w:tc>
        <w:tc>
          <w:tcPr>
            <w:tcW w:w="1959" w:type="dxa"/>
            <w:gridSpan w:val="2"/>
            <w:vAlign w:val="center"/>
          </w:tcPr>
          <w:p w14:paraId="485C84B3">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99.0%</w:t>
            </w:r>
          </w:p>
        </w:tc>
        <w:tc>
          <w:tcPr>
            <w:tcW w:w="2610" w:type="dxa"/>
          </w:tcPr>
          <w:p w14:paraId="51A5559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98.6%</w:t>
            </w:r>
          </w:p>
        </w:tc>
        <w:tc>
          <w:tcPr>
            <w:tcW w:w="2538" w:type="dxa"/>
          </w:tcPr>
          <w:p w14:paraId="2355BE9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98.6%</w:t>
            </w:r>
          </w:p>
        </w:tc>
      </w:tr>
      <w:tr w14:paraId="4DDE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249FF55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中国效率</w:t>
            </w:r>
          </w:p>
        </w:tc>
        <w:tc>
          <w:tcPr>
            <w:tcW w:w="1959" w:type="dxa"/>
            <w:gridSpan w:val="2"/>
            <w:vAlign w:val="center"/>
          </w:tcPr>
          <w:p w14:paraId="4EB3D28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98.3%</w:t>
            </w:r>
          </w:p>
        </w:tc>
        <w:tc>
          <w:tcPr>
            <w:tcW w:w="2610" w:type="dxa"/>
          </w:tcPr>
          <w:p w14:paraId="6028345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98.1%</w:t>
            </w:r>
          </w:p>
        </w:tc>
        <w:tc>
          <w:tcPr>
            <w:tcW w:w="2538" w:type="dxa"/>
          </w:tcPr>
          <w:p w14:paraId="0CE901A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98.3%</w:t>
            </w:r>
          </w:p>
        </w:tc>
      </w:tr>
      <w:tr w14:paraId="6DB0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13804F90">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输入</w:t>
            </w:r>
          </w:p>
        </w:tc>
      </w:tr>
      <w:tr w14:paraId="30C4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261F38B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最大输入电压</w:t>
            </w:r>
          </w:p>
        </w:tc>
        <w:tc>
          <w:tcPr>
            <w:tcW w:w="1959" w:type="dxa"/>
            <w:gridSpan w:val="2"/>
            <w:vAlign w:val="center"/>
          </w:tcPr>
          <w:p w14:paraId="3E7D1C9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1,100 V</w:t>
            </w:r>
          </w:p>
        </w:tc>
        <w:tc>
          <w:tcPr>
            <w:tcW w:w="2610" w:type="dxa"/>
          </w:tcPr>
          <w:p w14:paraId="2798A1F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1,100 V</w:t>
            </w:r>
          </w:p>
        </w:tc>
        <w:tc>
          <w:tcPr>
            <w:tcW w:w="2538" w:type="dxa"/>
          </w:tcPr>
          <w:p w14:paraId="6DB6152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1,100 V</w:t>
            </w:r>
          </w:p>
        </w:tc>
      </w:tr>
      <w:tr w14:paraId="29FB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C7A65C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每路MPPT最大输入电流</w:t>
            </w:r>
          </w:p>
        </w:tc>
        <w:tc>
          <w:tcPr>
            <w:tcW w:w="1959" w:type="dxa"/>
            <w:gridSpan w:val="2"/>
            <w:vAlign w:val="center"/>
          </w:tcPr>
          <w:p w14:paraId="123CBFB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26 A</w:t>
            </w:r>
          </w:p>
        </w:tc>
        <w:tc>
          <w:tcPr>
            <w:tcW w:w="2610" w:type="dxa"/>
          </w:tcPr>
          <w:p w14:paraId="5D36AAF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26 A</w:t>
            </w:r>
          </w:p>
        </w:tc>
        <w:tc>
          <w:tcPr>
            <w:tcW w:w="2538" w:type="dxa"/>
          </w:tcPr>
          <w:p w14:paraId="2EAECE0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22 A</w:t>
            </w:r>
          </w:p>
        </w:tc>
      </w:tr>
      <w:tr w14:paraId="3CF7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26E5074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每路MPPT最大短路电流</w:t>
            </w:r>
          </w:p>
        </w:tc>
        <w:tc>
          <w:tcPr>
            <w:tcW w:w="1959" w:type="dxa"/>
            <w:gridSpan w:val="2"/>
            <w:vAlign w:val="center"/>
          </w:tcPr>
          <w:p w14:paraId="61015FC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40 A</w:t>
            </w:r>
          </w:p>
        </w:tc>
        <w:tc>
          <w:tcPr>
            <w:tcW w:w="2610" w:type="dxa"/>
          </w:tcPr>
          <w:p w14:paraId="18C091C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40 A</w:t>
            </w:r>
          </w:p>
        </w:tc>
        <w:tc>
          <w:tcPr>
            <w:tcW w:w="2538" w:type="dxa"/>
          </w:tcPr>
          <w:p w14:paraId="4C3CF54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30 A</w:t>
            </w:r>
          </w:p>
        </w:tc>
      </w:tr>
      <w:tr w14:paraId="3EC0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5327C67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MPPT电压范围</w:t>
            </w:r>
          </w:p>
        </w:tc>
        <w:tc>
          <w:tcPr>
            <w:tcW w:w="1959" w:type="dxa"/>
            <w:gridSpan w:val="2"/>
            <w:vAlign w:val="center"/>
          </w:tcPr>
          <w:p w14:paraId="28A66D0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200 V ~ 1,000 V</w:t>
            </w:r>
          </w:p>
        </w:tc>
        <w:tc>
          <w:tcPr>
            <w:tcW w:w="2610" w:type="dxa"/>
          </w:tcPr>
          <w:p w14:paraId="199FBC3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200 V ~ 1,000 V</w:t>
            </w:r>
          </w:p>
        </w:tc>
        <w:tc>
          <w:tcPr>
            <w:tcW w:w="2538" w:type="dxa"/>
          </w:tcPr>
          <w:p w14:paraId="56B0C67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200 V ~ 1,000 V</w:t>
            </w:r>
          </w:p>
        </w:tc>
      </w:tr>
      <w:tr w14:paraId="7B3C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469121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额定输入电压</w:t>
            </w:r>
          </w:p>
        </w:tc>
        <w:tc>
          <w:tcPr>
            <w:tcW w:w="1959" w:type="dxa"/>
            <w:gridSpan w:val="2"/>
            <w:vAlign w:val="center"/>
          </w:tcPr>
          <w:p w14:paraId="6BEA8EC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750 V</w:t>
            </w:r>
          </w:p>
        </w:tc>
        <w:tc>
          <w:tcPr>
            <w:tcW w:w="2610" w:type="dxa"/>
          </w:tcPr>
          <w:p w14:paraId="6E8CADE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600 V</w:t>
            </w:r>
          </w:p>
        </w:tc>
        <w:tc>
          <w:tcPr>
            <w:tcW w:w="2538" w:type="dxa"/>
          </w:tcPr>
          <w:p w14:paraId="1E38698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680 V</w:t>
            </w:r>
          </w:p>
        </w:tc>
      </w:tr>
      <w:tr w14:paraId="5FD3E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052FD25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输入路数</w:t>
            </w:r>
          </w:p>
        </w:tc>
        <w:tc>
          <w:tcPr>
            <w:tcW w:w="1959" w:type="dxa"/>
            <w:gridSpan w:val="2"/>
            <w:vAlign w:val="center"/>
          </w:tcPr>
          <w:p w14:paraId="30BC9C8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20</w:t>
            </w:r>
          </w:p>
        </w:tc>
        <w:tc>
          <w:tcPr>
            <w:tcW w:w="2610" w:type="dxa"/>
          </w:tcPr>
          <w:p w14:paraId="66FC09A2">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20</w:t>
            </w:r>
          </w:p>
        </w:tc>
        <w:tc>
          <w:tcPr>
            <w:tcW w:w="2538" w:type="dxa"/>
          </w:tcPr>
          <w:p w14:paraId="2D0CB92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12</w:t>
            </w:r>
          </w:p>
        </w:tc>
      </w:tr>
      <w:tr w14:paraId="6AF0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5DA69BD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MPPT数量</w:t>
            </w:r>
          </w:p>
        </w:tc>
        <w:tc>
          <w:tcPr>
            <w:tcW w:w="1959" w:type="dxa"/>
            <w:gridSpan w:val="2"/>
            <w:vAlign w:val="center"/>
          </w:tcPr>
          <w:p w14:paraId="410013B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10</w:t>
            </w:r>
          </w:p>
        </w:tc>
        <w:tc>
          <w:tcPr>
            <w:tcW w:w="2610" w:type="dxa"/>
          </w:tcPr>
          <w:p w14:paraId="653ED28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10</w:t>
            </w:r>
          </w:p>
        </w:tc>
        <w:tc>
          <w:tcPr>
            <w:tcW w:w="2538" w:type="dxa"/>
          </w:tcPr>
          <w:p w14:paraId="1891220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6</w:t>
            </w:r>
          </w:p>
        </w:tc>
      </w:tr>
      <w:tr w14:paraId="7793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0BF1DF04">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输出</w:t>
            </w:r>
          </w:p>
        </w:tc>
      </w:tr>
      <w:tr w14:paraId="249F2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DEE1DE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额定输出功率</w:t>
            </w:r>
          </w:p>
        </w:tc>
        <w:tc>
          <w:tcPr>
            <w:tcW w:w="1959" w:type="dxa"/>
            <w:gridSpan w:val="2"/>
            <w:vAlign w:val="center"/>
          </w:tcPr>
          <w:p w14:paraId="6FA37E5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125,000 W</w:t>
            </w:r>
          </w:p>
        </w:tc>
        <w:tc>
          <w:tcPr>
            <w:tcW w:w="2610" w:type="dxa"/>
          </w:tcPr>
          <w:p w14:paraId="2BF0EE4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110,000 W</w:t>
            </w:r>
          </w:p>
        </w:tc>
        <w:tc>
          <w:tcPr>
            <w:tcW w:w="2538" w:type="dxa"/>
          </w:tcPr>
          <w:p w14:paraId="0BA8E4E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60,000 W</w:t>
            </w:r>
          </w:p>
        </w:tc>
      </w:tr>
      <w:tr w14:paraId="6F7B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FCCB62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最大视在功率</w:t>
            </w:r>
          </w:p>
        </w:tc>
        <w:tc>
          <w:tcPr>
            <w:tcW w:w="1959" w:type="dxa"/>
            <w:gridSpan w:val="2"/>
            <w:vAlign w:val="center"/>
          </w:tcPr>
          <w:p w14:paraId="08BE14C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137,500 VA</w:t>
            </w:r>
          </w:p>
        </w:tc>
        <w:tc>
          <w:tcPr>
            <w:tcW w:w="2610" w:type="dxa"/>
          </w:tcPr>
          <w:p w14:paraId="5D0FEB02">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121,000 VA</w:t>
            </w:r>
          </w:p>
        </w:tc>
        <w:tc>
          <w:tcPr>
            <w:tcW w:w="2538" w:type="dxa"/>
          </w:tcPr>
          <w:p w14:paraId="405BC9B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66,000 VA</w:t>
            </w:r>
          </w:p>
        </w:tc>
      </w:tr>
      <w:tr w14:paraId="72E5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F51D03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最大有功功率(cosφ=1)</w:t>
            </w:r>
          </w:p>
        </w:tc>
        <w:tc>
          <w:tcPr>
            <w:tcW w:w="1959" w:type="dxa"/>
            <w:gridSpan w:val="2"/>
            <w:vAlign w:val="center"/>
          </w:tcPr>
          <w:p w14:paraId="286774F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137,500 W</w:t>
            </w:r>
          </w:p>
        </w:tc>
        <w:tc>
          <w:tcPr>
            <w:tcW w:w="2610" w:type="dxa"/>
          </w:tcPr>
          <w:p w14:paraId="4F9D6FC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121,000 W</w:t>
            </w:r>
          </w:p>
        </w:tc>
        <w:tc>
          <w:tcPr>
            <w:tcW w:w="2538" w:type="dxa"/>
          </w:tcPr>
          <w:p w14:paraId="3B40941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66,000W</w:t>
            </w:r>
          </w:p>
        </w:tc>
      </w:tr>
      <w:tr w14:paraId="20EC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547E347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额定输出电压</w:t>
            </w:r>
          </w:p>
        </w:tc>
        <w:tc>
          <w:tcPr>
            <w:tcW w:w="1959" w:type="dxa"/>
            <w:gridSpan w:val="2"/>
            <w:vAlign w:val="center"/>
          </w:tcPr>
          <w:p w14:paraId="6519CFB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3 ×288 V/500 V, 3W+PE</w:t>
            </w:r>
          </w:p>
        </w:tc>
        <w:tc>
          <w:tcPr>
            <w:tcW w:w="2610" w:type="dxa"/>
          </w:tcPr>
          <w:p w14:paraId="67618DE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3 ×220 V/380 V, 3 ×230 V/400 V, 3W+N+PE</w:t>
            </w:r>
          </w:p>
        </w:tc>
        <w:tc>
          <w:tcPr>
            <w:tcW w:w="2538" w:type="dxa"/>
          </w:tcPr>
          <w:p w14:paraId="335DF31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220 V / 380 V，230 V/ 400 V</w:t>
            </w:r>
          </w:p>
          <w:p w14:paraId="0F79354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默认3W+N+PE，可选设置3W+PE</w:t>
            </w:r>
          </w:p>
        </w:tc>
      </w:tr>
      <w:tr w14:paraId="1848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4C6A02E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输出电压频率</w:t>
            </w:r>
          </w:p>
        </w:tc>
        <w:tc>
          <w:tcPr>
            <w:tcW w:w="1959" w:type="dxa"/>
            <w:gridSpan w:val="2"/>
            <w:vAlign w:val="center"/>
          </w:tcPr>
          <w:p w14:paraId="0414A79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50 Hz</w:t>
            </w:r>
          </w:p>
        </w:tc>
        <w:tc>
          <w:tcPr>
            <w:tcW w:w="2610" w:type="dxa"/>
          </w:tcPr>
          <w:p w14:paraId="247B2BC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50 Hz</w:t>
            </w:r>
          </w:p>
        </w:tc>
        <w:tc>
          <w:tcPr>
            <w:tcW w:w="2538" w:type="dxa"/>
          </w:tcPr>
          <w:p w14:paraId="01F7D17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50 Hz</w:t>
            </w:r>
          </w:p>
        </w:tc>
      </w:tr>
      <w:tr w14:paraId="36A4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68AD6FF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额定输出电流</w:t>
            </w:r>
          </w:p>
        </w:tc>
        <w:tc>
          <w:tcPr>
            <w:tcW w:w="1959" w:type="dxa"/>
            <w:gridSpan w:val="2"/>
            <w:vAlign w:val="center"/>
          </w:tcPr>
          <w:p w14:paraId="07E09B1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144.4 A</w:t>
            </w:r>
          </w:p>
        </w:tc>
        <w:tc>
          <w:tcPr>
            <w:tcW w:w="2610" w:type="dxa"/>
          </w:tcPr>
          <w:p w14:paraId="134D3BC2">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167.2A（380Vac），158.8A（400Vac）</w:t>
            </w:r>
          </w:p>
        </w:tc>
        <w:tc>
          <w:tcPr>
            <w:tcW w:w="2538" w:type="dxa"/>
          </w:tcPr>
          <w:p w14:paraId="2413BAB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91.2 A</w:t>
            </w:r>
          </w:p>
        </w:tc>
      </w:tr>
      <w:tr w14:paraId="2F44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7EFF922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最大输出电流</w:t>
            </w:r>
          </w:p>
        </w:tc>
        <w:tc>
          <w:tcPr>
            <w:tcW w:w="1959" w:type="dxa"/>
            <w:gridSpan w:val="2"/>
            <w:vAlign w:val="center"/>
          </w:tcPr>
          <w:p w14:paraId="4B8FFBB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160.4 A</w:t>
            </w:r>
          </w:p>
        </w:tc>
        <w:tc>
          <w:tcPr>
            <w:tcW w:w="2610" w:type="dxa"/>
          </w:tcPr>
          <w:p w14:paraId="62155AB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185.7A（380Vac），176.4A（400Vac）</w:t>
            </w:r>
          </w:p>
        </w:tc>
        <w:tc>
          <w:tcPr>
            <w:tcW w:w="2538" w:type="dxa"/>
          </w:tcPr>
          <w:p w14:paraId="45FA851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100 A</w:t>
            </w:r>
          </w:p>
        </w:tc>
      </w:tr>
      <w:tr w14:paraId="66DC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5A75430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功率因数</w:t>
            </w:r>
          </w:p>
        </w:tc>
        <w:tc>
          <w:tcPr>
            <w:tcW w:w="1959" w:type="dxa"/>
            <w:gridSpan w:val="2"/>
            <w:vAlign w:val="center"/>
          </w:tcPr>
          <w:p w14:paraId="3F1C1BA3">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0.8 超前</w:t>
            </w:r>
            <w:r>
              <w:rPr>
                <w:rFonts w:hint="eastAsia" w:ascii="仿宋" w:hAnsi="仿宋" w:eastAsia="仿宋" w:cs="仿宋"/>
                <w:color w:val="auto"/>
                <w:sz w:val="21"/>
                <w:szCs w:val="18"/>
                <w:highlight w:val="none"/>
              </w:rPr>
              <w:t xml:space="preserve">... </w:t>
            </w:r>
            <w:r>
              <w:rPr>
                <w:rFonts w:hint="eastAsia" w:ascii="仿宋" w:hAnsi="仿宋" w:eastAsia="仿宋" w:cs="仿宋"/>
                <w:color w:val="auto"/>
                <w:sz w:val="21"/>
                <w:szCs w:val="16"/>
                <w:highlight w:val="none"/>
              </w:rPr>
              <w:t>0.8 滞后</w:t>
            </w:r>
          </w:p>
        </w:tc>
        <w:tc>
          <w:tcPr>
            <w:tcW w:w="2610" w:type="dxa"/>
          </w:tcPr>
          <w:p w14:paraId="0B4DBF8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0.8超前... 0.8 滞后</w:t>
            </w:r>
          </w:p>
        </w:tc>
        <w:tc>
          <w:tcPr>
            <w:tcW w:w="2538" w:type="dxa"/>
          </w:tcPr>
          <w:p w14:paraId="74BA148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0.8 超前... 0.8 滞后</w:t>
            </w:r>
          </w:p>
        </w:tc>
      </w:tr>
      <w:tr w14:paraId="757A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2FE90A2">
            <w:pPr>
              <w:pStyle w:val="25"/>
              <w:pageBreakBefore w:val="0"/>
              <w:kinsoku/>
              <w:wordWrap/>
              <w:overflowPunct/>
              <w:autoSpaceDE/>
              <w:autoSpaceDN/>
              <w:bidi w:val="0"/>
              <w:spacing w:line="360" w:lineRule="exact"/>
              <w:jc w:val="both"/>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最大总谐波失真</w:t>
            </w:r>
          </w:p>
        </w:tc>
        <w:tc>
          <w:tcPr>
            <w:tcW w:w="1959" w:type="dxa"/>
            <w:gridSpan w:val="2"/>
            <w:vAlign w:val="center"/>
          </w:tcPr>
          <w:p w14:paraId="0FF40B8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＜3%</w:t>
            </w:r>
          </w:p>
        </w:tc>
        <w:tc>
          <w:tcPr>
            <w:tcW w:w="2610" w:type="dxa"/>
          </w:tcPr>
          <w:p w14:paraId="7451DCE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＜3%</w:t>
            </w:r>
          </w:p>
        </w:tc>
        <w:tc>
          <w:tcPr>
            <w:tcW w:w="2538" w:type="dxa"/>
          </w:tcPr>
          <w:p w14:paraId="70AE0C0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＜3%</w:t>
            </w:r>
          </w:p>
        </w:tc>
      </w:tr>
      <w:tr w14:paraId="0263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3E6DDE10">
            <w:pPr>
              <w:pageBreakBefore w:val="0"/>
              <w:kinsoku/>
              <w:wordWrap/>
              <w:overflowPunct/>
              <w:bidi w:val="0"/>
              <w:spacing w:line="360" w:lineRule="exact"/>
              <w:ind w:left="0" w:leftChars="0" w:firstLine="420" w:firstLineChars="200"/>
              <w:jc w:val="center"/>
              <w:rPr>
                <w:rFonts w:hint="eastAsia" w:ascii="仿宋" w:hAnsi="仿宋" w:eastAsia="仿宋" w:cs="仿宋"/>
                <w:color w:val="auto"/>
                <w:kern w:val="0"/>
                <w:sz w:val="21"/>
                <w:szCs w:val="20"/>
                <w:highlight w:val="none"/>
              </w:rPr>
            </w:pPr>
            <w:r>
              <w:rPr>
                <w:rFonts w:hint="eastAsia" w:ascii="仿宋" w:hAnsi="仿宋" w:eastAsia="仿宋" w:cs="仿宋"/>
                <w:color w:val="auto"/>
                <w:kern w:val="0"/>
                <w:sz w:val="21"/>
                <w:szCs w:val="20"/>
                <w:highlight w:val="none"/>
              </w:rPr>
              <w:t>保护</w:t>
            </w:r>
          </w:p>
        </w:tc>
      </w:tr>
      <w:tr w14:paraId="27DB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FDD945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输入直流开关</w:t>
            </w:r>
          </w:p>
        </w:tc>
        <w:tc>
          <w:tcPr>
            <w:tcW w:w="1959" w:type="dxa"/>
            <w:gridSpan w:val="2"/>
            <w:vAlign w:val="center"/>
          </w:tcPr>
          <w:p w14:paraId="6281C97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64BFC80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0B9A582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2167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7CE6FE6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防孤岛保护</w:t>
            </w:r>
          </w:p>
        </w:tc>
        <w:tc>
          <w:tcPr>
            <w:tcW w:w="1959" w:type="dxa"/>
            <w:gridSpan w:val="2"/>
            <w:vAlign w:val="center"/>
          </w:tcPr>
          <w:p w14:paraId="0AD6DED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5B0633A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49318EB2">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06EA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A52ECE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输出过流保护</w:t>
            </w:r>
          </w:p>
        </w:tc>
        <w:tc>
          <w:tcPr>
            <w:tcW w:w="1959" w:type="dxa"/>
            <w:gridSpan w:val="2"/>
            <w:vAlign w:val="center"/>
          </w:tcPr>
          <w:p w14:paraId="1BEB95C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77E3A06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3DF1209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4F31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467B1CB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输入反接保护</w:t>
            </w:r>
          </w:p>
        </w:tc>
        <w:tc>
          <w:tcPr>
            <w:tcW w:w="1959" w:type="dxa"/>
            <w:gridSpan w:val="2"/>
            <w:vAlign w:val="center"/>
          </w:tcPr>
          <w:p w14:paraId="1C4DDEE3">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66C9714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3F644CE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419B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67E9C4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组串故障检测</w:t>
            </w:r>
          </w:p>
        </w:tc>
        <w:tc>
          <w:tcPr>
            <w:tcW w:w="1959" w:type="dxa"/>
            <w:gridSpan w:val="2"/>
            <w:vAlign w:val="center"/>
          </w:tcPr>
          <w:p w14:paraId="6A73D9D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4DFE259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4D09988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7A38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C0891B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直流浪涌保护</w:t>
            </w:r>
          </w:p>
        </w:tc>
        <w:tc>
          <w:tcPr>
            <w:tcW w:w="1959" w:type="dxa"/>
            <w:gridSpan w:val="2"/>
            <w:vAlign w:val="center"/>
          </w:tcPr>
          <w:p w14:paraId="652DF76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Type II</w:t>
            </w:r>
          </w:p>
        </w:tc>
        <w:tc>
          <w:tcPr>
            <w:tcW w:w="2610" w:type="dxa"/>
          </w:tcPr>
          <w:p w14:paraId="40D8FCC3">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Type II</w:t>
            </w:r>
          </w:p>
        </w:tc>
        <w:tc>
          <w:tcPr>
            <w:tcW w:w="2538" w:type="dxa"/>
          </w:tcPr>
          <w:p w14:paraId="16B077E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Type II</w:t>
            </w:r>
          </w:p>
        </w:tc>
      </w:tr>
      <w:tr w14:paraId="17A9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B48F1C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交流浪涌保护</w:t>
            </w:r>
          </w:p>
        </w:tc>
        <w:tc>
          <w:tcPr>
            <w:tcW w:w="1959" w:type="dxa"/>
            <w:gridSpan w:val="2"/>
            <w:vAlign w:val="center"/>
          </w:tcPr>
          <w:p w14:paraId="50F62B4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Type II</w:t>
            </w:r>
          </w:p>
        </w:tc>
        <w:tc>
          <w:tcPr>
            <w:tcW w:w="2610" w:type="dxa"/>
          </w:tcPr>
          <w:p w14:paraId="1DB7931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Type II</w:t>
            </w:r>
          </w:p>
        </w:tc>
        <w:tc>
          <w:tcPr>
            <w:tcW w:w="2538" w:type="dxa"/>
          </w:tcPr>
          <w:p w14:paraId="00B00E3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Type II</w:t>
            </w:r>
          </w:p>
        </w:tc>
      </w:tr>
      <w:tr w14:paraId="11F0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0D6757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绝缘阻抗检测</w:t>
            </w:r>
          </w:p>
        </w:tc>
        <w:tc>
          <w:tcPr>
            <w:tcW w:w="1959" w:type="dxa"/>
            <w:gridSpan w:val="2"/>
            <w:vAlign w:val="center"/>
          </w:tcPr>
          <w:p w14:paraId="1ADBC34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17C5BB9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56E52EC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4094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790DA16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残余电流监测</w:t>
            </w:r>
          </w:p>
        </w:tc>
        <w:tc>
          <w:tcPr>
            <w:tcW w:w="1959" w:type="dxa"/>
            <w:gridSpan w:val="2"/>
            <w:vAlign w:val="center"/>
          </w:tcPr>
          <w:p w14:paraId="0B2360F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72DE8B9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支持</w:t>
            </w:r>
          </w:p>
        </w:tc>
        <w:tc>
          <w:tcPr>
            <w:tcW w:w="2538" w:type="dxa"/>
          </w:tcPr>
          <w:p w14:paraId="0010DC9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0106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696D29D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20"/>
                <w:highlight w:val="none"/>
              </w:rPr>
            </w:pPr>
            <w:r>
              <w:rPr>
                <w:rFonts w:hint="eastAsia" w:ascii="仿宋" w:hAnsi="仿宋" w:eastAsia="仿宋" w:cs="仿宋"/>
                <w:color w:val="auto"/>
                <w:sz w:val="21"/>
                <w:szCs w:val="20"/>
                <w:highlight w:val="none"/>
              </w:rPr>
              <w:t>显示与通信</w:t>
            </w:r>
          </w:p>
        </w:tc>
      </w:tr>
      <w:tr w14:paraId="6759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005976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显示</w:t>
            </w:r>
          </w:p>
        </w:tc>
        <w:tc>
          <w:tcPr>
            <w:tcW w:w="1959" w:type="dxa"/>
            <w:gridSpan w:val="2"/>
            <w:vAlign w:val="center"/>
          </w:tcPr>
          <w:p w14:paraId="6D59C9A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LED指示灯，蓝牙/WLAN+APP</w:t>
            </w:r>
          </w:p>
        </w:tc>
        <w:tc>
          <w:tcPr>
            <w:tcW w:w="2610" w:type="dxa"/>
          </w:tcPr>
          <w:p w14:paraId="1DBD3D1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LED指示灯，蓝牙+APP</w:t>
            </w:r>
          </w:p>
        </w:tc>
        <w:tc>
          <w:tcPr>
            <w:tcW w:w="2538" w:type="dxa"/>
          </w:tcPr>
          <w:p w14:paraId="199AFEA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LED指示灯，蓝牙+APP</w:t>
            </w:r>
          </w:p>
        </w:tc>
      </w:tr>
      <w:tr w14:paraId="1083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6F0E080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RS485</w:t>
            </w:r>
          </w:p>
        </w:tc>
        <w:tc>
          <w:tcPr>
            <w:tcW w:w="1959" w:type="dxa"/>
            <w:gridSpan w:val="2"/>
            <w:vAlign w:val="center"/>
          </w:tcPr>
          <w:p w14:paraId="58B155D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1B9DABC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538" w:type="dxa"/>
          </w:tcPr>
          <w:p w14:paraId="4E2D82F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2E84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0C20A5B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USB</w:t>
            </w:r>
          </w:p>
        </w:tc>
        <w:tc>
          <w:tcPr>
            <w:tcW w:w="1959" w:type="dxa"/>
            <w:gridSpan w:val="2"/>
            <w:vAlign w:val="center"/>
          </w:tcPr>
          <w:p w14:paraId="038D364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1CED410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538" w:type="dxa"/>
          </w:tcPr>
          <w:p w14:paraId="507A7902">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16E1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52668C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MBUS</w:t>
            </w:r>
          </w:p>
        </w:tc>
        <w:tc>
          <w:tcPr>
            <w:tcW w:w="1959" w:type="dxa"/>
            <w:gridSpan w:val="2"/>
            <w:vAlign w:val="center"/>
          </w:tcPr>
          <w:p w14:paraId="684E99A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610" w:type="dxa"/>
          </w:tcPr>
          <w:p w14:paraId="4AF303B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支持</w:t>
            </w:r>
          </w:p>
        </w:tc>
        <w:tc>
          <w:tcPr>
            <w:tcW w:w="2538" w:type="dxa"/>
          </w:tcPr>
          <w:p w14:paraId="623BE08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支持</w:t>
            </w:r>
          </w:p>
        </w:tc>
      </w:tr>
      <w:tr w14:paraId="3925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3CF989D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20"/>
                <w:highlight w:val="none"/>
              </w:rPr>
            </w:pPr>
            <w:r>
              <w:rPr>
                <w:rFonts w:hint="eastAsia" w:ascii="仿宋" w:hAnsi="仿宋" w:eastAsia="仿宋" w:cs="仿宋"/>
                <w:color w:val="auto"/>
                <w:sz w:val="21"/>
                <w:szCs w:val="20"/>
                <w:highlight w:val="none"/>
              </w:rPr>
              <w:t>常规参数</w:t>
            </w:r>
          </w:p>
        </w:tc>
      </w:tr>
      <w:tr w14:paraId="714C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4B264A2C">
            <w:pPr>
              <w:pStyle w:val="25"/>
              <w:pageBreakBefore w:val="0"/>
              <w:kinsoku/>
              <w:wordWrap/>
              <w:overflowPunct/>
              <w:autoSpaceDE/>
              <w:autoSpaceDN/>
              <w:bidi w:val="0"/>
              <w:spacing w:line="360" w:lineRule="exact"/>
              <w:jc w:val="both"/>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尺寸（宽x 高x 厚）</w:t>
            </w:r>
          </w:p>
        </w:tc>
        <w:tc>
          <w:tcPr>
            <w:tcW w:w="1959" w:type="dxa"/>
            <w:gridSpan w:val="2"/>
            <w:vAlign w:val="center"/>
          </w:tcPr>
          <w:p w14:paraId="75B5114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1,035 x 700 x 365 mm</w:t>
            </w:r>
          </w:p>
        </w:tc>
        <w:tc>
          <w:tcPr>
            <w:tcW w:w="2610" w:type="dxa"/>
          </w:tcPr>
          <w:p w14:paraId="292F659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1,035 x 700 x 365 mm</w:t>
            </w:r>
          </w:p>
        </w:tc>
        <w:tc>
          <w:tcPr>
            <w:tcW w:w="2538" w:type="dxa"/>
          </w:tcPr>
          <w:p w14:paraId="4DA5AB4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1,075 x 555 x 300 mm</w:t>
            </w:r>
          </w:p>
        </w:tc>
      </w:tr>
      <w:tr w14:paraId="168A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FA0B70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重量（含挂架）</w:t>
            </w:r>
          </w:p>
        </w:tc>
        <w:tc>
          <w:tcPr>
            <w:tcW w:w="1959" w:type="dxa"/>
            <w:gridSpan w:val="2"/>
            <w:vAlign w:val="center"/>
          </w:tcPr>
          <w:p w14:paraId="1FAD393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85 kg</w:t>
            </w:r>
          </w:p>
        </w:tc>
        <w:tc>
          <w:tcPr>
            <w:tcW w:w="2610" w:type="dxa"/>
          </w:tcPr>
          <w:p w14:paraId="18FEDEC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85 kg</w:t>
            </w:r>
          </w:p>
        </w:tc>
        <w:tc>
          <w:tcPr>
            <w:tcW w:w="2538" w:type="dxa"/>
          </w:tcPr>
          <w:p w14:paraId="475AB97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73 kg</w:t>
            </w:r>
          </w:p>
        </w:tc>
      </w:tr>
      <w:tr w14:paraId="638D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40BBE663">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工作温度</w:t>
            </w:r>
          </w:p>
        </w:tc>
        <w:tc>
          <w:tcPr>
            <w:tcW w:w="1959" w:type="dxa"/>
            <w:gridSpan w:val="2"/>
            <w:vAlign w:val="center"/>
          </w:tcPr>
          <w:p w14:paraId="50AF19F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-25°C ~ 60°C</w:t>
            </w:r>
          </w:p>
        </w:tc>
        <w:tc>
          <w:tcPr>
            <w:tcW w:w="2610" w:type="dxa"/>
          </w:tcPr>
          <w:p w14:paraId="23ACCB5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-25°C ~ 60°C</w:t>
            </w:r>
          </w:p>
        </w:tc>
        <w:tc>
          <w:tcPr>
            <w:tcW w:w="2538" w:type="dxa"/>
          </w:tcPr>
          <w:p w14:paraId="5079D11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-25°C ~ 60°C</w:t>
            </w:r>
          </w:p>
        </w:tc>
      </w:tr>
      <w:tr w14:paraId="226C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3F17AC1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冷却方式</w:t>
            </w:r>
          </w:p>
        </w:tc>
        <w:tc>
          <w:tcPr>
            <w:tcW w:w="1959" w:type="dxa"/>
            <w:gridSpan w:val="2"/>
            <w:vAlign w:val="center"/>
          </w:tcPr>
          <w:p w14:paraId="76C32A7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智能风冷</w:t>
            </w:r>
          </w:p>
        </w:tc>
        <w:tc>
          <w:tcPr>
            <w:tcW w:w="2610" w:type="dxa"/>
          </w:tcPr>
          <w:p w14:paraId="61084FB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智能风冷</w:t>
            </w:r>
          </w:p>
        </w:tc>
        <w:tc>
          <w:tcPr>
            <w:tcW w:w="2538" w:type="dxa"/>
          </w:tcPr>
          <w:p w14:paraId="5240F06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w:t>
            </w:r>
          </w:p>
        </w:tc>
      </w:tr>
      <w:tr w14:paraId="770D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427A41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最高工作海拔</w:t>
            </w:r>
          </w:p>
        </w:tc>
        <w:tc>
          <w:tcPr>
            <w:tcW w:w="1959" w:type="dxa"/>
            <w:gridSpan w:val="2"/>
            <w:vAlign w:val="center"/>
          </w:tcPr>
          <w:p w14:paraId="134C1796">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5,000 m （&gt; 4,000 m降额）</w:t>
            </w:r>
          </w:p>
        </w:tc>
        <w:tc>
          <w:tcPr>
            <w:tcW w:w="2610" w:type="dxa"/>
          </w:tcPr>
          <w:p w14:paraId="2371559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5,000 m (&gt; 4,000 m降额)</w:t>
            </w:r>
          </w:p>
        </w:tc>
        <w:tc>
          <w:tcPr>
            <w:tcW w:w="2538" w:type="dxa"/>
          </w:tcPr>
          <w:p w14:paraId="29B2F04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5,000 m (&gt; 4,000 m降额)</w:t>
            </w:r>
          </w:p>
        </w:tc>
      </w:tr>
      <w:tr w14:paraId="6AEF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28A048E5">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相对湿度</w:t>
            </w:r>
          </w:p>
        </w:tc>
        <w:tc>
          <w:tcPr>
            <w:tcW w:w="1959" w:type="dxa"/>
            <w:gridSpan w:val="2"/>
            <w:vAlign w:val="center"/>
          </w:tcPr>
          <w:p w14:paraId="5ADE7DD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0 ~ 100%</w:t>
            </w:r>
          </w:p>
        </w:tc>
        <w:tc>
          <w:tcPr>
            <w:tcW w:w="2610" w:type="dxa"/>
          </w:tcPr>
          <w:p w14:paraId="63D05F2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0 ~ 100%</w:t>
            </w:r>
          </w:p>
        </w:tc>
        <w:tc>
          <w:tcPr>
            <w:tcW w:w="2538" w:type="dxa"/>
          </w:tcPr>
          <w:p w14:paraId="407CD360">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0 ~ 100%</w:t>
            </w:r>
          </w:p>
        </w:tc>
      </w:tr>
      <w:tr w14:paraId="70DA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213D078B">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输入端子</w:t>
            </w:r>
          </w:p>
        </w:tc>
        <w:tc>
          <w:tcPr>
            <w:tcW w:w="1959" w:type="dxa"/>
            <w:gridSpan w:val="2"/>
            <w:vAlign w:val="center"/>
          </w:tcPr>
          <w:p w14:paraId="1B9B254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StaubliMC4</w:t>
            </w:r>
          </w:p>
        </w:tc>
        <w:tc>
          <w:tcPr>
            <w:tcW w:w="2610" w:type="dxa"/>
          </w:tcPr>
          <w:p w14:paraId="318F1B7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StaubliMC4</w:t>
            </w:r>
          </w:p>
        </w:tc>
        <w:tc>
          <w:tcPr>
            <w:tcW w:w="2538" w:type="dxa"/>
          </w:tcPr>
          <w:p w14:paraId="0FFA615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Amphenol Helios H4</w:t>
            </w:r>
          </w:p>
        </w:tc>
      </w:tr>
      <w:tr w14:paraId="60C8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54CF10E9">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输出端子</w:t>
            </w:r>
          </w:p>
        </w:tc>
        <w:tc>
          <w:tcPr>
            <w:tcW w:w="1959" w:type="dxa"/>
            <w:gridSpan w:val="2"/>
            <w:vAlign w:val="center"/>
          </w:tcPr>
          <w:p w14:paraId="6D02555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OT端子</w:t>
            </w:r>
          </w:p>
        </w:tc>
        <w:tc>
          <w:tcPr>
            <w:tcW w:w="2610" w:type="dxa"/>
          </w:tcPr>
          <w:p w14:paraId="548189EA">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OT端子</w:t>
            </w:r>
          </w:p>
        </w:tc>
        <w:tc>
          <w:tcPr>
            <w:tcW w:w="2538" w:type="dxa"/>
          </w:tcPr>
          <w:p w14:paraId="2BB8D77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防水PG头+ OT端子</w:t>
            </w:r>
          </w:p>
        </w:tc>
      </w:tr>
      <w:tr w14:paraId="7569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6A4495B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防护等级</w:t>
            </w:r>
          </w:p>
        </w:tc>
        <w:tc>
          <w:tcPr>
            <w:tcW w:w="1959" w:type="dxa"/>
            <w:gridSpan w:val="2"/>
            <w:vAlign w:val="center"/>
          </w:tcPr>
          <w:p w14:paraId="260509B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IP66</w:t>
            </w:r>
          </w:p>
        </w:tc>
        <w:tc>
          <w:tcPr>
            <w:tcW w:w="2610" w:type="dxa"/>
          </w:tcPr>
          <w:p w14:paraId="018464A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IP66</w:t>
            </w:r>
          </w:p>
        </w:tc>
        <w:tc>
          <w:tcPr>
            <w:tcW w:w="2538" w:type="dxa"/>
          </w:tcPr>
          <w:p w14:paraId="5702AB6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IP65</w:t>
            </w:r>
          </w:p>
        </w:tc>
      </w:tr>
      <w:tr w14:paraId="53D8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2ACC408C">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拓扑</w:t>
            </w:r>
          </w:p>
        </w:tc>
        <w:tc>
          <w:tcPr>
            <w:tcW w:w="1959" w:type="dxa"/>
            <w:gridSpan w:val="2"/>
            <w:vAlign w:val="center"/>
          </w:tcPr>
          <w:p w14:paraId="0A5A5ED1">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无变压器</w:t>
            </w:r>
          </w:p>
        </w:tc>
        <w:tc>
          <w:tcPr>
            <w:tcW w:w="2610" w:type="dxa"/>
          </w:tcPr>
          <w:p w14:paraId="5B7B86A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无变压器</w:t>
            </w:r>
          </w:p>
        </w:tc>
        <w:tc>
          <w:tcPr>
            <w:tcW w:w="2538" w:type="dxa"/>
          </w:tcPr>
          <w:p w14:paraId="11E52908">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4"/>
                <w:highlight w:val="none"/>
              </w:rPr>
              <w:t>无变压器</w:t>
            </w:r>
          </w:p>
        </w:tc>
      </w:tr>
      <w:tr w14:paraId="6459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5" w:type="dxa"/>
            <w:gridSpan w:val="5"/>
            <w:vAlign w:val="center"/>
          </w:tcPr>
          <w:p w14:paraId="25D23F47">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20"/>
                <w:highlight w:val="none"/>
              </w:rPr>
            </w:pPr>
            <w:r>
              <w:rPr>
                <w:rFonts w:hint="eastAsia" w:ascii="仿宋" w:hAnsi="仿宋" w:eastAsia="仿宋" w:cs="仿宋"/>
                <w:color w:val="auto"/>
                <w:sz w:val="21"/>
                <w:szCs w:val="20"/>
                <w:highlight w:val="none"/>
              </w:rPr>
              <w:t>满足的标准</w:t>
            </w:r>
          </w:p>
        </w:tc>
      </w:tr>
      <w:tr w14:paraId="595A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4213023D">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中国</w:t>
            </w:r>
          </w:p>
        </w:tc>
        <w:tc>
          <w:tcPr>
            <w:tcW w:w="1959" w:type="dxa"/>
            <w:gridSpan w:val="2"/>
            <w:vAlign w:val="center"/>
          </w:tcPr>
          <w:p w14:paraId="6FA3319E">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NB/T 32004-2018</w:t>
            </w:r>
          </w:p>
        </w:tc>
        <w:tc>
          <w:tcPr>
            <w:tcW w:w="2610" w:type="dxa"/>
          </w:tcPr>
          <w:p w14:paraId="2793344F">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6"/>
                <w:highlight w:val="none"/>
              </w:rPr>
            </w:pPr>
            <w:r>
              <w:rPr>
                <w:rFonts w:hint="eastAsia" w:ascii="仿宋" w:hAnsi="仿宋" w:eastAsia="仿宋" w:cs="仿宋"/>
                <w:color w:val="auto"/>
                <w:sz w:val="21"/>
                <w:szCs w:val="16"/>
                <w:highlight w:val="none"/>
              </w:rPr>
              <w:t>NB/T 32004-2018</w:t>
            </w:r>
          </w:p>
        </w:tc>
        <w:tc>
          <w:tcPr>
            <w:tcW w:w="2538" w:type="dxa"/>
          </w:tcPr>
          <w:p w14:paraId="6B418BF4">
            <w:pPr>
              <w:pStyle w:val="25"/>
              <w:pageBreakBefore w:val="0"/>
              <w:kinsoku/>
              <w:wordWrap/>
              <w:overflowPunct/>
              <w:autoSpaceDE/>
              <w:autoSpaceDN/>
              <w:bidi w:val="0"/>
              <w:spacing w:line="360" w:lineRule="exact"/>
              <w:ind w:left="0" w:leftChars="0" w:firstLine="420" w:firstLineChars="200"/>
              <w:jc w:val="center"/>
              <w:rPr>
                <w:rFonts w:hint="eastAsia" w:ascii="仿宋" w:hAnsi="仿宋" w:eastAsia="仿宋" w:cs="仿宋"/>
                <w:color w:val="auto"/>
                <w:sz w:val="21"/>
                <w:szCs w:val="14"/>
                <w:highlight w:val="none"/>
              </w:rPr>
            </w:pPr>
            <w:r>
              <w:rPr>
                <w:rFonts w:hint="eastAsia" w:ascii="仿宋" w:hAnsi="仿宋" w:eastAsia="仿宋" w:cs="仿宋"/>
                <w:color w:val="auto"/>
                <w:sz w:val="21"/>
                <w:szCs w:val="16"/>
                <w:highlight w:val="none"/>
              </w:rPr>
              <w:t>NB/T 32004-2018</w:t>
            </w:r>
          </w:p>
        </w:tc>
      </w:tr>
    </w:tbl>
    <w:p w14:paraId="6260645F">
      <w:pPr>
        <w:pageBreakBefore w:val="0"/>
        <w:widowControl/>
        <w:kinsoku/>
        <w:wordWrap/>
        <w:overflowPunct/>
        <w:bidi w:val="0"/>
        <w:spacing w:line="360" w:lineRule="exact"/>
        <w:ind w:left="0" w:leftChars="0" w:firstLine="42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技术参数要求</w:t>
      </w:r>
    </w:p>
    <w:p w14:paraId="37C7A5ED">
      <w:pPr>
        <w:pStyle w:val="4"/>
        <w:pageBreakBefore w:val="0"/>
        <w:kinsoku/>
        <w:wordWrap/>
        <w:overflowPunct/>
        <w:bidi w:val="0"/>
        <w:spacing w:before="0" w:after="0" w:line="360" w:lineRule="exact"/>
        <w:ind w:left="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光伏车棚技术要求</w:t>
      </w:r>
    </w:p>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2080"/>
        <w:gridCol w:w="5344"/>
        <w:gridCol w:w="977"/>
      </w:tblGrid>
      <w:tr w14:paraId="4E2AD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21" w:type="pct"/>
            <w:vAlign w:val="center"/>
          </w:tcPr>
          <w:p w14:paraId="182E1504">
            <w:pPr>
              <w:pageBreakBefore w:val="0"/>
              <w:kinsoku/>
              <w:wordWrap/>
              <w:overflowPunct/>
              <w:bidi w:val="0"/>
              <w:spacing w:line="360" w:lineRule="exact"/>
              <w:jc w:val="both"/>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序号</w:t>
            </w:r>
          </w:p>
        </w:tc>
        <w:tc>
          <w:tcPr>
            <w:tcW w:w="1134" w:type="pct"/>
            <w:vAlign w:val="center"/>
          </w:tcPr>
          <w:p w14:paraId="69367C2F">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生产工艺</w:t>
            </w:r>
          </w:p>
        </w:tc>
        <w:tc>
          <w:tcPr>
            <w:tcW w:w="2913" w:type="pct"/>
            <w:vAlign w:val="center"/>
          </w:tcPr>
          <w:p w14:paraId="4D5F94A8">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技术数据</w:t>
            </w:r>
          </w:p>
        </w:tc>
        <w:tc>
          <w:tcPr>
            <w:tcW w:w="532" w:type="pct"/>
            <w:vAlign w:val="center"/>
          </w:tcPr>
          <w:p w14:paraId="70F65E69">
            <w:pPr>
              <w:pageBreakBefore w:val="0"/>
              <w:kinsoku/>
              <w:wordWrap/>
              <w:overflowPunct/>
              <w:bidi w:val="0"/>
              <w:spacing w:line="360" w:lineRule="exact"/>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备注</w:t>
            </w:r>
          </w:p>
        </w:tc>
      </w:tr>
      <w:tr w14:paraId="0260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7D64545D">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1</w:t>
            </w:r>
          </w:p>
        </w:tc>
        <w:tc>
          <w:tcPr>
            <w:tcW w:w="1134" w:type="pct"/>
            <w:vAlign w:val="center"/>
          </w:tcPr>
          <w:p w14:paraId="14F4BF78">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车棚主体框架</w:t>
            </w:r>
          </w:p>
        </w:tc>
        <w:tc>
          <w:tcPr>
            <w:tcW w:w="2913" w:type="pct"/>
            <w:vAlign w:val="center"/>
          </w:tcPr>
          <w:p w14:paraId="5E4403CC">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钢结构</w:t>
            </w:r>
          </w:p>
        </w:tc>
        <w:tc>
          <w:tcPr>
            <w:tcW w:w="532" w:type="pct"/>
            <w:vAlign w:val="center"/>
          </w:tcPr>
          <w:p w14:paraId="506ABB8E">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p>
        </w:tc>
      </w:tr>
      <w:tr w14:paraId="7047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1F0E25F6">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2</w:t>
            </w:r>
          </w:p>
        </w:tc>
        <w:tc>
          <w:tcPr>
            <w:tcW w:w="1134" w:type="pct"/>
            <w:vAlign w:val="center"/>
          </w:tcPr>
          <w:p w14:paraId="51FE26DE">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车棚覆盖面积</w:t>
            </w:r>
          </w:p>
        </w:tc>
        <w:tc>
          <w:tcPr>
            <w:tcW w:w="2913" w:type="pct"/>
            <w:vAlign w:val="center"/>
          </w:tcPr>
          <w:p w14:paraId="490FCC84">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全覆盖车位</w:t>
            </w:r>
          </w:p>
        </w:tc>
        <w:tc>
          <w:tcPr>
            <w:tcW w:w="532" w:type="pct"/>
            <w:vAlign w:val="center"/>
          </w:tcPr>
          <w:p w14:paraId="3CD8DEAE">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p>
        </w:tc>
      </w:tr>
      <w:tr w14:paraId="4BCB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5622AC30">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3</w:t>
            </w:r>
          </w:p>
        </w:tc>
        <w:tc>
          <w:tcPr>
            <w:tcW w:w="1134" w:type="pct"/>
            <w:vAlign w:val="center"/>
          </w:tcPr>
          <w:p w14:paraId="357A3ECC">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光伏车棚高度</w:t>
            </w:r>
          </w:p>
        </w:tc>
        <w:tc>
          <w:tcPr>
            <w:tcW w:w="2913" w:type="pct"/>
            <w:vAlign w:val="center"/>
          </w:tcPr>
          <w:p w14:paraId="2D445229">
            <w:pPr>
              <w:pageBreakBefore w:val="0"/>
              <w:kinsoku/>
              <w:wordWrap/>
              <w:overflowPunct/>
              <w:bidi w:val="0"/>
              <w:spacing w:line="360" w:lineRule="exact"/>
              <w:ind w:left="0" w:leftChars="0" w:firstLine="420" w:firstLineChars="200"/>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（1）车棚棚顶最低点距地垂直距离：3.5m-3.6m</w:t>
            </w:r>
          </w:p>
          <w:p w14:paraId="4549616F">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（2）车棚棚顶最高点距地垂直距离：视车棚棚顶倾角而定</w:t>
            </w:r>
          </w:p>
        </w:tc>
        <w:tc>
          <w:tcPr>
            <w:tcW w:w="532" w:type="pct"/>
            <w:vAlign w:val="center"/>
          </w:tcPr>
          <w:p w14:paraId="0B7497BD">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p>
        </w:tc>
      </w:tr>
      <w:tr w14:paraId="0275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73B93345">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4</w:t>
            </w:r>
          </w:p>
        </w:tc>
        <w:tc>
          <w:tcPr>
            <w:tcW w:w="1134" w:type="pct"/>
            <w:vAlign w:val="center"/>
          </w:tcPr>
          <w:p w14:paraId="27A38669">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车棚支撑柱跨度</w:t>
            </w:r>
          </w:p>
        </w:tc>
        <w:tc>
          <w:tcPr>
            <w:tcW w:w="2913" w:type="pct"/>
            <w:vAlign w:val="center"/>
          </w:tcPr>
          <w:p w14:paraId="28B78D43">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两支柱之间跨单排两车位</w:t>
            </w:r>
          </w:p>
        </w:tc>
        <w:tc>
          <w:tcPr>
            <w:tcW w:w="532" w:type="pct"/>
            <w:vAlign w:val="center"/>
          </w:tcPr>
          <w:p w14:paraId="17FFEE56">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p>
        </w:tc>
      </w:tr>
      <w:tr w14:paraId="529B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1" w:type="pct"/>
            <w:vAlign w:val="center"/>
          </w:tcPr>
          <w:p w14:paraId="4978DB9F">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5</w:t>
            </w:r>
          </w:p>
        </w:tc>
        <w:tc>
          <w:tcPr>
            <w:tcW w:w="1134" w:type="pct"/>
            <w:vAlign w:val="center"/>
          </w:tcPr>
          <w:p w14:paraId="701B0740">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固定基础</w:t>
            </w:r>
          </w:p>
        </w:tc>
        <w:tc>
          <w:tcPr>
            <w:tcW w:w="2913" w:type="pct"/>
            <w:vAlign w:val="center"/>
          </w:tcPr>
          <w:p w14:paraId="132D020C">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r>
              <w:rPr>
                <w:rFonts w:hint="eastAsia" w:ascii="仿宋" w:hAnsi="仿宋" w:eastAsia="仿宋" w:cs="仿宋"/>
                <w:color w:val="auto"/>
                <w:sz w:val="21"/>
                <w:szCs w:val="18"/>
                <w:highlight w:val="none"/>
              </w:rPr>
              <w:t>常规情况：≥1.2m*1.2m*1.2m</w:t>
            </w:r>
          </w:p>
        </w:tc>
        <w:tc>
          <w:tcPr>
            <w:tcW w:w="532" w:type="pct"/>
            <w:vAlign w:val="center"/>
          </w:tcPr>
          <w:p w14:paraId="4072E48D">
            <w:pPr>
              <w:pageBreakBefore w:val="0"/>
              <w:kinsoku/>
              <w:wordWrap/>
              <w:overflowPunct/>
              <w:bidi w:val="0"/>
              <w:spacing w:line="360" w:lineRule="exact"/>
              <w:ind w:left="0" w:leftChars="0" w:firstLine="420" w:firstLineChars="200"/>
              <w:jc w:val="center"/>
              <w:rPr>
                <w:rFonts w:hint="eastAsia" w:ascii="仿宋" w:hAnsi="仿宋" w:eastAsia="仿宋" w:cs="仿宋"/>
                <w:color w:val="auto"/>
                <w:sz w:val="21"/>
                <w:szCs w:val="18"/>
                <w:highlight w:val="none"/>
              </w:rPr>
            </w:pPr>
          </w:p>
        </w:tc>
      </w:tr>
    </w:tbl>
    <w:p w14:paraId="18100739">
      <w:pPr>
        <w:pStyle w:val="4"/>
        <w:pageBreakBefore w:val="0"/>
        <w:kinsoku/>
        <w:wordWrap/>
        <w:overflowPunct/>
        <w:bidi w:val="0"/>
        <w:spacing w:before="0" w:after="0" w:line="360" w:lineRule="exact"/>
        <w:ind w:left="0" w:firstLine="643" w:firstLineChars="200"/>
        <w:rPr>
          <w:rFonts w:hint="eastAsia" w:ascii="仿宋" w:hAnsi="仿宋" w:eastAsia="仿宋" w:cs="仿宋"/>
          <w:color w:val="auto"/>
          <w:highlight w:val="none"/>
        </w:rPr>
      </w:pPr>
      <w:r>
        <w:rPr>
          <w:rFonts w:hint="eastAsia" w:ascii="仿宋" w:hAnsi="仿宋" w:eastAsia="仿宋" w:cs="仿宋"/>
          <w:color w:val="auto"/>
          <w:highlight w:val="none"/>
        </w:rPr>
        <w:t>光伏并网柜技术要求</w:t>
      </w:r>
    </w:p>
    <w:p w14:paraId="1E5DA714">
      <w:pPr>
        <w:pStyle w:val="964"/>
        <w:pageBreakBefore w:val="0"/>
        <w:numPr>
          <w:ilvl w:val="0"/>
          <w:numId w:val="4"/>
        </w:numPr>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单个并网柜组件容量不超过400kWp，每台变压器所接组件容量不超过变器容量的50%。</w:t>
      </w:r>
    </w:p>
    <w:p w14:paraId="2888AB98">
      <w:pPr>
        <w:pStyle w:val="964"/>
        <w:pageBreakBefore w:val="0"/>
        <w:numPr>
          <w:ilvl w:val="0"/>
          <w:numId w:val="4"/>
        </w:numPr>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断路器QF应具备失压跳闸、检有压合闸功能，失压跳闸定值宜整定为20% UN、10秒，检有压合闸定值宜整定为＞85%UN。</w:t>
      </w:r>
    </w:p>
    <w:p w14:paraId="6C59D4E6">
      <w:pPr>
        <w:pStyle w:val="964"/>
        <w:pageBreakBefore w:val="0"/>
        <w:numPr>
          <w:ilvl w:val="0"/>
          <w:numId w:val="4"/>
        </w:numPr>
        <w:kinsoku/>
        <w:wordWrap/>
        <w:overflowPunct/>
        <w:bidi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光伏并网柜应满足当地供电公司要求，达到余电上网标准。</w:t>
      </w:r>
    </w:p>
    <w:p w14:paraId="5D4DFF48">
      <w:pPr>
        <w:pStyle w:val="4"/>
        <w:pageBreakBefore w:val="0"/>
        <w:kinsoku/>
        <w:wordWrap/>
        <w:overflowPunct/>
        <w:bidi w:val="0"/>
        <w:spacing w:before="0" w:after="0" w:line="360" w:lineRule="exact"/>
        <w:ind w:left="0" w:leftChars="0" w:firstLine="643" w:firstLineChars="200"/>
        <w:rPr>
          <w:rFonts w:hint="eastAsia" w:ascii="仿宋" w:hAnsi="仿宋" w:eastAsia="仿宋" w:cs="仿宋"/>
          <w:color w:val="auto"/>
          <w:highlight w:val="none"/>
        </w:rPr>
      </w:pPr>
      <w:bookmarkStart w:id="93" w:name="_Toc10123932"/>
      <w:bookmarkStart w:id="94" w:name="_Toc117860322"/>
      <w:r>
        <w:rPr>
          <w:rFonts w:hint="eastAsia" w:ascii="仿宋" w:hAnsi="仿宋" w:eastAsia="仿宋" w:cs="仿宋"/>
          <w:color w:val="auto"/>
          <w:highlight w:val="none"/>
        </w:rPr>
        <w:t>能量管理系统技术要求</w:t>
      </w:r>
      <w:bookmarkEnd w:id="93"/>
      <w:bookmarkEnd w:id="94"/>
    </w:p>
    <w:p w14:paraId="4FFC4BAC">
      <w:pPr>
        <w:pStyle w:val="5"/>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系统总体要求</w:t>
      </w:r>
    </w:p>
    <w:p w14:paraId="044748C5">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EMS要求能够控制整个新能源智能微网系统内的能量流动，通过高级新能源智能微网系统控制器能够采集新能源智能微网系统内各个设备的运行关键参数，如设备实时状态、运行电压、电流、功率、故障告警等相关信号，并可以在就地实现监控。</w:t>
      </w:r>
    </w:p>
    <w:p w14:paraId="48D2487C">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高级新能源智能微网系统控制器可以通过无线通讯方式或有线的内部网络将这些数据实时传送到新能源智能微网系统能量云平台，新能源智能微网系统能量云平台将数据存储，并对其进行分析和统计，实现对新能源智能微网系统的远程监控。</w:t>
      </w:r>
    </w:p>
    <w:p w14:paraId="26F06521">
      <w:pPr>
        <w:pStyle w:val="5"/>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功能实现要求</w:t>
      </w:r>
    </w:p>
    <w:p w14:paraId="417D230F">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负荷监测</w:t>
      </w:r>
    </w:p>
    <w:p w14:paraId="2CFB6648">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1）实时功率监测</w:t>
      </w:r>
    </w:p>
    <w:p w14:paraId="25B36F52">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要求通过对各个关键节点智能电表数据的采集，在页面上直观看到各个用电负荷的功率以及总的负荷功率曲线，实现系统的基本运行工况观察，为系统的安全有效运行，综合分析提供直接的数据支持。</w:t>
      </w:r>
    </w:p>
    <w:p w14:paraId="72F1EDA1">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2）用电量监测</w:t>
      </w:r>
    </w:p>
    <w:p w14:paraId="0CC8689D">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要求系统能够完整记录新能源智能微网系统内分时段（尖峰平谷）的的用电量曲线，实时展示一周内的负载用电量情况，提供指定时间段的用电量查询，为电网系统基本运行状况记录和数据分析提供支持。</w:t>
      </w:r>
    </w:p>
    <w:p w14:paraId="143C6889">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发电监测</w:t>
      </w:r>
    </w:p>
    <w:p w14:paraId="6B15AFDA">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 发电监测</w:t>
      </w:r>
    </w:p>
    <w:p w14:paraId="4B0DCC4C">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能够实时监测各个片区光伏组件的发电功率曲线，展示光伏发电量数据并提供指定时间段的光伏发电量统计，以曲线的方式显示在系统中。并能统计发电量的节能减排（减少燃煤量、减少二氧化碳排放量等）数据。</w:t>
      </w:r>
    </w:p>
    <w:p w14:paraId="14F6231C">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2）发电预测</w:t>
      </w:r>
    </w:p>
    <w:p w14:paraId="622A6347">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提供实时天气情况和最近一周的光伏天气预报；通过光伏发电的历史数据和未来的天气预报数据，通过智能算法，不断优化模型，能够对光伏发电功率进行预测，并提供预测的准确率指标。 </w:t>
      </w:r>
    </w:p>
    <w:p w14:paraId="72FAD8C5">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储能监测</w:t>
      </w:r>
    </w:p>
    <w:p w14:paraId="692D3922">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可以根据实际的用电峰谷对设备的充放电策略进行设置，在不同的电价时段并结合光伏的发电情况，对储能充放电自动控制，自动下发指令开启或停止充放电指令；同时可以手动发送指令，手动控制优先级高于策略控制。</w:t>
      </w:r>
    </w:p>
    <w:p w14:paraId="71374071">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1）日储能功率曲线</w:t>
      </w:r>
    </w:p>
    <w:p w14:paraId="5D3F893A">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要求系统记录当日整个新能源智能微网系统内储能系统充放电功率曲线，统计实际功率和计划功率，以及两者偏差情况。</w:t>
      </w:r>
    </w:p>
    <w:p w14:paraId="3767B362">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2）分时段（尖峰平谷）充放电量</w:t>
      </w:r>
    </w:p>
    <w:p w14:paraId="63D32804">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要求系统全面记录各个储能系统指定起始和结束时间某一范围内的充放电功率曲线数据，为各个储能系统统计尖、峰、平、谷四个时段的充电量和放电量数据，以曲线的形式展示。</w:t>
      </w:r>
    </w:p>
    <w:p w14:paraId="62CDD1AB">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3）不同储能系统的SOC </w:t>
      </w:r>
    </w:p>
    <w:p w14:paraId="09F4EE3C">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要求系统全面记录各个储能系统当日的SOC曲线数据，显示实际电量和可放电量，根据充放电倍率计算充电时长和放电时长。</w:t>
      </w:r>
    </w:p>
    <w:p w14:paraId="1F8F9C38">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汽车充放电监测</w:t>
      </w:r>
    </w:p>
    <w:p w14:paraId="2EED323A">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1）充放电对比图</w:t>
      </w:r>
    </w:p>
    <w:p w14:paraId="64485FB9">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系统能够对指定日期的充电量进行曲线展示，区分立即充电和经济充电，其中立即充电指电动汽车插枪后立马开始充电产生的电量，而经济充电指通过智能算法，选择较低电价充电产生的电量。并能区分尖峰平谷不同时段的实际充电量。</w:t>
      </w:r>
    </w:p>
    <w:p w14:paraId="1503E0AF">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2）分时段充电量和今日充放电量</w:t>
      </w:r>
    </w:p>
    <w:p w14:paraId="744C8F84">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以柱状图的形式展示指定时间段的充放电量，区分立即充电电量和经济充电电量，区分尖峰平谷不同时段的充电量。今日充放电量还要展示今日充电车辆数、放电车辆数、车辆充电功率和车辆放电功率等指标。</w:t>
      </w:r>
    </w:p>
    <w:p w14:paraId="45293D7A">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根据用户需求控制启停充放电的时间，合理优化电动汽车充电次序。在出现大规模停电情况下，释放部分电动汽车电量来保证重要负荷运行。</w:t>
      </w:r>
    </w:p>
    <w:p w14:paraId="2AE09CC5">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3）充放电枪状态监控</w:t>
      </w:r>
    </w:p>
    <w:p w14:paraId="1563597A">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系统能够显示每一把充电枪的电压、电流、SOC以及状态，状态可以形象直观的展示，双击图标可以进行控制。</w:t>
      </w:r>
    </w:p>
    <w:p w14:paraId="6BC9B795">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一次接线图</w:t>
      </w:r>
    </w:p>
    <w:p w14:paraId="5C69ADBB">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以电力系统一次接线图要求为标准展示新能源智能微网系统内的一次设备连接和状态。</w:t>
      </w:r>
    </w:p>
    <w:p w14:paraId="52043030">
      <w:pPr>
        <w:pStyle w:val="964"/>
        <w:pageBreakBefore w:val="0"/>
        <w:widowControl/>
        <w:numPr>
          <w:ilvl w:val="0"/>
          <w:numId w:val="5"/>
        </w:numPr>
        <w:tabs>
          <w:tab w:val="left" w:pos="1140"/>
        </w:tabs>
        <w:kinsoku/>
        <w:wordWrap/>
        <w:overflowPunct/>
        <w:bidi w:val="0"/>
        <w:adjustRightInd w:val="0"/>
        <w:snapToGrid w:val="0"/>
        <w:spacing w:line="360" w:lineRule="exact"/>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要求系统画面实时数据刷新，监视画面上所有数据每5秒刷新一次；</w:t>
      </w:r>
    </w:p>
    <w:p w14:paraId="155AFEDF">
      <w:pPr>
        <w:pStyle w:val="964"/>
        <w:pageBreakBefore w:val="0"/>
        <w:widowControl/>
        <w:numPr>
          <w:ilvl w:val="0"/>
          <w:numId w:val="5"/>
        </w:numPr>
        <w:tabs>
          <w:tab w:val="left" w:pos="1140"/>
        </w:tabs>
        <w:kinsoku/>
        <w:wordWrap/>
        <w:overflowPunct/>
        <w:bidi w:val="0"/>
        <w:adjustRightInd w:val="0"/>
        <w:snapToGrid w:val="0"/>
        <w:spacing w:line="360" w:lineRule="exact"/>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能够动态着色，画面数据根据质量码显示不同的颜色，具体着色配置可通过双击空白处，在弹出菜单中点击着色配置，针对不同质量码配置不同的颜色；</w:t>
      </w:r>
    </w:p>
    <w:p w14:paraId="6D7AEDE8">
      <w:pPr>
        <w:pStyle w:val="964"/>
        <w:pageBreakBefore w:val="0"/>
        <w:widowControl/>
        <w:numPr>
          <w:ilvl w:val="0"/>
          <w:numId w:val="5"/>
        </w:numPr>
        <w:tabs>
          <w:tab w:val="left" w:pos="1140"/>
        </w:tabs>
        <w:kinsoku/>
        <w:wordWrap/>
        <w:overflowPunct/>
        <w:bidi w:val="0"/>
        <w:adjustRightInd w:val="0"/>
        <w:snapToGrid w:val="0"/>
        <w:spacing w:line="360" w:lineRule="exact"/>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显示潮流流动，根据光伏及负荷的有功功率值显示潮流流动情况；</w:t>
      </w:r>
    </w:p>
    <w:p w14:paraId="22FB8E6C">
      <w:pPr>
        <w:pStyle w:val="964"/>
        <w:pageBreakBefore w:val="0"/>
        <w:widowControl/>
        <w:numPr>
          <w:ilvl w:val="0"/>
          <w:numId w:val="5"/>
        </w:numPr>
        <w:tabs>
          <w:tab w:val="left" w:pos="1140"/>
        </w:tabs>
        <w:kinsoku/>
        <w:wordWrap/>
        <w:overflowPunct/>
        <w:bidi w:val="0"/>
        <w:adjustRightInd w:val="0"/>
        <w:snapToGrid w:val="0"/>
        <w:spacing w:line="360" w:lineRule="exact"/>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设备及量测操作：</w:t>
      </w:r>
    </w:p>
    <w:p w14:paraId="3EBF8666">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双击设备或量测，右侧滑出操作菜单，具体包括：</w:t>
      </w:r>
    </w:p>
    <w:p w14:paraId="7B9CFFD7">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置数：对遥信、遥测进行数值设定，变化数据上送后覆盖设定值</w:t>
      </w:r>
    </w:p>
    <w:p w14:paraId="58AC1A12">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封锁：对遥信、遥测进行数据封锁，封锁后的数据不刷新，直到人工解除封锁</w:t>
      </w:r>
    </w:p>
    <w:p w14:paraId="4509CCCE">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挂牌：对设备进行挂牌操作，对标识牌可进行移动、删除及修改操作</w:t>
      </w:r>
    </w:p>
    <w:p w14:paraId="7BCBB06E">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遥控：对开关或汽车充电进行远程控制</w:t>
      </w:r>
    </w:p>
    <w:p w14:paraId="7AF9D5CF">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遥调：对遥测进行远程数值设定</w:t>
      </w:r>
    </w:p>
    <w:p w14:paraId="51AA70D2">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曲线查询：查询遥测历史曲线</w:t>
      </w:r>
    </w:p>
    <w:p w14:paraId="61B32B66">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告警查询：查询设备或数据的历史告警信息</w:t>
      </w:r>
    </w:p>
    <w:p w14:paraId="37E4E597">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告警监视</w:t>
      </w:r>
    </w:p>
    <w:p w14:paraId="3D37711B">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展示当前发生的实时告警信息，支持对指定时段的历史告警信息的查询，显示告警时间，级别，状态，告警内容等信息。</w:t>
      </w:r>
    </w:p>
    <w:p w14:paraId="2637C967">
      <w:pPr>
        <w:pStyle w:val="5"/>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bookmarkStart w:id="95" w:name="_Toc10123933"/>
      <w:r>
        <w:rPr>
          <w:rFonts w:hint="eastAsia" w:ascii="仿宋" w:hAnsi="仿宋" w:eastAsia="仿宋" w:cs="仿宋"/>
          <w:color w:val="auto"/>
          <w:highlight w:val="none"/>
        </w:rPr>
        <w:t>硬件实现要求</w:t>
      </w:r>
      <w:bookmarkEnd w:id="95"/>
    </w:p>
    <w:p w14:paraId="2A70ABEE">
      <w:pPr>
        <w:pStyle w:val="6"/>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操作方式要求</w:t>
      </w:r>
    </w:p>
    <w:p w14:paraId="6E9EFFC2">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工作站主机PC负责就地能量管理系统的运行，通过浏览器加载并运行系统监控Web客户端程序，通过用户操作和后台数据交互，友好展示新能源智能微网系统的运行数据，对整个新能源智能微网系统实时全面监控；要求能够通过主机PC控制多种设备开关量和模拟信号量；终端界面与用户交互友好，将系统数据用清晰的图表化展示，并通过更为直观的组态图形化的方式展示。</w:t>
      </w:r>
    </w:p>
    <w:p w14:paraId="413D0543">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互联网主机可以通过访问新能源智能微网系统能量云平台，通过Web客户端程序与云服务器交互，实现与就地能量管理系统同样的监控功能。终端界面与用户交互友好，将系统数据用清晰的图表化展示，并通过更为直观的组态图形化的方式展示。</w:t>
      </w:r>
    </w:p>
    <w:p w14:paraId="295E2A05">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可以通过移动终端，对新能源智能微网系统设备进行运维设备监视，运维分析和管理，运维工单的派送与执行等，实现新能源智能微网系统内设备的智能运维。</w:t>
      </w:r>
    </w:p>
    <w:p w14:paraId="4F5B54C6">
      <w:pPr>
        <w:pStyle w:val="6"/>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高级新能源智能微网系统控制器要求</w:t>
      </w:r>
    </w:p>
    <w:p w14:paraId="37DC42CA">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系统内数据采集功能要实现实时数据接收、协议解析、打包、发送、系统控制命令下发、告警故障等数据突发上报、设备的交直流保护功能、与上层业务和下层设备的交互。</w:t>
      </w:r>
    </w:p>
    <w:p w14:paraId="68A02FCE">
      <w:pPr>
        <w:pageBreakBefore w:val="0"/>
        <w:tabs>
          <w:tab w:val="left" w:pos="1140"/>
        </w:tabs>
        <w:kinsoku/>
        <w:wordWrap/>
        <w:overflowPunct/>
        <w:bidi w:val="0"/>
        <w:adjustRightInd w:val="0"/>
        <w:snapToGrid w:val="0"/>
        <w:spacing w:line="360" w:lineRule="exact"/>
        <w:ind w:left="0" w:leftChars="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能够通过设定定时采集并存储设备端的各项数据，并能通过无线模块（4G）和以太网有线网络与新能源智能微网系统能量云平台交换数据，能够通过远程接收指令进行本地设备的闭环控制，一台高级新能源智能微网系统控制器能够同时监控管理多种不同类型的设备。</w:t>
      </w:r>
    </w:p>
    <w:p w14:paraId="1311AE4B">
      <w:pPr>
        <w:pStyle w:val="6"/>
        <w:pageBreakBefore w:val="0"/>
        <w:kinsoku/>
        <w:wordWrap/>
        <w:overflowPunct/>
        <w:bidi w:val="0"/>
        <w:spacing w:before="0" w:after="0" w:line="360" w:lineRule="exact"/>
        <w:ind w:left="0" w:leftChars="0" w:firstLine="562" w:firstLineChars="200"/>
        <w:rPr>
          <w:rFonts w:hint="eastAsia" w:ascii="仿宋" w:hAnsi="仿宋" w:eastAsia="仿宋" w:cs="仿宋"/>
          <w:color w:val="auto"/>
          <w:highlight w:val="none"/>
        </w:rPr>
      </w:pPr>
      <w:r>
        <w:rPr>
          <w:rFonts w:hint="eastAsia" w:ascii="仿宋" w:hAnsi="仿宋" w:eastAsia="仿宋" w:cs="仿宋"/>
          <w:color w:val="auto"/>
          <w:highlight w:val="none"/>
        </w:rPr>
        <w:t>系统控制设备技术要求</w:t>
      </w:r>
    </w:p>
    <w:p w14:paraId="1D2403DE">
      <w:pPr>
        <w:pageBreakBefore w:val="0"/>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系统控制设备应集成微电网控制器和本地显示功能，实现系统内相关设备通信和信息的采集，以及与相关管理平台进行数据交互，对整个微电网系统智能控制和管理。并且可以提供光伏功率优化器接入配电接口，系统输出接入直流母线。</w:t>
      </w:r>
    </w:p>
    <w:p w14:paraId="528BB1E0">
      <w:pPr>
        <w:pStyle w:val="7"/>
        <w:pageBreakBefore w:val="0"/>
        <w:kinsoku/>
        <w:wordWrap/>
        <w:overflowPunct/>
        <w:bidi w:val="0"/>
        <w:spacing w:before="0" w:after="0" w:line="360" w:lineRule="exact"/>
        <w:ind w:left="0" w:leftChars="0" w:firstLine="482" w:firstLineChars="200"/>
        <w:rPr>
          <w:rFonts w:hint="eastAsia" w:ascii="仿宋" w:hAnsi="仿宋" w:eastAsia="仿宋" w:cs="仿宋"/>
          <w:color w:val="auto"/>
          <w:highlight w:val="none"/>
        </w:rPr>
      </w:pPr>
      <w:r>
        <w:rPr>
          <w:rFonts w:hint="eastAsia" w:ascii="仿宋" w:hAnsi="仿宋" w:eastAsia="仿宋" w:cs="仿宋"/>
          <w:color w:val="auto"/>
          <w:highlight w:val="none"/>
        </w:rPr>
        <w:t>功能要求</w:t>
      </w:r>
    </w:p>
    <w:p w14:paraId="1A90074F">
      <w:pPr>
        <w:pageBreakBefore w:val="0"/>
        <w:kinsoku/>
        <w:wordWrap/>
        <w:overflowPunct/>
        <w:autoSpaceDE/>
        <w:autoSpaceDN/>
        <w:bidi w:val="0"/>
        <w:adjustRightInd w:val="0"/>
        <w:spacing w:line="360" w:lineRule="exact"/>
        <w:ind w:left="0" w:leftChars="0" w:firstLine="482" w:firstLineChars="200"/>
        <w:jc w:val="left"/>
        <w:rPr>
          <w:rFonts w:hint="eastAsia" w:ascii="仿宋" w:hAnsi="仿宋" w:eastAsia="仿宋" w:cs="仿宋"/>
          <w:b/>
          <w:color w:val="auto"/>
          <w:kern w:val="0"/>
          <w:sz w:val="24"/>
          <w:highlight w:val="none"/>
        </w:rPr>
      </w:pPr>
      <w:r>
        <w:rPr>
          <w:rFonts w:hint="eastAsia" w:ascii="仿宋" w:hAnsi="仿宋" w:eastAsia="仿宋" w:cs="仿宋"/>
          <w:b/>
          <w:bCs/>
          <w:color w:val="auto"/>
          <w:kern w:val="0"/>
          <w:sz w:val="24"/>
          <w:highlight w:val="none"/>
        </w:rPr>
        <w:t>安全要求</w:t>
      </w:r>
    </w:p>
    <w:p w14:paraId="2B267425">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高级微网控制器在充分发挥电力电子快速调节能力的同时增加微网系统惯性，提升微网运行的稳定性；</w:t>
      </w:r>
    </w:p>
    <w:p w14:paraId="41FC6B23">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交直流电压控制策略保证系统电压稳定，减少内部源核波动和外部扰动对微网用户的影响；</w:t>
      </w:r>
    </w:p>
    <w:p w14:paraId="47EF6A01">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多种保护功能可实现毫秒级故障切除，减少用户损失；</w:t>
      </w:r>
    </w:p>
    <w:p w14:paraId="1FC56560">
      <w:pPr>
        <w:pageBreakBefore w:val="0"/>
        <w:kinsoku/>
        <w:wordWrap/>
        <w:overflowPunct/>
        <w:autoSpaceDE/>
        <w:autoSpaceDN/>
        <w:bidi w:val="0"/>
        <w:adjustRightInd w:val="0"/>
        <w:spacing w:line="360" w:lineRule="exact"/>
        <w:ind w:left="0" w:leftChars="0" w:firstLine="482" w:firstLineChars="200"/>
        <w:jc w:val="left"/>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经济要求</w:t>
      </w:r>
    </w:p>
    <w:p w14:paraId="533953F8">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可执行微网能量云经济运行策略，提升用户运行收益；</w:t>
      </w:r>
    </w:p>
    <w:p w14:paraId="3CD16493">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可参与电网辅助服务及需求侧响应，给用户带来更多价值。</w:t>
      </w:r>
    </w:p>
    <w:p w14:paraId="1882A4AF">
      <w:pPr>
        <w:pageBreakBefore w:val="0"/>
        <w:kinsoku/>
        <w:wordWrap/>
        <w:overflowPunct/>
        <w:autoSpaceDE/>
        <w:autoSpaceDN/>
        <w:bidi w:val="0"/>
        <w:adjustRightInd w:val="0"/>
        <w:spacing w:line="360" w:lineRule="exact"/>
        <w:ind w:left="0" w:leftChars="0" w:firstLine="482" w:firstLineChars="200"/>
        <w:jc w:val="left"/>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先进性要求</w:t>
      </w:r>
    </w:p>
    <w:p w14:paraId="0D5DBCD3">
      <w:pPr>
        <w:pageBreakBefore w:val="0"/>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▲微网控制器应具备独立运行能力，群调群控能力，预测能力，充放电优化调度。提供微网控制器试验报告（具有CMA和CNAS）。</w:t>
      </w:r>
    </w:p>
    <w:p w14:paraId="4FF23447">
      <w:pPr>
        <w:pageBreakBefore w:val="0"/>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▲微网控制器应具备充放电优化调度，可基于车辆的出入库管理规划，结合光伏预测和负荷预测以及电价结构进行V2G车辆的充放电优化调度。</w:t>
      </w:r>
      <w:r>
        <w:rPr>
          <w:rFonts w:hint="eastAsia" w:ascii="仿宋" w:hAnsi="仿宋" w:eastAsia="仿宋" w:cs="仿宋"/>
          <w:color w:val="auto"/>
          <w:sz w:val="24"/>
          <w:highlight w:val="none"/>
          <w:lang w:val="en-US" w:eastAsia="zh-CN"/>
        </w:rPr>
        <w:t>提供微网控制器试验报告（具有CMA和CNAS）。</w:t>
      </w:r>
    </w:p>
    <w:p w14:paraId="77667D13">
      <w:pPr>
        <w:pageBreakBefore w:val="0"/>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微网控制器应具备变压器扩容策略，通过储能的控制，实现在不增加变压器容量的基础上提高供电能力。提供微网控制器试验报告（具有CMA和CNAS）。</w:t>
      </w:r>
    </w:p>
    <w:p w14:paraId="6FE11B1C">
      <w:pPr>
        <w:pageBreakBefore w:val="0"/>
        <w:kinsoku/>
        <w:wordWrap/>
        <w:overflowPunct/>
        <w:autoSpaceDE/>
        <w:autoSpaceDN/>
        <w:bidi w:val="0"/>
        <w:adjustRightInd w:val="0"/>
        <w:spacing w:line="360" w:lineRule="exact"/>
        <w:ind w:left="0" w:leftChars="0" w:firstLine="482" w:firstLineChars="200"/>
        <w:jc w:val="left"/>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智能要求</w:t>
      </w:r>
    </w:p>
    <w:p w14:paraId="4C252AB7">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具备模型自描述，与微网能量云可实现即插即用；</w:t>
      </w:r>
    </w:p>
    <w:p w14:paraId="62ED0E7E">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可通过多种物联网协议和云端互动，执行云端经济调度，参与电网辅助服务及需求侧响应；</w:t>
      </w:r>
    </w:p>
    <w:p w14:paraId="69B94094">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可采集大量小微传感器信息，对微网系统的设备状态和环境进行全面监测。</w:t>
      </w:r>
    </w:p>
    <w:p w14:paraId="6EF9880F">
      <w:pPr>
        <w:pageBreakBefore w:val="0"/>
        <w:kinsoku/>
        <w:wordWrap/>
        <w:overflowPunct/>
        <w:autoSpaceDE/>
        <w:autoSpaceDN/>
        <w:bidi w:val="0"/>
        <w:adjustRightInd w:val="0"/>
        <w:spacing w:line="360" w:lineRule="exact"/>
        <w:ind w:left="0" w:leftChars="0" w:firstLine="482" w:firstLineChars="200"/>
        <w:jc w:val="left"/>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rPr>
        <w:t>易用性</w:t>
      </w:r>
    </w:p>
    <w:p w14:paraId="2CCB1413">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内置嵌入式Web，通过其提供的Web 服务可实现对微网运行状态监测、历史数据查询、定值参数修改等多种功能；</w:t>
      </w:r>
    </w:p>
    <w:p w14:paraId="3A5BB257">
      <w:pPr>
        <w:pageBreakBefore w:val="0"/>
        <w:numPr>
          <w:ilvl w:val="0"/>
          <w:numId w:val="6"/>
        </w:numPr>
        <w:kinsoku/>
        <w:wordWrap/>
        <w:overflowPunct/>
        <w:autoSpaceDE/>
        <w:autoSpaceDN/>
        <w:bidi w:val="0"/>
        <w:adjustRightInd w:val="0"/>
        <w:spacing w:line="360" w:lineRule="exact"/>
        <w:ind w:left="0" w:leftChars="0"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通过微网能量云提供的SaaS 化服务，可以方便的实现微网系统监视、控制、经济调度等多种功能。</w:t>
      </w:r>
    </w:p>
    <w:p w14:paraId="05815DED">
      <w:pPr>
        <w:pStyle w:val="7"/>
        <w:pageBreakBefore w:val="0"/>
        <w:kinsoku/>
        <w:wordWrap/>
        <w:overflowPunct/>
        <w:bidi w:val="0"/>
        <w:spacing w:before="0" w:after="0" w:line="360" w:lineRule="exact"/>
        <w:ind w:left="0" w:leftChars="0" w:firstLine="482" w:firstLineChars="200"/>
        <w:rPr>
          <w:rFonts w:hint="eastAsia" w:ascii="仿宋" w:hAnsi="仿宋" w:eastAsia="仿宋" w:cs="仿宋"/>
          <w:color w:val="auto"/>
          <w:highlight w:val="none"/>
        </w:rPr>
      </w:pPr>
      <w:r>
        <w:rPr>
          <w:rFonts w:hint="eastAsia" w:ascii="仿宋" w:hAnsi="仿宋" w:eastAsia="仿宋" w:cs="仿宋"/>
          <w:color w:val="auto"/>
          <w:highlight w:val="none"/>
        </w:rPr>
        <w:t>技术参数要求</w:t>
      </w:r>
    </w:p>
    <w:tbl>
      <w:tblPr>
        <w:tblStyle w:val="64"/>
        <w:tblW w:w="5000" w:type="pct"/>
        <w:tblInd w:w="0" w:type="dxa"/>
        <w:tblLayout w:type="autofit"/>
        <w:tblCellMar>
          <w:top w:w="0" w:type="dxa"/>
          <w:left w:w="108" w:type="dxa"/>
          <w:bottom w:w="0" w:type="dxa"/>
          <w:right w:w="108" w:type="dxa"/>
        </w:tblCellMar>
      </w:tblPr>
      <w:tblGrid>
        <w:gridCol w:w="2013"/>
        <w:gridCol w:w="7160"/>
      </w:tblGrid>
      <w:tr w14:paraId="723603C9">
        <w:trPr>
          <w:trHeight w:val="285" w:hRule="atLeast"/>
        </w:trPr>
        <w:tc>
          <w:tcPr>
            <w:tcW w:w="1097" w:type="pct"/>
            <w:tcBorders>
              <w:top w:val="single" w:color="auto" w:sz="4" w:space="0"/>
              <w:left w:val="single" w:color="auto" w:sz="4" w:space="0"/>
              <w:bottom w:val="single" w:color="auto" w:sz="4" w:space="0"/>
              <w:right w:val="single" w:color="auto" w:sz="4" w:space="0"/>
            </w:tcBorders>
            <w:shd w:val="clear" w:color="000000" w:fill="BFBFBF"/>
            <w:vAlign w:val="center"/>
          </w:tcPr>
          <w:p w14:paraId="3763D7A5">
            <w:pPr>
              <w:pageBreakBefore w:val="0"/>
              <w:widowControl/>
              <w:kinsoku/>
              <w:wordWrap/>
              <w:overflowPunct/>
              <w:bidi w:val="0"/>
              <w:spacing w:line="360" w:lineRule="exact"/>
              <w:ind w:left="0" w:leftChars="0"/>
              <w:jc w:val="center"/>
              <w:rPr>
                <w:rFonts w:hint="eastAsia" w:ascii="仿宋" w:hAnsi="仿宋" w:eastAsia="仿宋" w:cs="仿宋"/>
                <w:bCs/>
                <w:color w:val="auto"/>
                <w:kern w:val="0"/>
                <w:sz w:val="21"/>
                <w:szCs w:val="21"/>
                <w:highlight w:val="none"/>
              </w:rPr>
            </w:pPr>
            <w:r>
              <w:rPr>
                <w:rFonts w:hint="eastAsia" w:ascii="仿宋" w:hAnsi="仿宋" w:eastAsia="仿宋" w:cs="仿宋"/>
                <w:bCs/>
                <w:color w:val="auto"/>
                <w:kern w:val="0"/>
                <w:sz w:val="21"/>
                <w:szCs w:val="21"/>
                <w:highlight w:val="none"/>
              </w:rPr>
              <w:t>产品名称</w:t>
            </w:r>
          </w:p>
        </w:tc>
        <w:tc>
          <w:tcPr>
            <w:tcW w:w="3902" w:type="pct"/>
            <w:tcBorders>
              <w:top w:val="single" w:color="auto" w:sz="4" w:space="0"/>
              <w:left w:val="single" w:color="auto" w:sz="4" w:space="0"/>
              <w:bottom w:val="single" w:color="auto" w:sz="4" w:space="0"/>
              <w:right w:val="single" w:color="auto" w:sz="4" w:space="0"/>
            </w:tcBorders>
            <w:shd w:val="clear" w:color="000000" w:fill="BFBFBF"/>
            <w:vAlign w:val="center"/>
          </w:tcPr>
          <w:p w14:paraId="2F9D63DE">
            <w:pPr>
              <w:pageBreakBefore w:val="0"/>
              <w:widowControl/>
              <w:kinsoku/>
              <w:wordWrap/>
              <w:overflowPunct/>
              <w:bidi w:val="0"/>
              <w:spacing w:line="360" w:lineRule="exact"/>
              <w:ind w:left="0" w:leftChars="0"/>
              <w:jc w:val="center"/>
              <w:rPr>
                <w:rFonts w:hint="eastAsia" w:ascii="仿宋" w:hAnsi="仿宋" w:eastAsia="仿宋" w:cs="仿宋"/>
                <w:bCs/>
                <w:color w:val="auto"/>
                <w:kern w:val="0"/>
                <w:sz w:val="21"/>
                <w:szCs w:val="21"/>
                <w:highlight w:val="none"/>
              </w:rPr>
            </w:pPr>
            <w:r>
              <w:rPr>
                <w:rFonts w:hint="eastAsia" w:ascii="仿宋" w:hAnsi="仿宋" w:eastAsia="仿宋" w:cs="仿宋"/>
                <w:bCs/>
                <w:color w:val="auto"/>
                <w:kern w:val="0"/>
                <w:sz w:val="21"/>
                <w:szCs w:val="21"/>
                <w:highlight w:val="none"/>
              </w:rPr>
              <w:t>系统控制柜</w:t>
            </w:r>
          </w:p>
        </w:tc>
      </w:tr>
      <w:tr w14:paraId="42AB05DC">
        <w:tblPrEx>
          <w:tblCellMar>
            <w:top w:w="0" w:type="dxa"/>
            <w:left w:w="108" w:type="dxa"/>
            <w:bottom w:w="0" w:type="dxa"/>
            <w:right w:w="108" w:type="dxa"/>
          </w:tblCellMar>
        </w:tblPrEx>
        <w:trPr>
          <w:trHeight w:val="285" w:hRule="atLeast"/>
        </w:trPr>
        <w:tc>
          <w:tcPr>
            <w:tcW w:w="5000" w:type="pct"/>
            <w:gridSpan w:val="2"/>
            <w:tcBorders>
              <w:top w:val="single" w:color="auto" w:sz="4" w:space="0"/>
              <w:left w:val="single" w:color="auto" w:sz="4" w:space="0"/>
              <w:bottom w:val="single" w:color="auto" w:sz="4" w:space="0"/>
              <w:right w:val="single" w:color="auto" w:sz="4" w:space="0"/>
            </w:tcBorders>
            <w:shd w:val="clear" w:color="000000" w:fill="BFBFBF"/>
            <w:vAlign w:val="center"/>
          </w:tcPr>
          <w:p w14:paraId="448253EA">
            <w:pPr>
              <w:pageBreakBefore w:val="0"/>
              <w:widowControl/>
              <w:kinsoku/>
              <w:wordWrap/>
              <w:overflowPunct/>
              <w:bidi w:val="0"/>
              <w:spacing w:line="360" w:lineRule="exact"/>
              <w:ind w:left="0" w:leftChars="0"/>
              <w:jc w:val="left"/>
              <w:rPr>
                <w:rFonts w:hint="eastAsia" w:ascii="仿宋" w:hAnsi="仿宋" w:eastAsia="仿宋" w:cs="仿宋"/>
                <w:bCs/>
                <w:color w:val="auto"/>
                <w:kern w:val="0"/>
                <w:sz w:val="21"/>
                <w:szCs w:val="21"/>
                <w:highlight w:val="none"/>
              </w:rPr>
            </w:pPr>
            <w:r>
              <w:rPr>
                <w:rFonts w:hint="eastAsia" w:ascii="仿宋" w:hAnsi="仿宋" w:eastAsia="仿宋" w:cs="仿宋"/>
                <w:bCs/>
                <w:color w:val="auto"/>
                <w:kern w:val="0"/>
                <w:sz w:val="21"/>
                <w:szCs w:val="21"/>
                <w:highlight w:val="none"/>
              </w:rPr>
              <w:t>系统接口配置</w:t>
            </w:r>
          </w:p>
        </w:tc>
      </w:tr>
      <w:tr w14:paraId="54109489">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650EC6E7">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板卡标准配置</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162DE47F">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AVAC+ACDC+CPU+2*BIO+2*COMM2+POWER</w:t>
            </w:r>
          </w:p>
        </w:tc>
      </w:tr>
      <w:tr w14:paraId="38A6C778">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63F97A8C">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标准接口配置</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0BDE7DA5">
            <w:pPr>
              <w:pageBreakBefore w:val="0"/>
              <w:widowControl/>
              <w:numPr>
                <w:ilvl w:val="0"/>
                <w:numId w:val="3"/>
              </w:numPr>
              <w:kinsoku/>
              <w:wordWrap/>
              <w:overflowPunct/>
              <w:bidi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21路交流量；</w:t>
            </w:r>
          </w:p>
          <w:p w14:paraId="3D32B6A4">
            <w:pPr>
              <w:pageBreakBefore w:val="0"/>
              <w:widowControl/>
              <w:numPr>
                <w:ilvl w:val="0"/>
                <w:numId w:val="3"/>
              </w:numPr>
              <w:kinsoku/>
              <w:wordWrap/>
              <w:overflowPunct/>
              <w:bidi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10个直流量；</w:t>
            </w:r>
          </w:p>
          <w:p w14:paraId="5470AC01">
            <w:pPr>
              <w:pageBreakBefore w:val="0"/>
              <w:widowControl/>
              <w:numPr>
                <w:ilvl w:val="0"/>
                <w:numId w:val="3"/>
              </w:numPr>
              <w:kinsoku/>
              <w:wordWrap/>
              <w:overflowPunct/>
              <w:bidi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2*14 路BI；</w:t>
            </w:r>
          </w:p>
          <w:p w14:paraId="33A97E5E">
            <w:pPr>
              <w:pageBreakBefore w:val="0"/>
              <w:widowControl/>
              <w:numPr>
                <w:ilvl w:val="0"/>
                <w:numId w:val="3"/>
              </w:numPr>
              <w:kinsoku/>
              <w:wordWrap/>
              <w:overflowPunct/>
              <w:bidi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2*6 路BO ；</w:t>
            </w:r>
          </w:p>
          <w:p w14:paraId="7E4FE283">
            <w:pPr>
              <w:pageBreakBefore w:val="0"/>
              <w:widowControl/>
              <w:numPr>
                <w:ilvl w:val="0"/>
                <w:numId w:val="3"/>
              </w:numPr>
              <w:kinsoku/>
              <w:wordWrap/>
              <w:overflowPunct/>
              <w:bidi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2*3 路CAN ；</w:t>
            </w:r>
          </w:p>
          <w:p w14:paraId="30741B19">
            <w:pPr>
              <w:pageBreakBefore w:val="0"/>
              <w:widowControl/>
              <w:numPr>
                <w:ilvl w:val="0"/>
                <w:numId w:val="3"/>
              </w:numPr>
              <w:kinsoku/>
              <w:wordWrap/>
              <w:overflowPunct/>
              <w:bidi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2*4 路RS485 ；</w:t>
            </w:r>
          </w:p>
          <w:p w14:paraId="654FD323">
            <w:pPr>
              <w:pageBreakBefore w:val="0"/>
              <w:numPr>
                <w:ilvl w:val="0"/>
                <w:numId w:val="7"/>
              </w:numPr>
              <w:kinsoku/>
              <w:wordWrap/>
              <w:overflowPunct/>
              <w:autoSpaceDE/>
              <w:autoSpaceDN/>
              <w:bidi w:val="0"/>
              <w:adjustRightInd w:val="0"/>
              <w:spacing w:line="360" w:lineRule="exact"/>
              <w:ind w:left="0" w:leftChars="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 路以太网口；</w:t>
            </w:r>
          </w:p>
        </w:tc>
      </w:tr>
      <w:tr w14:paraId="113F8D30">
        <w:tblPrEx>
          <w:tblCellMar>
            <w:top w:w="0" w:type="dxa"/>
            <w:left w:w="108" w:type="dxa"/>
            <w:bottom w:w="0" w:type="dxa"/>
            <w:right w:w="108" w:type="dxa"/>
          </w:tblCellMar>
        </w:tblPrEx>
        <w:trPr>
          <w:trHeight w:val="285" w:hRule="atLeast"/>
        </w:trPr>
        <w:tc>
          <w:tcPr>
            <w:tcW w:w="5000" w:type="pct"/>
            <w:gridSpan w:val="2"/>
            <w:tcBorders>
              <w:top w:val="single" w:color="auto" w:sz="4" w:space="0"/>
              <w:left w:val="single" w:color="auto" w:sz="4" w:space="0"/>
              <w:bottom w:val="single" w:color="auto" w:sz="4" w:space="0"/>
              <w:right w:val="single" w:color="auto" w:sz="4" w:space="0"/>
            </w:tcBorders>
            <w:shd w:val="clear" w:color="000000" w:fill="BFBFBF"/>
            <w:vAlign w:val="center"/>
          </w:tcPr>
          <w:p w14:paraId="77861B43">
            <w:pPr>
              <w:pageBreakBefore w:val="0"/>
              <w:widowControl/>
              <w:kinsoku/>
              <w:wordWrap/>
              <w:overflowPunct/>
              <w:bidi w:val="0"/>
              <w:spacing w:line="360" w:lineRule="exact"/>
              <w:ind w:left="0" w:leftChars="0"/>
              <w:jc w:val="left"/>
              <w:rPr>
                <w:rFonts w:hint="eastAsia" w:ascii="仿宋" w:hAnsi="仿宋" w:eastAsia="仿宋" w:cs="仿宋"/>
                <w:bCs/>
                <w:color w:val="auto"/>
                <w:kern w:val="0"/>
                <w:sz w:val="21"/>
                <w:szCs w:val="21"/>
                <w:highlight w:val="none"/>
              </w:rPr>
            </w:pPr>
            <w:r>
              <w:rPr>
                <w:rFonts w:hint="eastAsia" w:ascii="仿宋" w:hAnsi="仿宋" w:eastAsia="仿宋" w:cs="仿宋"/>
                <w:bCs/>
                <w:color w:val="auto"/>
                <w:kern w:val="0"/>
                <w:sz w:val="21"/>
                <w:szCs w:val="21"/>
                <w:highlight w:val="none"/>
              </w:rPr>
              <w:t>基本特性</w:t>
            </w:r>
          </w:p>
        </w:tc>
      </w:tr>
      <w:tr w14:paraId="1266AF08">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5ED324AD">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UPS</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5BE465CF">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具备UPS（确保在系统掉电时，监控系统供电正常）</w:t>
            </w:r>
          </w:p>
        </w:tc>
      </w:tr>
      <w:tr w14:paraId="6143B9A6">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3A885A9A">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工作温度</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4E8B5A29">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  -40℃～+65℃ </w:t>
            </w:r>
          </w:p>
        </w:tc>
      </w:tr>
      <w:tr w14:paraId="4BD06A1C">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0DE9F712">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相对湿度</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123DD9D0">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≤95%RH，无凝露</w:t>
            </w:r>
          </w:p>
        </w:tc>
      </w:tr>
      <w:tr w14:paraId="2107E5CD">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643009AB">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防护等级</w:t>
            </w:r>
          </w:p>
        </w:tc>
        <w:tc>
          <w:tcPr>
            <w:tcW w:w="3902" w:type="pct"/>
            <w:tcBorders>
              <w:top w:val="single" w:color="auto" w:sz="4" w:space="0"/>
              <w:left w:val="nil"/>
              <w:bottom w:val="single" w:color="auto" w:sz="4" w:space="0"/>
              <w:right w:val="single" w:color="000000" w:sz="4" w:space="0"/>
            </w:tcBorders>
            <w:shd w:val="clear" w:color="000000" w:fill="FFFFFF"/>
            <w:vAlign w:val="center"/>
          </w:tcPr>
          <w:p w14:paraId="07768742">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IP20</w:t>
            </w:r>
          </w:p>
        </w:tc>
      </w:tr>
      <w:tr w14:paraId="29AEA50A">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5D5FA894">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海拔高度</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30BCC106">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2000m</w:t>
            </w:r>
          </w:p>
        </w:tc>
      </w:tr>
      <w:tr w14:paraId="27DA34A5">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5AFB3714">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重量</w:t>
            </w:r>
          </w:p>
        </w:tc>
        <w:tc>
          <w:tcPr>
            <w:tcW w:w="3902" w:type="pct"/>
            <w:tcBorders>
              <w:top w:val="single" w:color="auto" w:sz="4" w:space="0"/>
              <w:left w:val="nil"/>
              <w:bottom w:val="single" w:color="auto" w:sz="4" w:space="0"/>
              <w:right w:val="single" w:color="000000" w:sz="4" w:space="0"/>
            </w:tcBorders>
            <w:shd w:val="clear" w:color="000000" w:fill="FFFFFF"/>
            <w:vAlign w:val="center"/>
          </w:tcPr>
          <w:p w14:paraId="3EDC1AAB">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小于200kg</w:t>
            </w:r>
          </w:p>
        </w:tc>
      </w:tr>
      <w:tr w14:paraId="758164CD">
        <w:tblPrEx>
          <w:tblCellMar>
            <w:top w:w="0" w:type="dxa"/>
            <w:left w:w="108" w:type="dxa"/>
            <w:bottom w:w="0" w:type="dxa"/>
            <w:right w:w="108" w:type="dxa"/>
          </w:tblCellMar>
        </w:tblPrEx>
        <w:trPr>
          <w:trHeight w:val="285" w:hRule="atLeast"/>
        </w:trPr>
        <w:tc>
          <w:tcPr>
            <w:tcW w:w="1097" w:type="pct"/>
            <w:tcBorders>
              <w:top w:val="nil"/>
              <w:left w:val="single" w:color="auto" w:sz="4" w:space="0"/>
              <w:bottom w:val="single" w:color="auto" w:sz="4" w:space="0"/>
              <w:right w:val="single" w:color="auto" w:sz="4" w:space="0"/>
            </w:tcBorders>
            <w:shd w:val="clear" w:color="000000" w:fill="FFFFFF"/>
            <w:vAlign w:val="center"/>
          </w:tcPr>
          <w:p w14:paraId="530556E4">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外形尺寸（W*D*H)</w:t>
            </w:r>
          </w:p>
        </w:tc>
        <w:tc>
          <w:tcPr>
            <w:tcW w:w="3902" w:type="pct"/>
            <w:tcBorders>
              <w:top w:val="single" w:color="auto" w:sz="4" w:space="0"/>
              <w:left w:val="nil"/>
              <w:bottom w:val="single" w:color="auto" w:sz="4" w:space="0"/>
              <w:right w:val="single" w:color="auto" w:sz="4" w:space="0"/>
            </w:tcBorders>
            <w:shd w:val="clear" w:color="000000" w:fill="FFFFFF"/>
            <w:vAlign w:val="center"/>
          </w:tcPr>
          <w:p w14:paraId="08E582B8">
            <w:pPr>
              <w:pageBreakBefore w:val="0"/>
              <w:widowControl/>
              <w:kinsoku/>
              <w:wordWrap/>
              <w:overflowPunct/>
              <w:bidi w:val="0"/>
              <w:spacing w:line="360" w:lineRule="exact"/>
              <w:ind w:left="0" w:leftChars="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600mm*800mm*1800mm</w:t>
            </w:r>
          </w:p>
        </w:tc>
      </w:tr>
    </w:tbl>
    <w:p w14:paraId="54B09670">
      <w:pPr>
        <w:pageBreakBefore w:val="0"/>
        <w:kinsoku/>
        <w:wordWrap/>
        <w:overflowPunct/>
        <w:bidi w:val="0"/>
        <w:spacing w:line="360" w:lineRule="exact"/>
        <w:ind w:left="0" w:leftChars="0"/>
        <w:rPr>
          <w:rFonts w:hint="eastAsia" w:ascii="仿宋" w:hAnsi="仿宋" w:eastAsia="仿宋" w:cs="仿宋"/>
          <w:color w:val="auto"/>
          <w:highlight w:val="none"/>
        </w:rPr>
      </w:pPr>
    </w:p>
    <w:p w14:paraId="1449DC74">
      <w:pPr>
        <w:pStyle w:val="6"/>
        <w:pageBreakBefore w:val="0"/>
        <w:widowControl w:val="0"/>
        <w:kinsoku/>
        <w:wordWrap/>
        <w:overflowPunct/>
        <w:topLinePunct w:val="0"/>
        <w:autoSpaceDE/>
        <w:autoSpaceDN/>
        <w:bidi w:val="0"/>
        <w:adjustRightInd w:val="0"/>
        <w:spacing w:before="0" w:after="0" w:line="36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云服务器要求</w:t>
      </w:r>
    </w:p>
    <w:p w14:paraId="2A8056A5">
      <w:pPr>
        <w:pageBreakBefore w:val="0"/>
        <w:widowControl/>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云服务器要求能够同时接受多个高级新能源智能微网系统控制器的连接和数据处理。</w:t>
      </w:r>
    </w:p>
    <w:p w14:paraId="2D7209C0">
      <w:pPr>
        <w:pageBreakBefore w:val="0"/>
        <w:widowControl/>
        <w:kinsoku/>
        <w:wordWrap/>
        <w:overflowPunct/>
        <w:topLinePunct w:val="0"/>
        <w:autoSpaceDE/>
        <w:autoSpaceDN/>
        <w:bidi w:val="0"/>
        <w:adjustRightInd/>
        <w:snapToGrid/>
        <w:spacing w:line="360" w:lineRule="exact"/>
        <w:ind w:left="0" w:leftChars="0" w:firstLine="480" w:firstLineChars="200"/>
        <w:textAlignment w:val="auto"/>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应具有稳定性好、响应速度快、安全可靠、数据备份存储、扩展性好的特点，支持同时多个访问客户端连接云服务器。连接客户端主机通过HTTP请求该服务器的页面程序，通过客户端浏览器对系统状态进行实时监测，并能够支持设备大量历史数据，历史统计数据等关键数据的存储和查询。</w:t>
      </w:r>
    </w:p>
    <w:p w14:paraId="7B271B02">
      <w:pPr>
        <w:pStyle w:val="6"/>
        <w:pageBreakBefore w:val="0"/>
        <w:widowControl w:val="0"/>
        <w:kinsoku/>
        <w:wordWrap/>
        <w:overflowPunct/>
        <w:topLinePunct w:val="0"/>
        <w:autoSpaceDE/>
        <w:autoSpaceDN/>
        <w:bidi w:val="0"/>
        <w:adjustRightInd w:val="0"/>
        <w:spacing w:before="0" w:after="0" w:line="360" w:lineRule="exact"/>
        <w:textAlignment w:val="auto"/>
        <w:rPr>
          <w:rFonts w:hint="eastAsia" w:ascii="仿宋" w:hAnsi="仿宋" w:eastAsia="仿宋" w:cs="仿宋"/>
          <w:color w:val="auto"/>
          <w:highlight w:val="none"/>
        </w:rPr>
      </w:pPr>
      <w:r>
        <w:rPr>
          <w:rFonts w:hint="eastAsia" w:ascii="仿宋" w:hAnsi="仿宋" w:eastAsia="仿宋" w:cs="仿宋"/>
          <w:color w:val="auto"/>
          <w:highlight w:val="none"/>
        </w:rPr>
        <w:t>通讯要求</w:t>
      </w:r>
    </w:p>
    <w:p w14:paraId="79175CFF">
      <w:pPr>
        <w:pageBreakBefore w:val="0"/>
        <w:kinsoku/>
        <w:wordWrap/>
        <w:overflowPunct/>
        <w:bidi w:val="0"/>
        <w:adjustRightInd/>
        <w:snapToGrid/>
        <w:spacing w:line="360" w:lineRule="exact"/>
        <w:ind w:left="0" w:leftChars="0" w:firstLine="480" w:firstLineChars="200"/>
        <w:rPr>
          <w:rFonts w:hint="eastAsia" w:ascii="仿宋" w:hAnsi="仿宋" w:eastAsia="仿宋" w:cs="仿宋"/>
          <w:color w:val="auto"/>
          <w:sz w:val="24"/>
          <w:szCs w:val="20"/>
          <w:highlight w:val="none"/>
        </w:rPr>
      </w:pPr>
      <w:r>
        <w:rPr>
          <w:rFonts w:hint="eastAsia" w:ascii="仿宋" w:hAnsi="仿宋" w:eastAsia="仿宋" w:cs="仿宋"/>
          <w:color w:val="auto"/>
          <w:sz w:val="24"/>
          <w:szCs w:val="20"/>
          <w:highlight w:val="none"/>
        </w:rPr>
        <w:t>系统内通讯方式要求可选择485通信、CAN通信、TCP/IP通信等多种通信方式进行通讯，不同种通信方式数据交互时要求统一规约。系统内要求实现本地服务器与云服务器之间数据交互与通信。</w:t>
      </w:r>
    </w:p>
    <w:bookmarkEnd w:id="91"/>
    <w:bookmarkEnd w:id="92"/>
    <w:p w14:paraId="65878768">
      <w:pPr>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br w:type="page"/>
      </w:r>
    </w:p>
    <w:p w14:paraId="7FF58358">
      <w:pPr>
        <w:spacing w:line="360" w:lineRule="exact"/>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三、配套设施安装要求</w:t>
      </w:r>
    </w:p>
    <w:p w14:paraId="10FEBBB1">
      <w:pPr>
        <w:pageBreakBefore w:val="0"/>
        <w:kinsoku/>
        <w:wordWrap/>
        <w:overflowPunct/>
        <w:topLinePunct w:val="0"/>
        <w:bidi w:val="0"/>
        <w:spacing w:line="400" w:lineRule="exact"/>
        <w:ind w:firstLine="482" w:firstLineChars="200"/>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b/>
          <w:bCs/>
          <w:color w:val="auto"/>
          <w:kern w:val="0"/>
          <w:sz w:val="24"/>
          <w:highlight w:val="none"/>
        </w:rPr>
        <w:t>★</w:t>
      </w:r>
      <w:r>
        <w:rPr>
          <w:rFonts w:hint="eastAsia" w:ascii="仿宋" w:hAnsi="仿宋" w:eastAsia="仿宋" w:cs="仿宋"/>
          <w:i w:val="0"/>
          <w:iCs w:val="0"/>
          <w:color w:val="auto"/>
          <w:sz w:val="24"/>
          <w:szCs w:val="20"/>
          <w:highlight w:val="none"/>
          <w:lang w:val="en-US" w:eastAsia="zh-CN"/>
        </w:rPr>
        <w:t>1.安装要求</w:t>
      </w:r>
    </w:p>
    <w:p w14:paraId="34B84CB7">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1.1投标人应具备以下资质：</w:t>
      </w:r>
    </w:p>
    <w:p w14:paraId="058EC635">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①具有</w:t>
      </w:r>
      <w:r>
        <w:rPr>
          <w:rFonts w:hint="eastAsia" w:ascii="仿宋" w:hAnsi="仿宋" w:eastAsia="仿宋" w:cs="仿宋"/>
          <w:i w:val="0"/>
          <w:iCs w:val="0"/>
          <w:color w:val="auto"/>
          <w:sz w:val="24"/>
          <w:highlight w:val="none"/>
        </w:rPr>
        <w:t>机电工程施工总承包三级及以上</w:t>
      </w:r>
      <w:r>
        <w:rPr>
          <w:rFonts w:hint="eastAsia" w:ascii="仿宋" w:hAnsi="仿宋" w:eastAsia="仿宋" w:cs="仿宋"/>
          <w:i w:val="0"/>
          <w:iCs w:val="0"/>
          <w:color w:val="auto"/>
          <w:sz w:val="24"/>
          <w:highlight w:val="none"/>
          <w:lang w:val="en-US" w:eastAsia="zh-CN"/>
        </w:rPr>
        <w:t>资质（若为联合体投标的，实施机电工程的一方满足即可）；</w:t>
      </w:r>
    </w:p>
    <w:p w14:paraId="32F12644">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②具有</w:t>
      </w:r>
      <w:r>
        <w:rPr>
          <w:rFonts w:hint="eastAsia" w:ascii="仿宋" w:hAnsi="仿宋" w:eastAsia="仿宋" w:cs="仿宋"/>
          <w:i w:val="0"/>
          <w:iCs w:val="0"/>
          <w:color w:val="auto"/>
          <w:sz w:val="24"/>
          <w:highlight w:val="none"/>
        </w:rPr>
        <w:t>电力工程施工总承包三级及以上</w:t>
      </w:r>
      <w:r>
        <w:rPr>
          <w:rFonts w:hint="eastAsia" w:ascii="仿宋" w:hAnsi="仿宋" w:eastAsia="仿宋" w:cs="仿宋"/>
          <w:i w:val="0"/>
          <w:iCs w:val="0"/>
          <w:color w:val="auto"/>
          <w:sz w:val="24"/>
          <w:highlight w:val="none"/>
          <w:lang w:val="en-US" w:eastAsia="zh-CN"/>
        </w:rPr>
        <w:t>和</w:t>
      </w:r>
      <w:r>
        <w:rPr>
          <w:rFonts w:hint="eastAsia" w:ascii="仿宋" w:hAnsi="仿宋" w:eastAsia="仿宋" w:cs="仿宋"/>
          <w:i w:val="0"/>
          <w:iCs w:val="0"/>
          <w:color w:val="auto"/>
          <w:sz w:val="24"/>
          <w:highlight w:val="none"/>
        </w:rPr>
        <w:t>承装</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修</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电力设施许可</w:t>
      </w:r>
      <w:r>
        <w:rPr>
          <w:rFonts w:hint="eastAsia" w:ascii="仿宋" w:hAnsi="仿宋" w:eastAsia="仿宋" w:cs="仿宋"/>
          <w:i w:val="0"/>
          <w:iCs w:val="0"/>
          <w:color w:val="auto"/>
          <w:sz w:val="24"/>
          <w:highlight w:val="none"/>
        </w:rPr>
        <w:t>四级及以上</w:t>
      </w:r>
      <w:r>
        <w:rPr>
          <w:rFonts w:hint="eastAsia" w:ascii="仿宋" w:hAnsi="仿宋" w:eastAsia="仿宋" w:cs="仿宋"/>
          <w:i w:val="0"/>
          <w:iCs w:val="0"/>
          <w:color w:val="auto"/>
          <w:sz w:val="24"/>
          <w:highlight w:val="none"/>
          <w:lang w:val="en-US" w:eastAsia="zh-CN"/>
        </w:rPr>
        <w:t>资质（若为联合体投标的，实施电力工程的一方满足即可）</w:t>
      </w:r>
      <w:r>
        <w:rPr>
          <w:rFonts w:hint="eastAsia" w:ascii="仿宋" w:hAnsi="仿宋" w:eastAsia="仿宋" w:cs="仿宋"/>
          <w:i w:val="0"/>
          <w:iCs w:val="0"/>
          <w:color w:val="auto"/>
          <w:sz w:val="24"/>
          <w:highlight w:val="none"/>
          <w:lang w:eastAsia="zh-CN"/>
        </w:rPr>
        <w:t>。</w:t>
      </w:r>
    </w:p>
    <w:p w14:paraId="2C7E63F4">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1.2具有企业</w:t>
      </w:r>
      <w:r>
        <w:rPr>
          <w:rFonts w:hint="eastAsia" w:ascii="仿宋" w:hAnsi="仿宋" w:eastAsia="仿宋" w:cs="仿宋"/>
          <w:i w:val="0"/>
          <w:iCs w:val="0"/>
          <w:color w:val="auto"/>
          <w:sz w:val="24"/>
          <w:highlight w:val="none"/>
          <w:lang w:eastAsia="zh-CN"/>
        </w:rPr>
        <w:t>有效期内的安全生产许可证，对应资质应在“浙江省建筑市场监管公共服务系统”上资质动态核查结果处于“合格”状态。</w:t>
      </w:r>
      <w:r>
        <w:rPr>
          <w:rFonts w:hint="eastAsia" w:ascii="仿宋" w:hAnsi="仿宋" w:eastAsia="仿宋" w:cs="仿宋"/>
          <w:i w:val="0"/>
          <w:iCs w:val="0"/>
          <w:color w:val="auto"/>
          <w:sz w:val="24"/>
          <w:highlight w:val="none"/>
          <w:lang w:val="en-US" w:eastAsia="zh-CN"/>
        </w:rPr>
        <w:t>（若为联合体投标的，联合体双方均需满足</w:t>
      </w:r>
      <w:r>
        <w:rPr>
          <w:rFonts w:hint="eastAsia" w:ascii="仿宋" w:hAnsi="仿宋" w:eastAsia="仿宋" w:cs="仿宋"/>
          <w:i w:val="0"/>
          <w:iCs w:val="0"/>
          <w:color w:val="auto"/>
          <w:sz w:val="24"/>
          <w:highlight w:val="none"/>
          <w:lang w:eastAsia="zh-CN"/>
        </w:rPr>
        <w:t>）。</w:t>
      </w:r>
    </w:p>
    <w:p w14:paraId="4EA3F477">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1.3项目负责人资格要求：具有二级及以上注册建造师证书（专业：机电工程）。项目负责人须为投标企业在职职工（不包括离退休返聘人员），须提供缴费期限包含2025年10月至2025年12月的投标人所属社保机构养老保险缴纳清单或证明（缴费单位和投标单位名称必须一致，并加盖社保缴费证明专用章或电子专用章，非独立法人的分公司社保证明有效）；（若为联合体投标的，应由联合体牵头人拟派</w:t>
      </w:r>
      <w:r>
        <w:rPr>
          <w:rFonts w:hint="eastAsia" w:ascii="仿宋" w:hAnsi="仿宋" w:eastAsia="仿宋" w:cs="仿宋"/>
          <w:i w:val="0"/>
          <w:iCs w:val="0"/>
          <w:color w:val="auto"/>
          <w:sz w:val="24"/>
          <w:highlight w:val="none"/>
          <w:lang w:eastAsia="zh-CN"/>
        </w:rPr>
        <w:t>）。</w:t>
      </w:r>
    </w:p>
    <w:p w14:paraId="46CB46BF">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备注：（1）投标时同时提供企业营业执照、资质证书、安全生产许可证、投标时间截止前最新一期的资质动态证明。若为联合体投标的，联合体双方均需提供。</w:t>
      </w:r>
    </w:p>
    <w:p w14:paraId="5E1BD640">
      <w:pPr>
        <w:pageBreakBefore w:val="0"/>
        <w:kinsoku/>
        <w:wordWrap/>
        <w:overflowPunct/>
        <w:topLinePunct w:val="0"/>
        <w:bidi w:val="0"/>
        <w:snapToGrid w:val="0"/>
        <w:spacing w:line="40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（2）项目负责人证书及社保证明。若联合体投标的，由联合体牵头人提供。</w:t>
      </w:r>
    </w:p>
    <w:p w14:paraId="7D21BA13">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2</w:t>
      </w:r>
      <w:r>
        <w:rPr>
          <w:rFonts w:hint="eastAsia" w:ascii="仿宋" w:hAnsi="仿宋" w:eastAsia="仿宋" w:cs="仿宋"/>
          <w:i w:val="0"/>
          <w:iCs w:val="0"/>
          <w:color w:val="auto"/>
          <w:sz w:val="24"/>
          <w:szCs w:val="20"/>
          <w:highlight w:val="none"/>
        </w:rPr>
        <w:t>.电缆要求</w:t>
      </w:r>
    </w:p>
    <w:p w14:paraId="1BCF8D86">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（1）项目电缆包含箱式变电站进线电缆、分体式充电机主进线电缆、直流充电桩（终端）连接电缆等；</w:t>
      </w:r>
    </w:p>
    <w:p w14:paraId="2FBCE47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（2）所有额定电压450/750V及以下聚氯乙烯绝缘电缆必须符合标准GB/T5023的规定或JB/T 8734的规定；</w:t>
      </w:r>
    </w:p>
    <w:p w14:paraId="6E567549">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（3）所有额定电压1kV~35kV的电缆须符合标准GB/T12706的规定；</w:t>
      </w:r>
    </w:p>
    <w:p w14:paraId="4E3E4CD9">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（4）所有型号的电缆须满足《电线电缆产品许可证可实施细则》的规定。</w:t>
      </w:r>
    </w:p>
    <w:p w14:paraId="3DAB733A">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（5）项目所需电缆型号与长度由投标人根据现场实际安装环境自行选择确认，同时需满足当地供电局验收标准规范。</w:t>
      </w:r>
    </w:p>
    <w:p w14:paraId="52C6F8C9">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3</w:t>
      </w:r>
      <w:r>
        <w:rPr>
          <w:rFonts w:hint="eastAsia" w:ascii="仿宋" w:hAnsi="仿宋" w:eastAsia="仿宋" w:cs="仿宋"/>
          <w:i w:val="0"/>
          <w:iCs w:val="0"/>
          <w:color w:val="auto"/>
          <w:sz w:val="24"/>
          <w:szCs w:val="20"/>
          <w:highlight w:val="none"/>
        </w:rPr>
        <w:t>.安装服务要求</w:t>
      </w:r>
    </w:p>
    <w:p w14:paraId="2366E3D6">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项目安装包含设备基础制作、接线安装及调试通电等，</w:t>
      </w:r>
      <w:r>
        <w:rPr>
          <w:rFonts w:hint="eastAsia" w:ascii="仿宋" w:hAnsi="仿宋" w:eastAsia="仿宋" w:cs="仿宋"/>
          <w:i w:val="0"/>
          <w:iCs w:val="0"/>
          <w:color w:val="auto"/>
          <w:sz w:val="24"/>
          <w:szCs w:val="20"/>
          <w:highlight w:val="none"/>
          <w:lang w:val="en-US" w:eastAsia="zh-CN"/>
        </w:rPr>
        <w:t>中标人</w:t>
      </w:r>
      <w:r>
        <w:rPr>
          <w:rFonts w:hint="eastAsia" w:ascii="仿宋" w:hAnsi="仿宋" w:eastAsia="仿宋" w:cs="仿宋"/>
          <w:i w:val="0"/>
          <w:iCs w:val="0"/>
          <w:color w:val="auto"/>
          <w:sz w:val="24"/>
          <w:szCs w:val="20"/>
          <w:highlight w:val="none"/>
        </w:rPr>
        <w:t>最终成果必须满足国家行政主管部门的施工及安全要求，同时确保项目设施设备正常运行，场站建设需配套必要的照明等设施。</w:t>
      </w:r>
    </w:p>
    <w:p w14:paraId="1EEEBE0A">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lang w:val="en-US" w:eastAsia="zh-CN"/>
        </w:rPr>
        <w:t>4</w:t>
      </w:r>
      <w:r>
        <w:rPr>
          <w:rFonts w:hint="eastAsia"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安装</w:t>
      </w:r>
      <w:r>
        <w:rPr>
          <w:rFonts w:hint="eastAsia" w:ascii="仿宋" w:hAnsi="仿宋" w:eastAsia="仿宋" w:cs="仿宋"/>
          <w:i w:val="0"/>
          <w:iCs w:val="0"/>
          <w:color w:val="auto"/>
          <w:sz w:val="24"/>
          <w:szCs w:val="20"/>
          <w:highlight w:val="none"/>
        </w:rPr>
        <w:t>及其配套设施要求</w:t>
      </w:r>
    </w:p>
    <w:p w14:paraId="4CA2AF72">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（1）接地施工要求</w:t>
      </w:r>
    </w:p>
    <w:p w14:paraId="09A81FF7">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1）接地极施工：接地极可采用热镀锌角钢、圆钢、钢管，垂直打入地面，埋设深度距地表≥2500mm。</w:t>
      </w:r>
    </w:p>
    <w:p w14:paraId="3D510954">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2）接地体核验：接地焊接处焊口、焊面，不得有夹渣、咬肉、裂纹、气孔、药皮，且已做防腐处理。</w:t>
      </w:r>
    </w:p>
    <w:p w14:paraId="64A1DFCE">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（2）充电设备基础施工要求</w:t>
      </w:r>
    </w:p>
    <w:p w14:paraId="78AE53B4">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1）在基础开挖前应根据充电设备的安装位置和设备尺寸进行放线定位，需要拆除的绿化植被必须征得相关管理部同意后才能拆除。若充电设备采用砖砌结构，所用砖块为烧结页岩砖，不得使用水泥沙砖。</w:t>
      </w:r>
    </w:p>
    <w:p w14:paraId="3654DA63">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砖砌充电设备基础的灰缝应横平竖直厚薄均匀，竖向灰缝砂浆需填充饱满，不得出现透明缝、瞎缝和假缝。充电设备基础施工临时间断处补砌时，必须将接处表面清理干净，浇水湿润，并填实砂浆保持灰缝平直。</w:t>
      </w:r>
    </w:p>
    <w:p w14:paraId="7606CA8E">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（3）混凝土基础施工要求</w:t>
      </w:r>
    </w:p>
    <w:p w14:paraId="677050B9">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1）为保证充电设备的安装牢固可靠，基础采用C20现浇混凝土制作。</w:t>
      </w:r>
    </w:p>
    <w:p w14:paraId="0F09871C">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2）为防止基础下沉，在开挖完成后必须对基坑夯实处理。在混凝土浇筑前依据基础尺寸进行模板支设和加固，保证在混凝土浇筑过程中不漏浆、不涨模。</w:t>
      </w:r>
    </w:p>
    <w:p w14:paraId="71287219">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3）基础在浇筑时必须振捣密实，预埋螺栓必须保证螺栓与基础表面垂直，螺栓间距、锚固长度均应满足施工图纸要求。</w:t>
      </w:r>
    </w:p>
    <w:p w14:paraId="2DDCF359">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（4）电缆敷设施工要求</w:t>
      </w:r>
    </w:p>
    <w:p w14:paraId="31121D46">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1）电缆沟负挖深度现场满足要求，电缆敷设前应对整盘电缆进行绝缘测试，测试合格后方能进行电缆敷设；</w:t>
      </w:r>
    </w:p>
    <w:p w14:paraId="3F7BA587">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2）电缆敷设完成后在箱变及接线井悬挂电缆标识牌，标明电缆规格型号、长度、起端和终端；</w:t>
      </w:r>
    </w:p>
    <w:p w14:paraId="422E2DDF">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3）埋地电缆在拐弯、接头、交叉，进出建筑物等地段应设明显的方位标桩，标桩应牢固，标志应清晰，标桩露出地面以15-20cm为宜。</w:t>
      </w:r>
    </w:p>
    <w:p w14:paraId="09FB4222">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（5）土方回填及充电设备基础养护施工要求</w:t>
      </w:r>
    </w:p>
    <w:p w14:paraId="7D62F11E">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1）土方回填前应将基坑杂物进行清理，回填土不含植物残体、垃圾等杂质，分层铺摊夯实；</w:t>
      </w:r>
    </w:p>
    <w:p w14:paraId="3B9A4B26">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充电设备基础施工完成后，均应在12小时内浇水和用塑料薄膜加以覆盖，浇水次数应能够保持砌体墙面有足够的湿润状态，养护期不少于3天，确保基础表面美观可靠，无蜂窝麻面、隙缝夹渣、不规则裂纹等，具体时间可根据现场实际调整。</w:t>
      </w:r>
    </w:p>
    <w:p w14:paraId="704F9B7A">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（6）电缆端接施工要求</w:t>
      </w:r>
    </w:p>
    <w:p w14:paraId="0EA12018">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1）根据线鼻子腔深度确定绝缘层剥切长度（绝缘层剥切长度=线鼻子腔深度+2mm），用剥线钳环切将绝缘层剥掉，剥切过程中应避免用力过大伤及线芯导体部分；</w:t>
      </w:r>
    </w:p>
    <w:p w14:paraId="7F97AC42">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2）选择与电缆型号相等，并与元器件或铜排配套的线鼻子进行压接，压接时须使用液压钳及配套模具，不得使用铁锤砸击的方式进行压接；</w:t>
      </w:r>
    </w:p>
    <w:p w14:paraId="16C481F5">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3）铜鼻压接结束以后，对绝缘皮与线鼻子用PVC胶带缠绕保护至少2圈后加绝缘软护套（信号线除外），对于压接后的端子有压接不牢或虚接情况时，须使用裸导线对线芯进行填充后再压接或重新制作端子。</w:t>
      </w:r>
    </w:p>
    <w:p w14:paraId="6BE9B955">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（7）安全文明施工要求</w:t>
      </w:r>
    </w:p>
    <w:p w14:paraId="1E6A5177">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eastAsia="zh-CN"/>
        </w:rPr>
        <w:t>安装单位</w:t>
      </w:r>
      <w:r>
        <w:rPr>
          <w:rFonts w:hint="eastAsia" w:ascii="仿宋" w:hAnsi="仿宋" w:eastAsia="仿宋" w:cs="仿宋"/>
          <w:i w:val="0"/>
          <w:iCs w:val="0"/>
          <w:color w:val="auto"/>
          <w:sz w:val="24"/>
          <w:szCs w:val="20"/>
          <w:highlight w:val="none"/>
        </w:rPr>
        <w:t>在</w:t>
      </w:r>
      <w:r>
        <w:rPr>
          <w:rFonts w:hint="eastAsia" w:ascii="仿宋" w:hAnsi="仿宋" w:eastAsia="仿宋" w:cs="仿宋"/>
          <w:i w:val="0"/>
          <w:iCs w:val="0"/>
          <w:color w:val="auto"/>
          <w:sz w:val="24"/>
          <w:szCs w:val="20"/>
          <w:highlight w:val="none"/>
          <w:lang w:eastAsia="zh-CN"/>
        </w:rPr>
        <w:t>安装过程</w:t>
      </w:r>
      <w:r>
        <w:rPr>
          <w:rFonts w:hint="eastAsia" w:ascii="仿宋" w:hAnsi="仿宋" w:eastAsia="仿宋" w:cs="仿宋"/>
          <w:i w:val="0"/>
          <w:iCs w:val="0"/>
          <w:color w:val="auto"/>
          <w:sz w:val="24"/>
          <w:szCs w:val="20"/>
          <w:highlight w:val="none"/>
        </w:rPr>
        <w:t>中应设立统一的安全施工围挡，以区分作业区和非作业区。</w:t>
      </w:r>
    </w:p>
    <w:p w14:paraId="0785F723">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w:t>
      </w:r>
      <w:r>
        <w:rPr>
          <w:rFonts w:hint="eastAsia" w:ascii="仿宋" w:hAnsi="仿宋" w:eastAsia="仿宋" w:cs="仿宋"/>
          <w:i w:val="0"/>
          <w:iCs w:val="0"/>
          <w:color w:val="auto"/>
          <w:sz w:val="24"/>
          <w:szCs w:val="20"/>
          <w:highlight w:val="none"/>
          <w:lang w:eastAsia="zh-CN"/>
        </w:rPr>
        <w:t>安装单位</w:t>
      </w:r>
      <w:r>
        <w:rPr>
          <w:rFonts w:hint="eastAsia" w:ascii="仿宋" w:hAnsi="仿宋" w:eastAsia="仿宋" w:cs="仿宋"/>
          <w:i w:val="0"/>
          <w:iCs w:val="0"/>
          <w:color w:val="auto"/>
          <w:sz w:val="24"/>
          <w:szCs w:val="20"/>
          <w:highlight w:val="none"/>
        </w:rPr>
        <w:t>在</w:t>
      </w:r>
      <w:r>
        <w:rPr>
          <w:rFonts w:hint="eastAsia" w:ascii="仿宋" w:hAnsi="仿宋" w:eastAsia="仿宋" w:cs="仿宋"/>
          <w:i w:val="0"/>
          <w:iCs w:val="0"/>
          <w:color w:val="auto"/>
          <w:sz w:val="24"/>
          <w:szCs w:val="20"/>
          <w:highlight w:val="none"/>
          <w:lang w:eastAsia="zh-CN"/>
        </w:rPr>
        <w:t>安装过程</w:t>
      </w:r>
      <w:r>
        <w:rPr>
          <w:rFonts w:hint="eastAsia" w:ascii="仿宋" w:hAnsi="仿宋" w:eastAsia="仿宋" w:cs="仿宋"/>
          <w:i w:val="0"/>
          <w:iCs w:val="0"/>
          <w:color w:val="auto"/>
          <w:sz w:val="24"/>
          <w:szCs w:val="20"/>
          <w:highlight w:val="none"/>
        </w:rPr>
        <w:t>中，应在施工现场设置统一的施工指示牌。</w:t>
      </w:r>
    </w:p>
    <w:p w14:paraId="434357B8">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w:t>
      </w:r>
      <w:r>
        <w:rPr>
          <w:rFonts w:hint="eastAsia" w:ascii="仿宋" w:hAnsi="仿宋" w:eastAsia="仿宋" w:cs="仿宋"/>
          <w:i w:val="0"/>
          <w:iCs w:val="0"/>
          <w:color w:val="auto"/>
          <w:sz w:val="24"/>
          <w:szCs w:val="20"/>
          <w:highlight w:val="none"/>
          <w:lang w:eastAsia="zh-CN"/>
        </w:rPr>
        <w:t>安装单位</w:t>
      </w:r>
      <w:r>
        <w:rPr>
          <w:rFonts w:hint="eastAsia" w:ascii="仿宋" w:hAnsi="仿宋" w:eastAsia="仿宋" w:cs="仿宋"/>
          <w:i w:val="0"/>
          <w:iCs w:val="0"/>
          <w:color w:val="auto"/>
          <w:sz w:val="24"/>
          <w:szCs w:val="20"/>
          <w:highlight w:val="none"/>
        </w:rPr>
        <w:t>的</w:t>
      </w:r>
      <w:r>
        <w:rPr>
          <w:rFonts w:hint="eastAsia" w:ascii="仿宋" w:hAnsi="仿宋" w:eastAsia="仿宋" w:cs="仿宋"/>
          <w:i w:val="0"/>
          <w:iCs w:val="0"/>
          <w:color w:val="auto"/>
          <w:sz w:val="24"/>
          <w:szCs w:val="20"/>
          <w:highlight w:val="none"/>
          <w:lang w:val="en-US" w:eastAsia="zh-CN"/>
        </w:rPr>
        <w:t>安装</w:t>
      </w:r>
      <w:r>
        <w:rPr>
          <w:rFonts w:hint="eastAsia" w:ascii="仿宋" w:hAnsi="仿宋" w:eastAsia="仿宋" w:cs="仿宋"/>
          <w:i w:val="0"/>
          <w:iCs w:val="0"/>
          <w:color w:val="auto"/>
          <w:sz w:val="24"/>
          <w:szCs w:val="20"/>
          <w:highlight w:val="none"/>
        </w:rPr>
        <w:t>现场应保持整洁，合理规划，设置作业区、材料堆放区，垃圾或废料应集中堆放、及时清除，做到“工完、料尽、场地清”。</w:t>
      </w:r>
    </w:p>
    <w:p w14:paraId="5BFDE54E">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4）</w:t>
      </w:r>
      <w:r>
        <w:rPr>
          <w:rFonts w:hint="eastAsia" w:ascii="仿宋" w:hAnsi="仿宋" w:eastAsia="仿宋" w:cs="仿宋"/>
          <w:i w:val="0"/>
          <w:iCs w:val="0"/>
          <w:color w:val="auto"/>
          <w:sz w:val="24"/>
          <w:szCs w:val="20"/>
          <w:highlight w:val="none"/>
          <w:lang w:eastAsia="zh-CN"/>
        </w:rPr>
        <w:t>安装单位</w:t>
      </w:r>
      <w:r>
        <w:rPr>
          <w:rFonts w:hint="eastAsia" w:ascii="仿宋" w:hAnsi="仿宋" w:eastAsia="仿宋" w:cs="仿宋"/>
          <w:i w:val="0"/>
          <w:iCs w:val="0"/>
          <w:color w:val="auto"/>
          <w:sz w:val="24"/>
          <w:szCs w:val="20"/>
          <w:highlight w:val="none"/>
        </w:rPr>
        <w:t>施工完成后应对</w:t>
      </w:r>
      <w:r>
        <w:rPr>
          <w:rFonts w:hint="eastAsia" w:ascii="仿宋" w:hAnsi="仿宋" w:eastAsia="仿宋" w:cs="仿宋"/>
          <w:i w:val="0"/>
          <w:iCs w:val="0"/>
          <w:color w:val="auto"/>
          <w:sz w:val="24"/>
          <w:szCs w:val="20"/>
          <w:highlight w:val="none"/>
          <w:lang w:eastAsia="zh-CN"/>
        </w:rPr>
        <w:t>安装过程</w:t>
      </w:r>
      <w:r>
        <w:rPr>
          <w:rFonts w:hint="eastAsia" w:ascii="仿宋" w:hAnsi="仿宋" w:eastAsia="仿宋" w:cs="仿宋"/>
          <w:i w:val="0"/>
          <w:iCs w:val="0"/>
          <w:color w:val="auto"/>
          <w:sz w:val="24"/>
          <w:szCs w:val="20"/>
          <w:highlight w:val="none"/>
        </w:rPr>
        <w:t>中对场地造成的无可避免的污染和损坏进行原样恢复，其中进行混凝土及砂浆搅拌时应垫三防布或采取其它措施进行防护避免对施工场地原有地面造成污染。</w:t>
      </w:r>
    </w:p>
    <w:p w14:paraId="6B8773BB">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5）</w:t>
      </w:r>
      <w:r>
        <w:rPr>
          <w:rFonts w:hint="eastAsia" w:ascii="仿宋" w:hAnsi="仿宋" w:eastAsia="仿宋" w:cs="仿宋"/>
          <w:i w:val="0"/>
          <w:iCs w:val="0"/>
          <w:color w:val="auto"/>
          <w:sz w:val="24"/>
          <w:szCs w:val="20"/>
          <w:highlight w:val="none"/>
          <w:lang w:eastAsia="zh-CN"/>
        </w:rPr>
        <w:t>安装单位</w:t>
      </w:r>
      <w:r>
        <w:rPr>
          <w:rFonts w:hint="eastAsia" w:ascii="仿宋" w:hAnsi="仿宋" w:eastAsia="仿宋" w:cs="仿宋"/>
          <w:i w:val="0"/>
          <w:iCs w:val="0"/>
          <w:color w:val="auto"/>
          <w:sz w:val="24"/>
          <w:szCs w:val="20"/>
          <w:highlight w:val="none"/>
        </w:rPr>
        <w:t>进行低压电源接入操作的施工人员必须是有合格操作证的电工，同时应采取有效的防护措施和机具。</w:t>
      </w:r>
    </w:p>
    <w:p w14:paraId="0AF5A37A">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6）</w:t>
      </w:r>
      <w:r>
        <w:rPr>
          <w:rFonts w:hint="eastAsia" w:ascii="仿宋" w:hAnsi="仿宋" w:eastAsia="仿宋" w:cs="仿宋"/>
          <w:i w:val="0"/>
          <w:iCs w:val="0"/>
          <w:color w:val="auto"/>
          <w:sz w:val="24"/>
          <w:szCs w:val="20"/>
          <w:highlight w:val="none"/>
          <w:lang w:eastAsia="zh-CN"/>
        </w:rPr>
        <w:t>安装单位</w:t>
      </w:r>
      <w:r>
        <w:rPr>
          <w:rFonts w:hint="eastAsia" w:ascii="仿宋" w:hAnsi="仿宋" w:eastAsia="仿宋" w:cs="仿宋"/>
          <w:i w:val="0"/>
          <w:iCs w:val="0"/>
          <w:color w:val="auto"/>
          <w:sz w:val="24"/>
          <w:szCs w:val="20"/>
          <w:highlight w:val="none"/>
        </w:rPr>
        <w:t>进行高空和危险作业时，施工人员须采取有效的防护措施，并佩戴相应的个人安全防护用品。</w:t>
      </w:r>
    </w:p>
    <w:p w14:paraId="733FB492">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（8）冬期</w:t>
      </w:r>
      <w:r>
        <w:rPr>
          <w:rFonts w:hint="eastAsia" w:ascii="仿宋" w:hAnsi="仿宋" w:eastAsia="仿宋" w:cs="仿宋"/>
          <w:i w:val="0"/>
          <w:iCs w:val="0"/>
          <w:color w:val="auto"/>
          <w:sz w:val="24"/>
          <w:szCs w:val="20"/>
          <w:highlight w:val="none"/>
          <w:lang w:val="en-US" w:eastAsia="zh-CN"/>
        </w:rPr>
        <w:t>安装</w:t>
      </w:r>
      <w:r>
        <w:rPr>
          <w:rFonts w:hint="eastAsia" w:ascii="仿宋" w:hAnsi="仿宋" w:eastAsia="仿宋" w:cs="仿宋"/>
          <w:i w:val="0"/>
          <w:iCs w:val="0"/>
          <w:color w:val="auto"/>
          <w:sz w:val="24"/>
          <w:szCs w:val="20"/>
          <w:highlight w:val="none"/>
        </w:rPr>
        <w:t>措施要求</w:t>
      </w:r>
    </w:p>
    <w:p w14:paraId="59A932D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1）现场准备、检查、防护</w:t>
      </w:r>
    </w:p>
    <w:p w14:paraId="2192CB74">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进入现场的设备、材料必须避免放在低洼处，要将设备垫高，设备露天存放时应加雨布盖好，以防雨淋日晒，料场周围应有畅通的排水沟以防积水。</w:t>
      </w:r>
    </w:p>
    <w:p w14:paraId="6B8D49A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冬期施工对供电线路加强检查，防止出现用电事故。</w:t>
      </w:r>
    </w:p>
    <w:p w14:paraId="04BD59E7">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室外工程均应避免在雨天安排作业，尽量避免在不利条件下施工，如确有特殊需要，要做好防护措施。</w:t>
      </w:r>
    </w:p>
    <w:p w14:paraId="64475B6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冬期施工的混凝土浇筑和砌体施工应采取保温覆盖做好保温防冻措施。</w:t>
      </w:r>
    </w:p>
    <w:p w14:paraId="5719B43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2)砌筑及混凝土施工</w:t>
      </w:r>
    </w:p>
    <w:p w14:paraId="12B96920">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宜选用硅酸盐水泥或普通硅酸盐水泥，水泥出厂日期不超过三个月。</w:t>
      </w:r>
    </w:p>
    <w:p w14:paraId="7E3CCD53">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砖、砌块在砌筑前，应清除表面污物、冰雪等，不得使用遭受水浸和受冻后表面结冰、污染的砖或砌块。</w:t>
      </w:r>
    </w:p>
    <w:p w14:paraId="7D899567">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现场拌制砂浆及混凝土所用砂中不得含有直径大于10mm的冻结块或冰块，拌制混凝土所用的粗、细骨料必须清洁，不得含有冰、雪等冻结物及易冻裂的物质。</w:t>
      </w:r>
    </w:p>
    <w:p w14:paraId="7D5A8FC4">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3)钢筋混凝土工程</w:t>
      </w:r>
    </w:p>
    <w:p w14:paraId="39D7939D">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加强与气象部门联系，争取在寒潮来临之前作好混凝土浇捣工作。</w:t>
      </w:r>
    </w:p>
    <w:p w14:paraId="224663FF">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施工中所使用的混凝土骨料必须清洁，不得含有冰雪等冻结物及易开裂物质。</w:t>
      </w:r>
    </w:p>
    <w:p w14:paraId="259A1AA2">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合理地使用外加剂，外加剂的使用应符合国家标准及产品说明书的规定。</w:t>
      </w:r>
    </w:p>
    <w:p w14:paraId="29A56B30">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钢筋砼结构浇筑成型后，立即进行覆盖养护。</w:t>
      </w:r>
    </w:p>
    <w:p w14:paraId="0ED0302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(9)车挡、场站VI施工要求</w:t>
      </w:r>
    </w:p>
    <w:p w14:paraId="5A75FE11">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1)为保证充设备和人员的安全，本项目在每个充电车位上设置坚固抗碾压的钢制车挡器，防止车辆倒车时冲撞充电终端。</w:t>
      </w:r>
    </w:p>
    <w:p w14:paraId="4D1ADB97">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2)要求场站VI有统一设计风格，能直观体现服务区功能与使用说明。</w:t>
      </w:r>
    </w:p>
    <w:p w14:paraId="3ED0DC76">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(10)其他要求</w:t>
      </w:r>
    </w:p>
    <w:p w14:paraId="5C8D6AC6">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根据场地实际情况选择场地硬化要求，原则停车位采用水泥硬化（加喷字），对已有的停车场，设备施工完成后按原状恢复。</w:t>
      </w:r>
    </w:p>
    <w:p w14:paraId="4A150412">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参考标准NB/T33004-2020电动汽车充换电设施工程施工和竣工验收规范。</w:t>
      </w:r>
      <w:r>
        <w:rPr>
          <w:rFonts w:hint="eastAsia" w:ascii="仿宋" w:hAnsi="仿宋" w:eastAsia="仿宋" w:cs="仿宋"/>
          <w:i w:val="0"/>
          <w:iCs w:val="0"/>
          <w:color w:val="auto"/>
          <w:sz w:val="24"/>
          <w:szCs w:val="20"/>
          <w:highlight w:val="none"/>
        </w:rPr>
        <w:br w:type="textWrapping"/>
      </w:r>
    </w:p>
    <w:p w14:paraId="6D969410">
      <w:pPr>
        <w:pStyle w:val="2"/>
        <w:keepNext/>
        <w:keepLines/>
        <w:pageBreakBefore w:val="0"/>
        <w:widowControl w:val="0"/>
        <w:suppressLineNumbers w:val="0"/>
        <w:suppressAutoHyphens w:val="0"/>
        <w:kinsoku/>
        <w:wordWrap/>
        <w:overflowPunct/>
        <w:topLinePunct w:val="0"/>
        <w:bidi w:val="0"/>
        <w:spacing w:line="400" w:lineRule="exact"/>
        <w:ind w:left="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四</w:t>
      </w:r>
      <w:r>
        <w:rPr>
          <w:rFonts w:hint="eastAsia" w:ascii="仿宋" w:hAnsi="仿宋" w:eastAsia="仿宋" w:cs="仿宋"/>
          <w:color w:val="auto"/>
          <w:highlight w:val="none"/>
        </w:rPr>
        <w:t>、商务要求</w:t>
      </w:r>
    </w:p>
    <w:p w14:paraId="18A17D66">
      <w:pPr>
        <w:keepNext w:val="0"/>
        <w:keepLines w:val="0"/>
        <w:pageBreakBefore w:val="0"/>
        <w:widowControl/>
        <w:kinsoku/>
        <w:wordWrap/>
        <w:overflowPunct/>
        <w:topLinePunct w:val="0"/>
        <w:bidi w:val="0"/>
        <w:snapToGrid w:val="0"/>
        <w:spacing w:line="400" w:lineRule="exact"/>
        <w:ind w:firstLine="0"/>
        <w:textAlignment w:val="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rPr>
        <w:t>★</w:t>
      </w:r>
      <w:r>
        <w:rPr>
          <w:rFonts w:hint="eastAsia" w:ascii="仿宋" w:hAnsi="仿宋" w:eastAsia="仿宋" w:cs="仿宋"/>
          <w:b/>
          <w:bCs/>
          <w:color w:val="auto"/>
          <w:kern w:val="0"/>
          <w:sz w:val="24"/>
          <w:highlight w:val="none"/>
          <w:lang w:val="en-US" w:eastAsia="zh-CN"/>
        </w:rPr>
        <w:t>1.实施要求</w:t>
      </w:r>
    </w:p>
    <w:p w14:paraId="127BA76B">
      <w:pPr>
        <w:pageBreakBefore w:val="0"/>
        <w:kinsoku/>
        <w:wordWrap/>
        <w:overflowPunct/>
        <w:topLinePunct w:val="0"/>
        <w:bidi w:val="0"/>
        <w:spacing w:line="400" w:lineRule="exact"/>
        <w:ind w:firstLine="480" w:firstLineChars="200"/>
        <w:rPr>
          <w:rFonts w:hint="eastAsia" w:ascii="仿宋" w:hAnsi="仿宋" w:eastAsia="仿宋" w:cs="仿宋"/>
          <w:i w:val="0"/>
          <w:iCs w:val="0"/>
          <w:color w:val="auto"/>
          <w:sz w:val="24"/>
          <w:szCs w:val="20"/>
          <w:highlight w:val="none"/>
        </w:rPr>
      </w:pPr>
      <w:r>
        <w:rPr>
          <w:rFonts w:hint="eastAsia" w:ascii="仿宋" w:hAnsi="仿宋" w:eastAsia="仿宋" w:cs="仿宋"/>
          <w:i w:val="0"/>
          <w:iCs w:val="0"/>
          <w:color w:val="auto"/>
          <w:sz w:val="24"/>
          <w:szCs w:val="20"/>
          <w:highlight w:val="none"/>
        </w:rPr>
        <w:t>中标人应及时按</w:t>
      </w:r>
      <w:r>
        <w:rPr>
          <w:rFonts w:hint="eastAsia" w:ascii="仿宋" w:hAnsi="仿宋" w:eastAsia="仿宋" w:cs="仿宋"/>
          <w:i w:val="0"/>
          <w:iCs w:val="0"/>
          <w:color w:val="auto"/>
          <w:sz w:val="24"/>
          <w:szCs w:val="20"/>
          <w:highlight w:val="none"/>
          <w:lang w:eastAsia="zh-CN"/>
        </w:rPr>
        <w:t>招标人</w:t>
      </w:r>
      <w:r>
        <w:rPr>
          <w:rFonts w:hint="eastAsia" w:ascii="仿宋" w:hAnsi="仿宋" w:eastAsia="仿宋" w:cs="仿宋"/>
          <w:i w:val="0"/>
          <w:iCs w:val="0"/>
          <w:color w:val="auto"/>
          <w:sz w:val="24"/>
          <w:szCs w:val="20"/>
          <w:highlight w:val="none"/>
        </w:rPr>
        <w:t>要求</w:t>
      </w:r>
      <w:r>
        <w:rPr>
          <w:rFonts w:hint="eastAsia" w:ascii="仿宋" w:hAnsi="仿宋" w:eastAsia="仿宋" w:cs="仿宋"/>
          <w:i w:val="0"/>
          <w:iCs w:val="0"/>
          <w:color w:val="auto"/>
          <w:sz w:val="24"/>
          <w:szCs w:val="20"/>
          <w:highlight w:val="none"/>
          <w:lang w:val="en-US" w:eastAsia="zh-CN"/>
        </w:rPr>
        <w:t>及投标时的响应承诺</w:t>
      </w:r>
      <w:r>
        <w:rPr>
          <w:rFonts w:hint="eastAsia" w:ascii="仿宋" w:hAnsi="仿宋" w:eastAsia="仿宋" w:cs="仿宋"/>
          <w:i w:val="0"/>
          <w:iCs w:val="0"/>
          <w:color w:val="auto"/>
          <w:sz w:val="24"/>
          <w:szCs w:val="20"/>
          <w:highlight w:val="none"/>
        </w:rPr>
        <w:t>进行供货</w:t>
      </w:r>
      <w:r>
        <w:rPr>
          <w:rFonts w:hint="eastAsia" w:ascii="仿宋" w:hAnsi="仿宋" w:eastAsia="仿宋" w:cs="仿宋"/>
          <w:i w:val="0"/>
          <w:iCs w:val="0"/>
          <w:color w:val="auto"/>
          <w:sz w:val="24"/>
          <w:szCs w:val="20"/>
          <w:highlight w:val="none"/>
          <w:lang w:val="en-US" w:eastAsia="zh-CN"/>
        </w:rPr>
        <w:t>及安装并达到通电要求</w:t>
      </w:r>
      <w:r>
        <w:rPr>
          <w:rFonts w:hint="eastAsia" w:ascii="仿宋" w:hAnsi="仿宋" w:eastAsia="仿宋" w:cs="仿宋"/>
          <w:i w:val="0"/>
          <w:iCs w:val="0"/>
          <w:color w:val="auto"/>
          <w:sz w:val="24"/>
          <w:szCs w:val="20"/>
          <w:highlight w:val="none"/>
        </w:rPr>
        <w:t>，具体供货时间、设备种类及数量由</w:t>
      </w:r>
      <w:r>
        <w:rPr>
          <w:rFonts w:hint="eastAsia" w:ascii="仿宋" w:hAnsi="仿宋" w:eastAsia="仿宋" w:cs="仿宋"/>
          <w:i w:val="0"/>
          <w:iCs w:val="0"/>
          <w:color w:val="auto"/>
          <w:sz w:val="24"/>
          <w:szCs w:val="20"/>
          <w:highlight w:val="none"/>
          <w:lang w:eastAsia="zh-CN"/>
        </w:rPr>
        <w:t>招标人</w:t>
      </w:r>
      <w:r>
        <w:rPr>
          <w:rFonts w:hint="eastAsia" w:ascii="仿宋" w:hAnsi="仿宋" w:eastAsia="仿宋" w:cs="仿宋"/>
          <w:i w:val="0"/>
          <w:iCs w:val="0"/>
          <w:color w:val="auto"/>
          <w:sz w:val="24"/>
          <w:szCs w:val="20"/>
          <w:highlight w:val="none"/>
        </w:rPr>
        <w:t>在3天前以</w:t>
      </w:r>
      <w:r>
        <w:rPr>
          <w:rFonts w:hint="eastAsia" w:ascii="仿宋" w:hAnsi="仿宋" w:eastAsia="仿宋" w:cs="仿宋"/>
          <w:i w:val="0"/>
          <w:iCs w:val="0"/>
          <w:color w:val="auto"/>
          <w:sz w:val="24"/>
          <w:szCs w:val="20"/>
          <w:highlight w:val="none"/>
          <w:lang w:val="en-US" w:eastAsia="zh-CN"/>
        </w:rPr>
        <w:t>指令单</w:t>
      </w:r>
      <w:r>
        <w:rPr>
          <w:rFonts w:hint="eastAsia" w:ascii="仿宋" w:hAnsi="仿宋" w:eastAsia="仿宋" w:cs="仿宋"/>
          <w:i w:val="0"/>
          <w:iCs w:val="0"/>
          <w:color w:val="auto"/>
          <w:sz w:val="24"/>
          <w:szCs w:val="20"/>
          <w:highlight w:val="none"/>
        </w:rPr>
        <w:t>形式通知中标人，中标人接到</w:t>
      </w:r>
      <w:r>
        <w:rPr>
          <w:rFonts w:hint="eastAsia" w:ascii="仿宋" w:hAnsi="仿宋" w:eastAsia="仿宋" w:cs="仿宋"/>
          <w:i w:val="0"/>
          <w:iCs w:val="0"/>
          <w:color w:val="auto"/>
          <w:sz w:val="24"/>
          <w:szCs w:val="20"/>
          <w:highlight w:val="none"/>
          <w:lang w:eastAsia="zh-CN"/>
        </w:rPr>
        <w:t>招标人</w:t>
      </w:r>
      <w:r>
        <w:rPr>
          <w:rFonts w:hint="eastAsia" w:ascii="仿宋" w:hAnsi="仿宋" w:eastAsia="仿宋" w:cs="仿宋"/>
          <w:i w:val="0"/>
          <w:iCs w:val="0"/>
          <w:color w:val="auto"/>
          <w:sz w:val="24"/>
          <w:szCs w:val="20"/>
          <w:highlight w:val="none"/>
        </w:rPr>
        <w:t>通知后90日内完成供货</w:t>
      </w:r>
      <w:r>
        <w:rPr>
          <w:rFonts w:hint="eastAsia" w:ascii="仿宋" w:hAnsi="仿宋" w:eastAsia="仿宋" w:cs="仿宋"/>
          <w:i w:val="0"/>
          <w:iCs w:val="0"/>
          <w:color w:val="auto"/>
          <w:sz w:val="24"/>
          <w:szCs w:val="20"/>
          <w:highlight w:val="none"/>
          <w:lang w:val="en-US" w:eastAsia="zh-CN"/>
        </w:rPr>
        <w:t>调试验收</w:t>
      </w:r>
      <w:r>
        <w:rPr>
          <w:rFonts w:hint="eastAsia" w:ascii="仿宋" w:hAnsi="仿宋" w:eastAsia="仿宋" w:cs="仿宋"/>
          <w:i w:val="0"/>
          <w:iCs w:val="0"/>
          <w:color w:val="auto"/>
          <w:sz w:val="24"/>
          <w:szCs w:val="20"/>
          <w:highlight w:val="none"/>
        </w:rPr>
        <w:t>并交付使用。</w:t>
      </w:r>
    </w:p>
    <w:p w14:paraId="3015D0C6">
      <w:pPr>
        <w:pageBreakBefore w:val="0"/>
        <w:kinsoku/>
        <w:wordWrap/>
        <w:overflowPunct/>
        <w:topLinePunct w:val="0"/>
        <w:autoSpaceDE/>
        <w:autoSpaceDN/>
        <w:bidi w:val="0"/>
        <w:spacing w:beforeAutospacing="0" w:afterAutospacing="0" w:line="400" w:lineRule="exact"/>
        <w:ind w:left="0" w:right="0" w:firstLine="480"/>
        <w:rPr>
          <w:rFonts w:hint="eastAsia" w:ascii="仿宋" w:hAnsi="仿宋" w:eastAsia="仿宋" w:cs="仿宋"/>
          <w:b w:val="0"/>
          <w:bCs w:val="0"/>
          <w:i w:val="0"/>
          <w:iCs w:val="0"/>
          <w:color w:val="auto"/>
          <w:sz w:val="24"/>
          <w:szCs w:val="24"/>
          <w:highlight w:val="none"/>
          <w:lang w:val="en-US" w:eastAsia="zh-CN"/>
        </w:rPr>
      </w:pPr>
      <w:r>
        <w:rPr>
          <w:rFonts w:hint="eastAsia" w:ascii="仿宋" w:hAnsi="仿宋" w:eastAsia="仿宋" w:cs="仿宋"/>
          <w:i w:val="0"/>
          <w:iCs w:val="0"/>
          <w:color w:val="auto"/>
          <w:sz w:val="24"/>
          <w:szCs w:val="20"/>
          <w:highlight w:val="none"/>
        </w:rPr>
        <w:t>本</w:t>
      </w:r>
      <w:r>
        <w:rPr>
          <w:rFonts w:hint="eastAsia" w:ascii="仿宋" w:hAnsi="仿宋" w:eastAsia="仿宋" w:cs="仿宋"/>
          <w:i w:val="0"/>
          <w:iCs w:val="0"/>
          <w:color w:val="auto"/>
          <w:sz w:val="24"/>
          <w:szCs w:val="20"/>
          <w:highlight w:val="none"/>
          <w:lang w:val="en-US" w:eastAsia="zh-CN"/>
        </w:rPr>
        <w:t>项目</w:t>
      </w:r>
      <w:r>
        <w:rPr>
          <w:rFonts w:hint="eastAsia" w:ascii="仿宋" w:hAnsi="仿宋" w:eastAsia="仿宋" w:cs="仿宋"/>
          <w:i w:val="0"/>
          <w:iCs w:val="0"/>
          <w:color w:val="auto"/>
          <w:sz w:val="24"/>
          <w:szCs w:val="20"/>
          <w:highlight w:val="none"/>
        </w:rPr>
        <w:t>为年度委托</w:t>
      </w:r>
      <w:r>
        <w:rPr>
          <w:rFonts w:hint="eastAsia" w:ascii="仿宋" w:hAnsi="仿宋" w:eastAsia="仿宋" w:cs="仿宋"/>
          <w:i w:val="0"/>
          <w:iCs w:val="0"/>
          <w:color w:val="auto"/>
          <w:sz w:val="24"/>
          <w:szCs w:val="20"/>
          <w:highlight w:val="none"/>
          <w:lang w:val="en-US" w:eastAsia="zh-CN"/>
        </w:rPr>
        <w:t>项目</w:t>
      </w:r>
      <w:r>
        <w:rPr>
          <w:rFonts w:hint="eastAsia" w:ascii="仿宋" w:hAnsi="仿宋" w:eastAsia="仿宋" w:cs="仿宋"/>
          <w:i w:val="0"/>
          <w:iCs w:val="0"/>
          <w:color w:val="auto"/>
          <w:sz w:val="24"/>
          <w:szCs w:val="20"/>
          <w:highlight w:val="none"/>
        </w:rPr>
        <w:t>，包含一个年度中的多个项目</w:t>
      </w:r>
      <w:r>
        <w:rPr>
          <w:rFonts w:hint="eastAsia" w:ascii="仿宋" w:hAnsi="仿宋" w:eastAsia="仿宋" w:cs="仿宋"/>
          <w:i w:val="0"/>
          <w:iCs w:val="0"/>
          <w:color w:val="auto"/>
          <w:sz w:val="24"/>
          <w:szCs w:val="20"/>
          <w:highlight w:val="none"/>
          <w:lang w:eastAsia="zh-CN"/>
        </w:rPr>
        <w:t>。</w:t>
      </w:r>
      <w:r>
        <w:rPr>
          <w:rFonts w:hint="eastAsia" w:ascii="仿宋" w:hAnsi="仿宋" w:eastAsia="仿宋" w:cs="仿宋"/>
          <w:i w:val="0"/>
          <w:iCs w:val="0"/>
          <w:color w:val="auto"/>
          <w:sz w:val="24"/>
          <w:szCs w:val="20"/>
          <w:highlight w:val="none"/>
          <w:lang w:val="en-US" w:eastAsia="zh-CN"/>
        </w:rPr>
        <w:t>当甲方下达实施指令单后的3</w:t>
      </w:r>
      <w:r>
        <w:rPr>
          <w:rFonts w:hint="eastAsia" w:ascii="仿宋" w:hAnsi="仿宋" w:eastAsia="仿宋" w:cs="仿宋"/>
          <w:color w:val="auto"/>
          <w:highlight w:val="none"/>
          <w:lang w:val="en-US" w:eastAsia="zh-CN"/>
        </w:rPr>
        <w:t>个工作日</w:t>
      </w:r>
      <w:r>
        <w:rPr>
          <w:rFonts w:hint="eastAsia" w:ascii="仿宋" w:hAnsi="仿宋" w:eastAsia="仿宋" w:cs="仿宋"/>
          <w:i w:val="0"/>
          <w:iCs w:val="0"/>
          <w:color w:val="auto"/>
          <w:sz w:val="24"/>
          <w:szCs w:val="20"/>
          <w:highlight w:val="none"/>
          <w:lang w:val="en-US" w:eastAsia="zh-CN"/>
        </w:rPr>
        <w:t>内，乙方应当及时组建项目团队，每个项目团队成员不少于6人，分别为项目负责人1人、技术负责人1人、设备调试员1人、安全员1人、施工员2人。</w:t>
      </w:r>
      <w:r>
        <w:rPr>
          <w:rFonts w:hint="eastAsia" w:ascii="仿宋" w:hAnsi="仿宋" w:eastAsia="仿宋" w:cs="仿宋"/>
          <w:b w:val="0"/>
          <w:bCs w:val="0"/>
          <w:color w:val="auto"/>
          <w:sz w:val="24"/>
          <w:szCs w:val="24"/>
          <w:highlight w:val="none"/>
          <w:lang w:val="en-US" w:eastAsia="zh-CN"/>
        </w:rPr>
        <w:t>若同时实施多个项目，除项目负责人与技术负责人外，其他岗位同一人员不得兼任多个项目。乙方应根据甲方的要求，增加相应的人员配置。</w:t>
      </w:r>
    </w:p>
    <w:p w14:paraId="37558DFD">
      <w:pPr>
        <w:keepNext w:val="0"/>
        <w:keepLines w:val="0"/>
        <w:pageBreakBefore w:val="0"/>
        <w:widowControl/>
        <w:kinsoku/>
        <w:wordWrap/>
        <w:overflowPunct/>
        <w:topLinePunct w:val="0"/>
        <w:bidi w:val="0"/>
        <w:snapToGrid w:val="0"/>
        <w:spacing w:line="400" w:lineRule="exact"/>
        <w:ind w:firstLine="0"/>
        <w:textAlignment w:val="auto"/>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val="en-US" w:eastAsia="zh-CN"/>
        </w:rPr>
        <w:t>2.</w:t>
      </w:r>
      <w:r>
        <w:rPr>
          <w:rFonts w:hint="eastAsia" w:ascii="仿宋" w:hAnsi="仿宋" w:eastAsia="仿宋" w:cs="仿宋"/>
          <w:b/>
          <w:bCs/>
          <w:color w:val="auto"/>
          <w:kern w:val="0"/>
          <w:sz w:val="24"/>
          <w:highlight w:val="none"/>
        </w:rPr>
        <w:t>交货要求</w:t>
      </w:r>
    </w:p>
    <w:p w14:paraId="6C3034BB">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lang w:val="en-US" w:eastAsia="zh-CN"/>
        </w:rPr>
      </w:pPr>
      <w:r>
        <w:rPr>
          <w:rFonts w:hint="eastAsia" w:ascii="仿宋" w:hAnsi="仿宋" w:eastAsia="仿宋" w:cs="仿宋"/>
          <w:snapToGrid w:val="0"/>
          <w:color w:val="auto"/>
          <w:sz w:val="24"/>
          <w:szCs w:val="24"/>
          <w:highlight w:val="none"/>
          <w:lang w:val="en-US" w:eastAsia="zh-CN"/>
        </w:rPr>
        <w:t>（1）建立设备招标预定机制，甲方将在单项目预算确定前，提前使用设备指令单通知乙方相关设备（充电桩、变压器等设备）需求信息，并合理要求到货日期，全周期不长于30天。</w:t>
      </w:r>
      <w:r>
        <w:rPr>
          <w:rFonts w:hint="eastAsia" w:ascii="仿宋" w:hAnsi="仿宋" w:eastAsia="仿宋" w:cs="仿宋"/>
          <w:snapToGrid w:val="0"/>
          <w:color w:val="auto"/>
          <w:sz w:val="24"/>
          <w:szCs w:val="24"/>
          <w:highlight w:val="none"/>
        </w:rPr>
        <w:t>若甲方下达</w:t>
      </w:r>
      <w:r>
        <w:rPr>
          <w:rFonts w:hint="eastAsia" w:ascii="仿宋" w:hAnsi="仿宋" w:eastAsia="仿宋" w:cs="仿宋"/>
          <w:snapToGrid w:val="0"/>
          <w:color w:val="auto"/>
          <w:sz w:val="24"/>
          <w:szCs w:val="24"/>
          <w:highlight w:val="none"/>
          <w:lang w:val="en-US" w:eastAsia="zh-CN"/>
        </w:rPr>
        <w:t>的</w:t>
      </w:r>
      <w:r>
        <w:rPr>
          <w:rFonts w:hint="eastAsia" w:ascii="仿宋" w:hAnsi="仿宋" w:eastAsia="仿宋" w:cs="仿宋"/>
          <w:snapToGrid w:val="0"/>
          <w:color w:val="auto"/>
          <w:sz w:val="24"/>
          <w:szCs w:val="24"/>
          <w:highlight w:val="none"/>
        </w:rPr>
        <w:t>设备指令单中技术参数明确</w:t>
      </w:r>
      <w:r>
        <w:rPr>
          <w:rFonts w:hint="eastAsia" w:ascii="仿宋" w:hAnsi="仿宋" w:eastAsia="仿宋" w:cs="仿宋"/>
          <w:snapToGrid w:val="0"/>
          <w:color w:val="auto"/>
          <w:sz w:val="24"/>
          <w:szCs w:val="24"/>
          <w:highlight w:val="none"/>
          <w:lang w:val="en-US" w:eastAsia="zh-CN"/>
        </w:rPr>
        <w:t>的</w:t>
      </w:r>
      <w:r>
        <w:rPr>
          <w:rFonts w:hint="eastAsia" w:ascii="仿宋" w:hAnsi="仿宋" w:eastAsia="仿宋" w:cs="仿宋"/>
          <w:snapToGrid w:val="0"/>
          <w:color w:val="auto"/>
          <w:sz w:val="24"/>
          <w:szCs w:val="24"/>
          <w:highlight w:val="none"/>
        </w:rPr>
        <w:t>，乙方无正当理由（如不可抗力、供应链普遍短缺等）未能按设备指令单要求的到货日期交付的，则构成供货延迟。每延迟一日，乙方应向甲方支付该批次延迟交付设备总价千分之一的违约金。</w:t>
      </w:r>
      <w:r>
        <w:rPr>
          <w:rFonts w:hint="eastAsia" w:ascii="仿宋" w:hAnsi="仿宋" w:eastAsia="仿宋" w:cs="仿宋"/>
          <w:snapToGrid w:val="0"/>
          <w:color w:val="auto"/>
          <w:sz w:val="24"/>
          <w:szCs w:val="24"/>
          <w:highlight w:val="none"/>
          <w:lang w:val="en-US" w:eastAsia="zh-CN"/>
        </w:rPr>
        <w:t>若超过三次无法按期到货，甲方有权终止合同。</w:t>
      </w:r>
    </w:p>
    <w:p w14:paraId="77EFB7A6">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（2）</w:t>
      </w:r>
      <w:r>
        <w:rPr>
          <w:rFonts w:hint="eastAsia" w:ascii="仿宋" w:hAnsi="仿宋" w:eastAsia="仿宋" w:cs="仿宋"/>
          <w:snapToGrid w:val="0"/>
          <w:color w:val="auto"/>
          <w:sz w:val="24"/>
          <w:szCs w:val="24"/>
          <w:highlight w:val="none"/>
        </w:rPr>
        <w:t>乙方负责对合同设备进行安装、调试，安装调试时，发现产品质量问题、性能指标或功能不符合</w:t>
      </w:r>
      <w:r>
        <w:rPr>
          <w:rFonts w:hint="eastAsia" w:ascii="仿宋" w:hAnsi="仿宋" w:eastAsia="仿宋" w:cs="仿宋"/>
          <w:snapToGrid w:val="0"/>
          <w:color w:val="auto"/>
          <w:sz w:val="24"/>
          <w:szCs w:val="24"/>
          <w:highlight w:val="none"/>
          <w:lang w:val="en-US" w:eastAsia="zh-CN"/>
        </w:rPr>
        <w:t>相关</w:t>
      </w:r>
      <w:r>
        <w:rPr>
          <w:rFonts w:hint="eastAsia" w:ascii="仿宋" w:hAnsi="仿宋" w:eastAsia="仿宋" w:cs="仿宋"/>
          <w:color w:val="auto"/>
          <w:sz w:val="24"/>
          <w:szCs w:val="24"/>
          <w:highlight w:val="none"/>
        </w:rPr>
        <w:t>要求时，乙方</w:t>
      </w:r>
      <w:r>
        <w:rPr>
          <w:rFonts w:hint="eastAsia" w:ascii="仿宋" w:hAnsi="仿宋" w:eastAsia="仿宋" w:cs="仿宋"/>
          <w:snapToGrid w:val="0"/>
          <w:color w:val="auto"/>
          <w:sz w:val="24"/>
          <w:szCs w:val="24"/>
          <w:highlight w:val="none"/>
        </w:rPr>
        <w:t>须负责处理至甲方满意为止。</w:t>
      </w:r>
    </w:p>
    <w:p w14:paraId="1E6FBABA">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2"/>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（3）</w:t>
      </w:r>
      <w:r>
        <w:rPr>
          <w:rFonts w:hint="eastAsia" w:ascii="仿宋" w:hAnsi="仿宋" w:eastAsia="仿宋" w:cs="仿宋"/>
          <w:snapToGrid w:val="0"/>
          <w:color w:val="auto"/>
          <w:spacing w:val="0"/>
          <w:sz w:val="24"/>
          <w:szCs w:val="24"/>
          <w:highlight w:val="none"/>
          <w:lang w:eastAsia="zh-CN"/>
        </w:rPr>
        <w:t>现场交货。乙方将设备运抵工地现场并初验合格的日期为交货日期。甲方可以要求乙方根据工程进度要求分批交货但不再额外增加其他费用。</w:t>
      </w:r>
    </w:p>
    <w:p w14:paraId="44CB0BEB">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2"/>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（4）</w:t>
      </w:r>
      <w:r>
        <w:rPr>
          <w:rFonts w:hint="eastAsia" w:ascii="仿宋" w:hAnsi="仿宋" w:eastAsia="仿宋" w:cs="仿宋"/>
          <w:snapToGrid w:val="0"/>
          <w:color w:val="auto"/>
          <w:sz w:val="24"/>
          <w:szCs w:val="24"/>
          <w:highlight w:val="none"/>
        </w:rPr>
        <w:t>交货地点：甲方指定地点。</w:t>
      </w:r>
    </w:p>
    <w:p w14:paraId="5496B827">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（5）</w:t>
      </w:r>
      <w:r>
        <w:rPr>
          <w:rFonts w:hint="eastAsia" w:ascii="仿宋" w:hAnsi="仿宋" w:eastAsia="仿宋" w:cs="仿宋"/>
          <w:snapToGrid w:val="0"/>
          <w:color w:val="auto"/>
          <w:sz w:val="24"/>
          <w:szCs w:val="24"/>
          <w:highlight w:val="none"/>
        </w:rPr>
        <w:t>乙方应对设备的整个交货过程负责，包括运输、装卸、调试的安全。</w:t>
      </w:r>
    </w:p>
    <w:p w14:paraId="59BE6953">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乙方应提供详细供货清单，清单中依次说明型号、数量、产地、生产厂家等内容。甲方（可委派监理单位）根据清单现场核对确认，如果发现数量不足或有质量、技术等问题，乙方应负责根据项目要求补足或更换，并承担由此发生的一切损失和费用。验收合格后，甲方（可委派监理单位）在验收单上签字。未经甲方（可委派监理单位）现场核对确认就擅自投入使用的货物，甲方有权不予认可、不支付费用。</w:t>
      </w:r>
    </w:p>
    <w:p w14:paraId="48A0C653">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甲方有权将乙方供货产品送第三方检验机构检验，如检验不合格，甲方有权解除合同，并取消中标资格，同时要求乙方退回预付款并退货，并追究乙方的违约责任。</w:t>
      </w:r>
    </w:p>
    <w:p w14:paraId="432131E4">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货</w:t>
      </w:r>
      <w:r>
        <w:rPr>
          <w:rFonts w:hint="eastAsia" w:ascii="仿宋" w:hAnsi="仿宋" w:eastAsia="仿宋" w:cs="仿宋"/>
          <w:color w:val="auto"/>
          <w:kern w:val="0"/>
          <w:sz w:val="24"/>
          <w:szCs w:val="24"/>
          <w:highlight w:val="none"/>
        </w:rPr>
        <w:t>物交货顺序要满足项目安装进度的要求，备品备件、专用工具的交货进度，如无特别约定，应视为与主货物的交货进度一致。如</w:t>
      </w:r>
      <w:r>
        <w:rPr>
          <w:rFonts w:hint="eastAsia" w:ascii="仿宋" w:hAnsi="仿宋" w:eastAsia="仿宋" w:cs="仿宋"/>
          <w:snapToGrid w:val="0"/>
          <w:color w:val="auto"/>
          <w:sz w:val="24"/>
          <w:szCs w:val="24"/>
          <w:highlight w:val="none"/>
        </w:rPr>
        <w:t>乙方未能及时交付货物（服务）或其他非甲方原因引起验收延迟的，甲方有权视实际情况要求乙方支付误期赔偿费。</w:t>
      </w:r>
    </w:p>
    <w:p w14:paraId="1E8FE47F">
      <w:pPr>
        <w:keepNext w:val="0"/>
        <w:keepLines w:val="0"/>
        <w:pageBreakBefore w:val="0"/>
        <w:widowControl/>
        <w:kinsoku/>
        <w:wordWrap/>
        <w:overflowPunct/>
        <w:topLinePunct w:val="0"/>
        <w:bidi w:val="0"/>
        <w:snapToGrid w:val="0"/>
        <w:spacing w:line="400" w:lineRule="exact"/>
        <w:ind w:firstLine="0"/>
        <w:textAlignment w:val="auto"/>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kern w:val="0"/>
          <w:sz w:val="24"/>
          <w:highlight w:val="none"/>
          <w:lang w:val="en-US" w:eastAsia="zh-CN"/>
        </w:rPr>
        <w:t>3.合同方式及预算价格确定</w:t>
      </w:r>
    </w:p>
    <w:p w14:paraId="36F943CA">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本项目</w:t>
      </w:r>
      <w:r>
        <w:rPr>
          <w:rFonts w:hint="eastAsia" w:ascii="仿宋" w:hAnsi="仿宋" w:eastAsia="仿宋" w:cs="仿宋"/>
          <w:color w:val="auto"/>
          <w:sz w:val="24"/>
          <w:szCs w:val="24"/>
          <w:highlight w:val="none"/>
          <w:lang w:eastAsia="zh-CN"/>
        </w:rPr>
        <w:t>合同方式</w:t>
      </w:r>
      <w:r>
        <w:rPr>
          <w:rFonts w:hint="eastAsia" w:ascii="仿宋" w:hAnsi="仿宋" w:eastAsia="仿宋" w:cs="仿宋"/>
          <w:color w:val="auto"/>
          <w:sz w:val="24"/>
          <w:szCs w:val="24"/>
          <w:highlight w:val="none"/>
        </w:rPr>
        <w:t>为固定单价</w:t>
      </w:r>
      <w:r>
        <w:rPr>
          <w:rFonts w:hint="eastAsia" w:ascii="仿宋" w:hAnsi="仿宋" w:eastAsia="仿宋" w:cs="仿宋"/>
          <w:color w:val="auto"/>
          <w:sz w:val="24"/>
          <w:szCs w:val="24"/>
          <w:highlight w:val="none"/>
          <w:lang w:val="en-US" w:eastAsia="zh-CN"/>
        </w:rPr>
        <w:t>及下浮率</w:t>
      </w:r>
      <w:r>
        <w:rPr>
          <w:rFonts w:hint="eastAsia" w:ascii="仿宋" w:hAnsi="仿宋" w:eastAsia="仿宋" w:cs="仿宋"/>
          <w:color w:val="auto"/>
          <w:sz w:val="24"/>
          <w:szCs w:val="24"/>
          <w:highlight w:val="none"/>
        </w:rPr>
        <w:t>。</w:t>
      </w:r>
      <w:r>
        <w:rPr>
          <w:rFonts w:hint="eastAsia" w:ascii="仿宋" w:hAnsi="仿宋" w:eastAsia="仿宋" w:cs="仿宋"/>
          <w:b/>
          <w:bCs/>
          <w:color w:val="auto"/>
          <w:szCs w:val="24"/>
          <w:highlight w:val="none"/>
          <w:lang w:val="en-US"/>
        </w:rPr>
        <w:t>本合同为年度委托合同，包含一个年度中的多个项目</w:t>
      </w:r>
      <w:r>
        <w:rPr>
          <w:rFonts w:hint="eastAsia" w:ascii="仿宋" w:hAnsi="仿宋" w:eastAsia="仿宋" w:cs="仿宋"/>
          <w:b/>
          <w:bCs/>
          <w:color w:val="auto"/>
          <w:sz w:val="24"/>
          <w:szCs w:val="24"/>
          <w:highlight w:val="none"/>
          <w:lang w:val="en-US" w:eastAsia="zh-CN"/>
        </w:rPr>
        <w:t>，每个项目实施前，在甲方提供的单个项目实施指令单预算价基础上进行下浮，具体如下。</w:t>
      </w:r>
    </w:p>
    <w:p w14:paraId="04E59F05">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snapToGrid w:val="0"/>
          <w:color w:val="auto"/>
          <w:sz w:val="24"/>
          <w:szCs w:val="24"/>
          <w:highlight w:val="none"/>
          <w:lang w:val="en-US" w:eastAsia="zh-CN" w:bidi="ar-SA"/>
        </w:rPr>
        <w:t>单个项目实施指令单预算价</w:t>
      </w:r>
      <w:r>
        <w:rPr>
          <w:rFonts w:hint="eastAsia" w:ascii="仿宋" w:hAnsi="仿宋" w:eastAsia="仿宋" w:cs="仿宋"/>
          <w:b/>
          <w:bCs/>
          <w:color w:val="auto"/>
          <w:sz w:val="24"/>
          <w:szCs w:val="24"/>
          <w:highlight w:val="none"/>
          <w:lang w:val="en-US" w:eastAsia="zh-CN"/>
        </w:rPr>
        <w:t>=投标人设备中标单价×设备数量+安装部分的甲方预算价（含税）×（1-安装部分下浮率）</w:t>
      </w:r>
    </w:p>
    <w:p w14:paraId="189CB274">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highlight w:val="none"/>
          <w:lang w:eastAsia="zh-CN"/>
        </w:rPr>
      </w:pPr>
      <w:r>
        <w:rPr>
          <w:rFonts w:hint="eastAsia" w:ascii="仿宋" w:hAnsi="仿宋" w:eastAsia="仿宋" w:cs="仿宋"/>
          <w:b/>
          <w:bCs/>
          <w:color w:val="auto"/>
          <w:sz w:val="24"/>
          <w:szCs w:val="24"/>
          <w:highlight w:val="none"/>
          <w:lang w:val="en-US" w:eastAsia="zh-CN"/>
        </w:rPr>
        <w:t>备注：除所列清单设备外，所有无价材料的预算价均计入安装部分的甲方预算价（含税）。</w:t>
      </w:r>
    </w:p>
    <w:p w14:paraId="66822FCF">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核心设备部分按照投标人设备中标单价进行计算。</w:t>
      </w:r>
    </w:p>
    <w:p w14:paraId="14E61D52">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安装部分的甲方预算价按照具体的施工图纸中明确内容及现行预算定额和工程量清单计价规则进行计算。信息价采用预算编制月份的《绍兴市造价信息（正刊）》，《绍兴市造价信息（正刊）》中没有的材料套用《浙江造价信息》(正刊)。</w:t>
      </w:r>
    </w:p>
    <w:p w14:paraId="714356C9">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b/>
          <w:bCs/>
          <w:color w:val="auto"/>
          <w:kern w:val="0"/>
          <w:sz w:val="24"/>
          <w:highlight w:val="none"/>
          <w:lang w:val="en-US" w:eastAsia="zh-CN"/>
        </w:rPr>
      </w:pPr>
      <w:r>
        <w:rPr>
          <w:rFonts w:hint="eastAsia" w:ascii="仿宋" w:hAnsi="仿宋" w:eastAsia="仿宋" w:cs="仿宋"/>
          <w:b/>
          <w:bCs/>
          <w:color w:val="auto"/>
          <w:sz w:val="24"/>
          <w:szCs w:val="24"/>
          <w:highlight w:val="none"/>
          <w:lang w:val="en-US" w:eastAsia="zh-CN"/>
        </w:rPr>
        <w:t>其余除所列清单设备外所有的无价材料，预算编制阶段</w:t>
      </w:r>
      <w:r>
        <w:rPr>
          <w:rFonts w:hint="eastAsia" w:ascii="仿宋" w:hAnsi="仿宋" w:eastAsia="仿宋" w:cs="仿宋"/>
          <w:snapToGrid w:val="0"/>
          <w:color w:val="auto"/>
          <w:sz w:val="24"/>
          <w:szCs w:val="24"/>
          <w:highlight w:val="none"/>
          <w:lang w:val="en-US" w:eastAsia="zh-CN" w:bidi="ar-SA"/>
        </w:rPr>
        <w:t>应由甲方、第三方造价咨询单位及监理单位共同进行测定或市场询价，并结合投标报价确定综合单价。项目实施阶段无价材料价格需经甲方、乙方、第三方造价咨询单位及监理单位结合市场询价，按照相关程序签证结算。</w:t>
      </w:r>
    </w:p>
    <w:p w14:paraId="00D15CDB">
      <w:pPr>
        <w:pStyle w:val="970"/>
        <w:pageBreakBefore w:val="0"/>
        <w:kinsoku/>
        <w:wordWrap/>
        <w:overflowPunct/>
        <w:topLinePunct w:val="0"/>
        <w:bidi w:val="0"/>
        <w:adjustRightInd/>
        <w:snapToGrid w:val="0"/>
        <w:spacing w:line="400" w:lineRule="exact"/>
        <w:ind w:right="0" w:rightChars="0"/>
        <w:jc w:val="both"/>
        <w:outlineLvl w:val="3"/>
        <w:rPr>
          <w:rFonts w:hint="eastAsia" w:ascii="仿宋" w:hAnsi="仿宋" w:eastAsia="仿宋" w:cs="仿宋"/>
          <w:b/>
          <w:bCs/>
          <w:color w:val="auto"/>
          <w:kern w:val="0"/>
          <w:sz w:val="24"/>
          <w:highlight w:val="none"/>
        </w:rPr>
      </w:pPr>
      <w:r>
        <w:rPr>
          <w:rFonts w:hint="eastAsia" w:ascii="仿宋" w:hAnsi="仿宋" w:eastAsia="仿宋" w:cs="仿宋"/>
          <w:b/>
          <w:bCs/>
          <w:color w:val="auto"/>
          <w:kern w:val="0"/>
          <w:sz w:val="24"/>
          <w:highlight w:val="none"/>
          <w:lang w:val="en-US" w:eastAsia="zh-CN"/>
        </w:rPr>
        <w:t>4.</w:t>
      </w:r>
      <w:r>
        <w:rPr>
          <w:rFonts w:hint="eastAsia" w:ascii="仿宋" w:hAnsi="仿宋" w:eastAsia="仿宋" w:cs="仿宋"/>
          <w:b/>
          <w:bCs/>
          <w:color w:val="auto"/>
          <w:kern w:val="0"/>
          <w:sz w:val="24"/>
          <w:highlight w:val="none"/>
        </w:rPr>
        <w:t>安装</w:t>
      </w:r>
      <w:r>
        <w:rPr>
          <w:rFonts w:hint="eastAsia" w:ascii="仿宋" w:hAnsi="仿宋" w:eastAsia="仿宋" w:cs="仿宋"/>
          <w:b/>
          <w:bCs/>
          <w:color w:val="auto"/>
          <w:kern w:val="0"/>
          <w:sz w:val="24"/>
          <w:highlight w:val="none"/>
          <w:lang w:val="en-US" w:eastAsia="zh-CN"/>
        </w:rPr>
        <w:t>指导及</w:t>
      </w:r>
      <w:r>
        <w:rPr>
          <w:rFonts w:hint="eastAsia" w:ascii="仿宋" w:hAnsi="仿宋" w:eastAsia="仿宋" w:cs="仿宋"/>
          <w:b/>
          <w:bCs/>
          <w:color w:val="auto"/>
          <w:kern w:val="0"/>
          <w:sz w:val="24"/>
          <w:highlight w:val="none"/>
        </w:rPr>
        <w:t>调试</w:t>
      </w:r>
    </w:p>
    <w:p w14:paraId="63626BF8">
      <w:pPr>
        <w:keepNext w:val="0"/>
        <w:keepLines w:val="0"/>
        <w:pageBreakBefore w:val="0"/>
        <w:widowControl/>
        <w:kinsoku/>
        <w:wordWrap/>
        <w:overflowPunct/>
        <w:topLinePunct w:val="0"/>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中标人负责设备的安装</w:t>
      </w:r>
      <w:r>
        <w:rPr>
          <w:rFonts w:hint="eastAsia" w:ascii="仿宋" w:hAnsi="仿宋" w:eastAsia="仿宋" w:cs="仿宋"/>
          <w:color w:val="auto"/>
          <w:sz w:val="24"/>
          <w:highlight w:val="none"/>
          <w:lang w:val="en-US" w:eastAsia="zh-CN"/>
        </w:rPr>
        <w:t>指导</w:t>
      </w:r>
      <w:r>
        <w:rPr>
          <w:rFonts w:hint="eastAsia" w:ascii="仿宋" w:hAnsi="仿宋" w:eastAsia="仿宋" w:cs="仿宋"/>
          <w:color w:val="auto"/>
          <w:sz w:val="24"/>
          <w:highlight w:val="none"/>
        </w:rPr>
        <w:t>、调试。</w:t>
      </w:r>
    </w:p>
    <w:p w14:paraId="47A475E6">
      <w:pPr>
        <w:keepNext w:val="0"/>
        <w:keepLines w:val="0"/>
        <w:pageBreakBefore w:val="0"/>
        <w:widowControl/>
        <w:kinsoku/>
        <w:wordWrap/>
        <w:overflowPunct/>
        <w:topLinePunct w:val="0"/>
        <w:bidi w:val="0"/>
        <w:snapToGrid w:val="0"/>
        <w:spacing w:line="400" w:lineRule="exact"/>
        <w:ind w:left="0"/>
        <w:textAlignment w:val="auto"/>
        <w:rPr>
          <w:rFonts w:hint="eastAsia" w:ascii="仿宋" w:hAnsi="仿宋" w:eastAsia="仿宋" w:cs="仿宋"/>
          <w:b/>
          <w:bCs/>
          <w:color w:val="auto"/>
          <w:sz w:val="24"/>
          <w:highlight w:val="none"/>
        </w:rPr>
      </w:pPr>
      <w:r>
        <w:rPr>
          <w:rFonts w:hint="eastAsia" w:ascii="仿宋" w:hAnsi="仿宋" w:eastAsia="仿宋" w:cs="仿宋"/>
          <w:b/>
          <w:bCs/>
          <w:color w:val="auto"/>
          <w:kern w:val="0"/>
          <w:sz w:val="24"/>
          <w:highlight w:val="none"/>
        </w:rPr>
        <w:t>★</w:t>
      </w:r>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rPr>
        <w:t>质保期</w:t>
      </w:r>
    </w:p>
    <w:p w14:paraId="04488998">
      <w:pPr>
        <w:pageBreakBefore w:val="0"/>
        <w:kinsoku/>
        <w:wordWrap/>
        <w:overflowPunct/>
        <w:topLinePunct w:val="0"/>
        <w:autoSpaceDE/>
        <w:autoSpaceDN/>
        <w:bidi w:val="0"/>
        <w:adjustRightInd/>
        <w:snapToGrid/>
        <w:spacing w:beforeAutospacing="0" w:afterAutospacing="0" w:line="400" w:lineRule="exact"/>
        <w:ind w:left="0" w:leftChars="0" w:right="0" w:rightChars="0" w:firstLine="523"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val="en-US" w:eastAsia="zh-CN"/>
        </w:rPr>
        <w:t>设备产品</w:t>
      </w:r>
      <w:r>
        <w:rPr>
          <w:rFonts w:hint="eastAsia" w:ascii="仿宋" w:hAnsi="仿宋" w:eastAsia="仿宋" w:cs="仿宋"/>
          <w:color w:val="auto"/>
          <w:sz w:val="24"/>
          <w:highlight w:val="none"/>
        </w:rPr>
        <w:t>质保期为</w:t>
      </w:r>
      <w:r>
        <w:rPr>
          <w:rFonts w:hint="eastAsia" w:ascii="仿宋" w:hAnsi="仿宋" w:eastAsia="仿宋" w:cs="仿宋"/>
          <w:color w:val="auto"/>
          <w:sz w:val="24"/>
          <w:highlight w:val="none"/>
          <w:lang w:val="en-US" w:eastAsia="zh-CN"/>
        </w:rPr>
        <w:t>不少于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eastAsia="zh-CN"/>
        </w:rPr>
        <w:t>，自验收合格之日起计</w:t>
      </w:r>
      <w:r>
        <w:rPr>
          <w:rFonts w:hint="eastAsia" w:ascii="仿宋" w:hAnsi="仿宋" w:eastAsia="仿宋" w:cs="仿宋"/>
          <w:color w:val="auto"/>
          <w:sz w:val="24"/>
          <w:highlight w:val="none"/>
        </w:rPr>
        <w:t>。</w:t>
      </w:r>
      <w:r>
        <w:rPr>
          <w:rFonts w:hint="eastAsia" w:ascii="仿宋" w:hAnsi="仿宋" w:eastAsia="仿宋" w:cs="仿宋"/>
          <w:color w:val="auto"/>
          <w:sz w:val="24"/>
          <w:szCs w:val="24"/>
          <w:highlight w:val="none"/>
          <w:lang w:val="en-US" w:eastAsia="zh-CN"/>
        </w:rPr>
        <w:t>安装工程(即充电设备的配套安装)质保期自验收合格之日起不少于XX年。</w:t>
      </w:r>
      <w:r>
        <w:rPr>
          <w:rFonts w:hint="eastAsia" w:ascii="仿宋" w:hAnsi="仿宋" w:eastAsia="仿宋" w:cs="仿宋"/>
          <w:color w:val="auto"/>
          <w:spacing w:val="0"/>
          <w:sz w:val="24"/>
          <w:szCs w:val="24"/>
          <w:highlight w:val="none"/>
          <w:lang w:eastAsia="zh-CN"/>
        </w:rPr>
        <w:t>（若乙方的质保期高于本要求的，按乙方承诺实行）</w:t>
      </w:r>
    </w:p>
    <w:p w14:paraId="718CF5B6">
      <w:pPr>
        <w:keepNext w:val="0"/>
        <w:keepLines w:val="0"/>
        <w:pageBreakBefore w:val="0"/>
        <w:widowControl/>
        <w:numPr>
          <w:ilvl w:val="0"/>
          <w:numId w:val="8"/>
        </w:numPr>
        <w:kinsoku/>
        <w:wordWrap/>
        <w:overflowPunct/>
        <w:topLinePunct w:val="0"/>
        <w:bidi w:val="0"/>
        <w:snapToGrid w:val="0"/>
        <w:spacing w:line="400" w:lineRule="exact"/>
        <w:ind w:left="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在项目质保期内，因设备本身的缺陷(非人为因素)导致各种故障，乙方应负责免费更换产品或免费技术服务、维修，以及免费更换故障部件，更换后的产品的质量保证期为更换后的产品使用之日起</w:t>
      </w:r>
      <w:r>
        <w:rPr>
          <w:rFonts w:hint="eastAsia" w:ascii="仿宋" w:hAnsi="仿宋" w:eastAsia="仿宋" w:cs="仿宋"/>
          <w:color w:val="auto"/>
          <w:sz w:val="24"/>
          <w:highlight w:val="none"/>
          <w:lang w:val="en-US" w:eastAsia="zh-CN"/>
        </w:rPr>
        <w:t>不少于5</w:t>
      </w:r>
      <w:r>
        <w:rPr>
          <w:rFonts w:hint="eastAsia" w:ascii="仿宋" w:hAnsi="仿宋" w:eastAsia="仿宋" w:cs="仿宋"/>
          <w:color w:val="auto"/>
          <w:sz w:val="24"/>
          <w:highlight w:val="none"/>
          <w:lang w:eastAsia="zh-CN"/>
        </w:rPr>
        <w:t>年。</w:t>
      </w:r>
    </w:p>
    <w:p w14:paraId="21801B01">
      <w:pPr>
        <w:keepNext w:val="0"/>
        <w:keepLines w:val="0"/>
        <w:pageBreakBefore w:val="0"/>
        <w:widowControl/>
        <w:numPr>
          <w:ilvl w:val="0"/>
          <w:numId w:val="8"/>
        </w:numPr>
        <w:kinsoku/>
        <w:wordWrap/>
        <w:overflowPunct/>
        <w:topLinePunct w:val="0"/>
        <w:bidi w:val="0"/>
        <w:snapToGrid w:val="0"/>
        <w:spacing w:line="400" w:lineRule="exact"/>
        <w:ind w:left="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质量保证期内，乙方需对</w:t>
      </w:r>
      <w:r>
        <w:rPr>
          <w:rFonts w:hint="eastAsia" w:ascii="仿宋" w:hAnsi="仿宋" w:eastAsia="仿宋" w:cs="仿宋"/>
          <w:color w:val="auto"/>
          <w:sz w:val="24"/>
          <w:highlight w:val="none"/>
          <w:lang w:val="en-US" w:eastAsia="zh-CN"/>
        </w:rPr>
        <w:t>设备</w:t>
      </w:r>
      <w:r>
        <w:rPr>
          <w:rFonts w:hint="eastAsia" w:ascii="仿宋" w:hAnsi="仿宋" w:eastAsia="仿宋" w:cs="仿宋"/>
          <w:color w:val="auto"/>
          <w:sz w:val="24"/>
          <w:highlight w:val="none"/>
          <w:lang w:eastAsia="zh-CN"/>
        </w:rPr>
        <w:t>软件的免费升级服务。质量保证期满后，乙方有义务配合甲方对设备设施的改造升级工作，费用由甲方另行支付。</w:t>
      </w:r>
    </w:p>
    <w:p w14:paraId="5D18F6BE">
      <w:pPr>
        <w:keepNext w:val="0"/>
        <w:keepLines w:val="0"/>
        <w:pageBreakBefore w:val="0"/>
        <w:widowControl/>
        <w:numPr>
          <w:ilvl w:val="0"/>
          <w:numId w:val="8"/>
        </w:numPr>
        <w:kinsoku/>
        <w:wordWrap/>
        <w:overflowPunct/>
        <w:topLinePunct w:val="0"/>
        <w:bidi w:val="0"/>
        <w:snapToGrid w:val="0"/>
        <w:spacing w:line="400" w:lineRule="exact"/>
        <w:ind w:left="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在质保期外,乙方有义务继续提供有偿维护,保证设备及零部件费用不高于投标报价，其他费用不高于浙江地区市场价，双方可在质保期后另行签订维护合同。</w:t>
      </w:r>
    </w:p>
    <w:p w14:paraId="10A5F7FE">
      <w:pPr>
        <w:keepNext w:val="0"/>
        <w:keepLines w:val="0"/>
        <w:pageBreakBefore w:val="0"/>
        <w:widowControl/>
        <w:numPr>
          <w:ilvl w:val="0"/>
          <w:numId w:val="8"/>
        </w:numPr>
        <w:kinsoku/>
        <w:wordWrap/>
        <w:overflowPunct/>
        <w:topLinePunct w:val="0"/>
        <w:bidi w:val="0"/>
        <w:snapToGrid w:val="0"/>
        <w:spacing w:line="400" w:lineRule="exact"/>
        <w:ind w:left="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乙方有义务向甲方提供长期免费的技术咨询服务。</w:t>
      </w:r>
    </w:p>
    <w:p w14:paraId="683E95ED">
      <w:pPr>
        <w:keepNext w:val="0"/>
        <w:keepLines w:val="0"/>
        <w:pageBreakBefore w:val="0"/>
        <w:widowControl/>
        <w:kinsoku/>
        <w:wordWrap/>
        <w:overflowPunct/>
        <w:topLinePunct w:val="0"/>
        <w:bidi w:val="0"/>
        <w:snapToGrid w:val="0"/>
        <w:spacing w:line="400" w:lineRule="exact"/>
        <w:ind w:left="0"/>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6.</w:t>
      </w:r>
      <w:r>
        <w:rPr>
          <w:rFonts w:hint="eastAsia" w:ascii="仿宋" w:hAnsi="仿宋" w:eastAsia="仿宋" w:cs="仿宋"/>
          <w:b/>
          <w:bCs/>
          <w:color w:val="auto"/>
          <w:sz w:val="24"/>
          <w:highlight w:val="none"/>
        </w:rPr>
        <w:t>技术培训</w:t>
      </w:r>
    </w:p>
    <w:p w14:paraId="6871D35D">
      <w:pPr>
        <w:keepNext w:val="0"/>
        <w:keepLines w:val="0"/>
        <w:pageBreakBefore w:val="0"/>
        <w:widowControl/>
        <w:kinsoku/>
        <w:wordWrap/>
        <w:overflowPunct/>
        <w:topLinePunct w:val="0"/>
        <w:bidi w:val="0"/>
        <w:snapToGrid w:val="0"/>
        <w:spacing w:line="400" w:lineRule="exact"/>
        <w:ind w:left="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中标人需负责对</w:t>
      </w:r>
      <w:r>
        <w:rPr>
          <w:rFonts w:hint="eastAsia" w:ascii="仿宋" w:hAnsi="仿宋" w:eastAsia="仿宋" w:cs="仿宋"/>
          <w:color w:val="auto"/>
          <w:sz w:val="24"/>
          <w:highlight w:val="none"/>
          <w:lang w:eastAsia="zh-CN"/>
        </w:rPr>
        <w:t>招标人</w:t>
      </w:r>
      <w:r>
        <w:rPr>
          <w:rFonts w:hint="eastAsia" w:ascii="仿宋" w:hAnsi="仿宋" w:eastAsia="仿宋" w:cs="仿宋"/>
          <w:color w:val="auto"/>
          <w:sz w:val="24"/>
          <w:highlight w:val="none"/>
        </w:rPr>
        <w:t>的技术人员</w:t>
      </w:r>
      <w:r>
        <w:rPr>
          <w:rFonts w:hint="eastAsia" w:ascii="仿宋" w:hAnsi="仿宋" w:eastAsia="仿宋" w:cs="仿宋"/>
          <w:color w:val="auto"/>
          <w:sz w:val="24"/>
          <w:highlight w:val="none"/>
          <w:lang w:eastAsia="zh-CN"/>
        </w:rPr>
        <w:t>进行</w:t>
      </w:r>
      <w:r>
        <w:rPr>
          <w:rFonts w:hint="eastAsia" w:ascii="仿宋" w:hAnsi="仿宋" w:eastAsia="仿宋" w:cs="仿宋"/>
          <w:color w:val="auto"/>
          <w:sz w:val="24"/>
          <w:highlight w:val="none"/>
        </w:rPr>
        <w:t>培训。</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须在投标文件中提供详细的培训计划，包括培训内容、培训时间、培训费用等。</w:t>
      </w:r>
    </w:p>
    <w:p w14:paraId="7D2437DD">
      <w:pPr>
        <w:keepNext w:val="0"/>
        <w:keepLines w:val="0"/>
        <w:pageBreakBefore w:val="0"/>
        <w:widowControl/>
        <w:kinsoku/>
        <w:wordWrap/>
        <w:overflowPunct/>
        <w:topLinePunct w:val="0"/>
        <w:bidi w:val="0"/>
        <w:snapToGrid w:val="0"/>
        <w:spacing w:line="400" w:lineRule="exact"/>
        <w:ind w:left="0"/>
        <w:textAlignment w:val="auto"/>
        <w:rPr>
          <w:rFonts w:hint="eastAsia" w:ascii="仿宋" w:hAnsi="仿宋" w:eastAsia="仿宋" w:cs="仿宋"/>
          <w:b/>
          <w:bCs/>
          <w:color w:val="auto"/>
          <w:kern w:val="0"/>
          <w:sz w:val="24"/>
          <w:highlight w:val="none"/>
          <w:u w:val="none"/>
        </w:rPr>
      </w:pPr>
      <w:r>
        <w:rPr>
          <w:rFonts w:hint="eastAsia" w:ascii="仿宋" w:hAnsi="仿宋" w:eastAsia="仿宋" w:cs="仿宋"/>
          <w:b/>
          <w:bCs/>
          <w:color w:val="auto"/>
          <w:sz w:val="24"/>
          <w:highlight w:val="none"/>
          <w:lang w:val="en-US" w:eastAsia="zh-CN"/>
        </w:rPr>
        <w:t>7.</w:t>
      </w:r>
      <w:r>
        <w:rPr>
          <w:rFonts w:hint="eastAsia" w:ascii="仿宋" w:hAnsi="仿宋" w:eastAsia="仿宋" w:cs="仿宋"/>
          <w:b/>
          <w:bCs/>
          <w:color w:val="auto"/>
          <w:kern w:val="0"/>
          <w:sz w:val="24"/>
          <w:highlight w:val="none"/>
          <w:u w:val="none"/>
        </w:rPr>
        <w:t>验收</w:t>
      </w:r>
    </w:p>
    <w:p w14:paraId="09F0FD23">
      <w:pPr>
        <w:keepNext w:val="0"/>
        <w:keepLines w:val="0"/>
        <w:pageBreakBefore w:val="0"/>
        <w:widowControl/>
        <w:kinsoku/>
        <w:wordWrap/>
        <w:overflowPunct/>
        <w:topLinePunct w:val="0"/>
        <w:bidi w:val="0"/>
        <w:snapToGrid w:val="0"/>
        <w:spacing w:line="400" w:lineRule="exact"/>
        <w:ind w:firstLine="480" w:firstLineChars="200"/>
        <w:textAlignment w:val="auto"/>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验收按国家有关规范标准（</w:t>
      </w:r>
      <w:r>
        <w:rPr>
          <w:rFonts w:hint="eastAsia" w:ascii="仿宋" w:hAnsi="仿宋" w:eastAsia="仿宋" w:cs="仿宋"/>
          <w:color w:val="auto"/>
          <w:sz w:val="24"/>
          <w:highlight w:val="none"/>
        </w:rPr>
        <w:t>国家无验收规范标准的按双方合同规定的要求</w:t>
      </w:r>
      <w:r>
        <w:rPr>
          <w:rFonts w:hint="eastAsia" w:ascii="仿宋" w:hAnsi="仿宋" w:eastAsia="仿宋" w:cs="仿宋"/>
          <w:color w:val="auto"/>
          <w:kern w:val="0"/>
          <w:sz w:val="24"/>
          <w:highlight w:val="none"/>
          <w:u w:val="none"/>
        </w:rPr>
        <w:t>）进行。</w:t>
      </w:r>
    </w:p>
    <w:p w14:paraId="00A0B8C6">
      <w:pPr>
        <w:keepNext w:val="0"/>
        <w:keepLines w:val="0"/>
        <w:pageBreakBefore w:val="0"/>
        <w:widowControl w:val="0"/>
        <w:kinsoku/>
        <w:wordWrap/>
        <w:overflowPunct/>
        <w:topLinePunct w:val="0"/>
        <w:bidi w:val="0"/>
        <w:adjustRightInd/>
        <w:snapToGrid/>
        <w:spacing w:line="400" w:lineRule="exact"/>
        <w:textAlignment w:val="auto"/>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eastAsia="zh-CN"/>
        </w:rPr>
        <w:t>招标人</w:t>
      </w:r>
      <w:r>
        <w:rPr>
          <w:rFonts w:hint="eastAsia" w:ascii="仿宋" w:hAnsi="仿宋" w:eastAsia="仿宋" w:cs="仿宋"/>
          <w:color w:val="auto"/>
          <w:kern w:val="0"/>
          <w:sz w:val="24"/>
          <w:highlight w:val="none"/>
          <w:u w:val="none"/>
        </w:rPr>
        <w:t>保留邀请参加本项目的其他</w:t>
      </w:r>
      <w:r>
        <w:rPr>
          <w:rFonts w:hint="eastAsia" w:ascii="仿宋" w:hAnsi="仿宋" w:eastAsia="仿宋" w:cs="仿宋"/>
          <w:color w:val="auto"/>
          <w:kern w:val="0"/>
          <w:sz w:val="24"/>
          <w:highlight w:val="none"/>
          <w:u w:val="none"/>
          <w:lang w:eastAsia="zh-CN"/>
        </w:rPr>
        <w:t>投标人</w:t>
      </w:r>
      <w:r>
        <w:rPr>
          <w:rFonts w:hint="eastAsia" w:ascii="仿宋" w:hAnsi="仿宋" w:eastAsia="仿宋" w:cs="仿宋"/>
          <w:color w:val="auto"/>
          <w:kern w:val="0"/>
          <w:sz w:val="24"/>
          <w:highlight w:val="none"/>
          <w:u w:val="none"/>
        </w:rPr>
        <w:t>或者第三方机构或相关技术专家参与验收的权利。参与验收的</w:t>
      </w:r>
      <w:r>
        <w:rPr>
          <w:rFonts w:hint="eastAsia" w:ascii="仿宋" w:hAnsi="仿宋" w:eastAsia="仿宋" w:cs="仿宋"/>
          <w:color w:val="auto"/>
          <w:kern w:val="0"/>
          <w:sz w:val="24"/>
          <w:highlight w:val="none"/>
          <w:u w:val="none"/>
          <w:lang w:eastAsia="zh-CN"/>
        </w:rPr>
        <w:t>投标人</w:t>
      </w:r>
      <w:r>
        <w:rPr>
          <w:rFonts w:hint="eastAsia" w:ascii="仿宋" w:hAnsi="仿宋" w:eastAsia="仿宋" w:cs="仿宋"/>
          <w:color w:val="auto"/>
          <w:kern w:val="0"/>
          <w:sz w:val="24"/>
          <w:highlight w:val="none"/>
          <w:u w:val="none"/>
        </w:rPr>
        <w:t>或者第三方机构的意见作为验收书的参考资料一并存档。</w:t>
      </w:r>
    </w:p>
    <w:p w14:paraId="263CB589">
      <w:pPr>
        <w:keepNext w:val="0"/>
        <w:keepLines w:val="0"/>
        <w:pageBreakBefore w:val="0"/>
        <w:widowControl/>
        <w:kinsoku/>
        <w:wordWrap/>
        <w:overflowPunct/>
        <w:topLinePunct w:val="0"/>
        <w:bidi w:val="0"/>
        <w:snapToGrid w:val="0"/>
        <w:spacing w:line="400" w:lineRule="exact"/>
        <w:ind w:left="0"/>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8.付款方式</w:t>
      </w:r>
    </w:p>
    <w:p w14:paraId="4CB63381">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甲方下达单项项目实施指令单后，支付至该单项指令单任务范围内工程造价的30%；</w:t>
      </w:r>
    </w:p>
    <w:p w14:paraId="29338120">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完成单项指令单范围内的系统安装、通电调试与验收工作，经校验合格并达到试运行要求后，支付至该单项指令任务范围内工程造价的80%；</w:t>
      </w:r>
    </w:p>
    <w:p w14:paraId="409D213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在单项项目完成试运行、验收资料齐全且结算审核通过后，支付至相应指令单工程结算价的98.5%；</w:t>
      </w:r>
    </w:p>
    <w:p w14:paraId="35CCC72F">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在工程缺陷责任期满（2年）且充电桩设备质保期限满（不少于5年）后，支付至指令任务范围内工程结算价的100%</w:t>
      </w:r>
      <w:r>
        <w:rPr>
          <w:rFonts w:hint="eastAsia" w:ascii="仿宋" w:hAnsi="仿宋" w:eastAsia="仿宋" w:cs="仿宋"/>
          <w:color w:val="auto"/>
          <w:sz w:val="24"/>
          <w:highlight w:val="none"/>
          <w:lang w:val="en-US" w:eastAsia="zh-CN"/>
        </w:rPr>
        <w:t xml:space="preserve"> 。</w:t>
      </w:r>
    </w:p>
    <w:p w14:paraId="0E371CED">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备注：</w:t>
      </w:r>
    </w:p>
    <w:p w14:paraId="667D2DB5">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kern w:val="2"/>
          <w:sz w:val="24"/>
          <w:szCs w:val="24"/>
          <w:highlight w:val="none"/>
          <w:u w:val="single"/>
        </w:rPr>
      </w:pPr>
      <w:r>
        <w:rPr>
          <w:rFonts w:hint="eastAsia" w:ascii="仿宋" w:hAnsi="仿宋" w:eastAsia="仿宋" w:cs="仿宋"/>
          <w:color w:val="auto"/>
          <w:sz w:val="24"/>
          <w:szCs w:val="24"/>
          <w:highlight w:val="none"/>
          <w:lang w:val="en-US" w:eastAsia="zh-CN"/>
        </w:rPr>
        <w:t>指令任务范围内价款以甲方、第三方审计、监理共同审核的价格为准，每笔款项支付前，乙方应向甲方开具</w:t>
      </w:r>
      <w:r>
        <w:rPr>
          <w:rFonts w:hint="eastAsia" w:ascii="仿宋" w:hAnsi="仿宋" w:eastAsia="仿宋" w:cs="仿宋"/>
          <w:color w:val="auto"/>
          <w:sz w:val="24"/>
          <w:szCs w:val="24"/>
          <w:highlight w:val="none"/>
        </w:rPr>
        <w:t>增值税专用发票</w:t>
      </w:r>
      <w:r>
        <w:rPr>
          <w:rFonts w:hint="eastAsia" w:ascii="仿宋" w:hAnsi="仿宋" w:eastAsia="仿宋" w:cs="仿宋"/>
          <w:color w:val="auto"/>
          <w:sz w:val="24"/>
          <w:szCs w:val="24"/>
          <w:highlight w:val="none"/>
          <w:lang w:val="en-US" w:eastAsia="zh-CN"/>
        </w:rPr>
        <w:t>。</w:t>
      </w:r>
    </w:p>
    <w:p w14:paraId="2B3BD006">
      <w:pPr>
        <w:keepNext w:val="0"/>
        <w:keepLines w:val="0"/>
        <w:pageBreakBefore w:val="0"/>
        <w:widowControl/>
        <w:kinsoku/>
        <w:wordWrap/>
        <w:overflowPunct/>
        <w:topLinePunct w:val="0"/>
        <w:bidi w:val="0"/>
        <w:snapToGrid w:val="0"/>
        <w:spacing w:line="400" w:lineRule="exact"/>
        <w:ind w:left="0"/>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9.结算与变更</w:t>
      </w:r>
    </w:p>
    <w:p w14:paraId="27A740D1">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snapToGrid w:val="0"/>
          <w:color w:val="auto"/>
          <w:sz w:val="24"/>
          <w:szCs w:val="24"/>
          <w:highlight w:val="none"/>
          <w:lang w:val="en-US" w:eastAsia="zh-CN" w:bidi="ar-SA"/>
        </w:rPr>
        <w:t>（1）</w:t>
      </w:r>
      <w:r>
        <w:rPr>
          <w:rFonts w:hint="eastAsia" w:ascii="仿宋" w:hAnsi="仿宋" w:eastAsia="仿宋" w:cs="仿宋"/>
          <w:snapToGrid w:val="0"/>
          <w:szCs w:val="24"/>
          <w:highlight w:val="none"/>
          <w:lang w:val="en-US"/>
        </w:rPr>
        <w:t>单个项目的</w:t>
      </w:r>
      <w:r>
        <w:rPr>
          <w:rFonts w:hint="eastAsia" w:ascii="仿宋" w:hAnsi="仿宋" w:eastAsia="仿宋" w:cs="仿宋"/>
          <w:snapToGrid w:val="0"/>
          <w:color w:val="auto"/>
          <w:sz w:val="24"/>
          <w:szCs w:val="24"/>
          <w:highlight w:val="none"/>
          <w:lang w:val="en-US" w:eastAsia="zh-CN" w:bidi="ar-SA"/>
        </w:rPr>
        <w:t>结算价</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snapToGrid w:val="0"/>
          <w:color w:val="auto"/>
          <w:sz w:val="24"/>
          <w:szCs w:val="24"/>
          <w:highlight w:val="none"/>
          <w:lang w:val="en-US" w:eastAsia="zh-CN" w:bidi="ar-SA"/>
        </w:rPr>
        <w:t>单个</w:t>
      </w:r>
      <w:r>
        <w:rPr>
          <w:rFonts w:hint="eastAsia" w:ascii="仿宋" w:hAnsi="仿宋" w:eastAsia="仿宋" w:cs="仿宋"/>
          <w:color w:val="auto"/>
          <w:sz w:val="24"/>
          <w:szCs w:val="24"/>
          <w:highlight w:val="none"/>
          <w:lang w:val="en-US" w:eastAsia="zh-CN"/>
        </w:rPr>
        <w:t>项目实施</w:t>
      </w:r>
      <w:r>
        <w:rPr>
          <w:rFonts w:hint="eastAsia" w:ascii="仿宋" w:hAnsi="仿宋" w:eastAsia="仿宋" w:cs="仿宋"/>
          <w:snapToGrid w:val="0"/>
          <w:color w:val="auto"/>
          <w:sz w:val="24"/>
          <w:szCs w:val="24"/>
          <w:highlight w:val="none"/>
          <w:lang w:val="en-US" w:eastAsia="zh-CN" w:bidi="ar-SA"/>
        </w:rPr>
        <w:t>指令单造价</w:t>
      </w:r>
      <w:r>
        <w:rPr>
          <w:rFonts w:hint="eastAsia" w:ascii="仿宋" w:hAnsi="仿宋" w:eastAsia="仿宋" w:cs="仿宋"/>
          <w:b/>
          <w:bCs/>
          <w:color w:val="auto"/>
          <w:sz w:val="24"/>
          <w:szCs w:val="24"/>
          <w:highlight w:val="none"/>
          <w:lang w:val="en-US" w:eastAsia="zh-CN"/>
        </w:rPr>
        <w:t>+变更部分价格</w:t>
      </w:r>
    </w:p>
    <w:p w14:paraId="193FBF3A">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（2）变更</w:t>
      </w:r>
    </w:p>
    <w:p w14:paraId="411A9511">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①合同中有适用综合单价的，按原综合单价；</w:t>
      </w:r>
    </w:p>
    <w:p w14:paraId="20F0CCAF">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②合同中没有适用的综合单价，但有类似的项目综合单价，可参照类似项目综合单价确定；</w:t>
      </w:r>
    </w:p>
    <w:p w14:paraId="1F768C08">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③合同中没有适用的综合单价也没有类似的项目综合单价，应有乙方根据相关资料提出变更项目的单价，并应报甲方确认后调整。</w:t>
      </w:r>
    </w:p>
    <w:p w14:paraId="30AF4971">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a.有定额的或施工工艺类似定额的：按照招标控制价编制规则中的计价口径，并按中标下浮率下浮后进行结算。b.无定额的：由甲方、乙方、第三方造价咨询单位及监理单位结合市场询价，按照相关签证程序确定综合单价进行结算）</w:t>
      </w:r>
    </w:p>
    <w:p w14:paraId="6D2605D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（3）工程变更引起施工方案改变并使措施项目发生变化时，措施项目费的调整：</w:t>
      </w:r>
    </w:p>
    <w:p w14:paraId="18BC6A7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①采用综合单价计价的措施项目，按上述方法调整；</w:t>
      </w:r>
    </w:p>
    <w:p w14:paraId="61F3D0ED">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②采用以“项”计价的技术措施项目，工程量清单项目及工程数量变化引起措施变动部分应重新组价；</w:t>
      </w:r>
    </w:p>
    <w:p w14:paraId="4CED67E1">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③施工组织措施项目按合同约定的费率内容调整相关措施费用。</w:t>
      </w:r>
    </w:p>
    <w:p w14:paraId="5158D64C">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（4）</w:t>
      </w:r>
      <w:r>
        <w:rPr>
          <w:rFonts w:hint="eastAsia" w:ascii="仿宋" w:hAnsi="仿宋" w:eastAsia="仿宋" w:cs="仿宋"/>
          <w:snapToGrid w:val="0"/>
          <w:color w:val="auto"/>
          <w:sz w:val="24"/>
          <w:highlight w:val="none"/>
          <w:lang w:val="en-US" w:eastAsia="zh-CN"/>
        </w:rPr>
        <w:t>工程量变更幅度在10%以内执行原单价，工程量变更超过10%的条款，由甲乙双方协商确认后再进行变更。</w:t>
      </w:r>
    </w:p>
    <w:p w14:paraId="7F45A1B3">
      <w:pPr>
        <w:keepNext w:val="0"/>
        <w:keepLines w:val="0"/>
        <w:pageBreakBefore w:val="0"/>
        <w:widowControl w:val="0"/>
        <w:kinsoku/>
        <w:wordWrap/>
        <w:overflowPunct/>
        <w:topLinePunct w:val="0"/>
        <w:bidi w:val="0"/>
        <w:adjustRightInd/>
        <w:snapToGrid/>
        <w:spacing w:line="400" w:lineRule="exact"/>
        <w:textAlignment w:val="auto"/>
        <w:rPr>
          <w:rFonts w:hint="eastAsia" w:ascii="仿宋" w:hAnsi="仿宋" w:eastAsia="仿宋" w:cs="仿宋"/>
          <w:b/>
          <w:bCs/>
          <w:color w:val="auto"/>
          <w:kern w:val="0"/>
          <w:sz w:val="24"/>
          <w:highlight w:val="none"/>
          <w:u w:val="none"/>
          <w:lang w:eastAsia="zh-CN"/>
        </w:rPr>
      </w:pPr>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val="en-US" w:eastAsia="zh-CN"/>
        </w:rPr>
        <w:t>10.</w:t>
      </w:r>
      <w:r>
        <w:rPr>
          <w:rFonts w:hint="eastAsia" w:ascii="仿宋" w:hAnsi="仿宋" w:eastAsia="仿宋" w:cs="仿宋"/>
          <w:b/>
          <w:bCs/>
          <w:color w:val="auto"/>
          <w:kern w:val="0"/>
          <w:sz w:val="24"/>
          <w:highlight w:val="none"/>
          <w:u w:val="none"/>
          <w:lang w:eastAsia="zh-CN"/>
        </w:rPr>
        <w:t>其他要求</w:t>
      </w:r>
    </w:p>
    <w:p w14:paraId="5D3407E1">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b w:val="0"/>
          <w:bCs w:val="0"/>
          <w:color w:val="auto"/>
          <w:kern w:val="0"/>
          <w:sz w:val="24"/>
          <w:highlight w:val="none"/>
          <w:u w:val="none"/>
          <w:lang w:val="en-US" w:eastAsia="zh-CN"/>
        </w:rPr>
      </w:pPr>
      <w:r>
        <w:rPr>
          <w:rFonts w:hint="eastAsia" w:ascii="仿宋" w:hAnsi="仿宋" w:eastAsia="仿宋" w:cs="仿宋"/>
          <w:snapToGrid w:val="0"/>
          <w:color w:val="auto"/>
          <w:sz w:val="24"/>
          <w:szCs w:val="24"/>
          <w:highlight w:val="none"/>
          <w:lang w:val="en-US" w:eastAsia="zh-CN"/>
        </w:rPr>
        <w:t>（1）</w:t>
      </w:r>
      <w:r>
        <w:rPr>
          <w:rFonts w:hint="eastAsia" w:ascii="仿宋" w:hAnsi="仿宋" w:eastAsia="仿宋" w:cs="仿宋"/>
          <w:b w:val="0"/>
          <w:bCs w:val="0"/>
          <w:color w:val="auto"/>
          <w:kern w:val="0"/>
          <w:sz w:val="24"/>
          <w:highlight w:val="none"/>
          <w:u w:val="none"/>
          <w:lang w:val="en-US" w:eastAsia="zh-CN"/>
        </w:rPr>
        <w:t>中标人投标提供的设备必须是厂商原装的、全新的、绿色环保的，型号、性能及指标符合国家及招标文件提出的有关技术、质量、安全标准。</w:t>
      </w:r>
    </w:p>
    <w:p w14:paraId="0EEF6EFE">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b w:val="0"/>
          <w:bCs w:val="0"/>
          <w:color w:val="auto"/>
          <w:kern w:val="0"/>
          <w:sz w:val="24"/>
          <w:highlight w:val="none"/>
          <w:u w:val="none"/>
          <w:lang w:val="en-US" w:eastAsia="zh-CN"/>
        </w:rPr>
      </w:pPr>
      <w:r>
        <w:rPr>
          <w:rFonts w:hint="eastAsia" w:ascii="仿宋" w:hAnsi="仿宋" w:eastAsia="仿宋" w:cs="仿宋"/>
          <w:snapToGrid w:val="0"/>
          <w:color w:val="auto"/>
          <w:sz w:val="24"/>
          <w:szCs w:val="24"/>
          <w:highlight w:val="none"/>
          <w:lang w:val="en-US" w:eastAsia="zh-CN"/>
        </w:rPr>
        <w:t>（2）</w:t>
      </w:r>
      <w:r>
        <w:rPr>
          <w:rFonts w:hint="eastAsia" w:ascii="仿宋" w:hAnsi="仿宋" w:eastAsia="仿宋" w:cs="仿宋"/>
          <w:b w:val="0"/>
          <w:bCs w:val="0"/>
          <w:color w:val="auto"/>
          <w:kern w:val="0"/>
          <w:sz w:val="24"/>
          <w:highlight w:val="none"/>
          <w:u w:val="none"/>
          <w:lang w:val="en-US" w:eastAsia="zh-CN"/>
        </w:rPr>
        <w:t>所有设备在开箱检验时必须完好，无破损，配置与装箱单相符。数量、质量及性能不低于本需求书中提出的要求。</w:t>
      </w:r>
    </w:p>
    <w:p w14:paraId="50692DC0">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b w:val="0"/>
          <w:bCs w:val="0"/>
          <w:color w:val="auto"/>
          <w:kern w:val="0"/>
          <w:sz w:val="24"/>
          <w:highlight w:val="none"/>
          <w:u w:val="none"/>
          <w:lang w:val="en-US" w:eastAsia="zh-CN"/>
        </w:rPr>
      </w:pPr>
      <w:r>
        <w:rPr>
          <w:rFonts w:hint="eastAsia" w:ascii="仿宋" w:hAnsi="仿宋" w:eastAsia="仿宋" w:cs="仿宋"/>
          <w:snapToGrid w:val="0"/>
          <w:color w:val="auto"/>
          <w:sz w:val="24"/>
          <w:szCs w:val="24"/>
          <w:highlight w:val="none"/>
          <w:lang w:val="en-US" w:eastAsia="zh-CN"/>
        </w:rPr>
        <w:t>（3）</w:t>
      </w:r>
      <w:r>
        <w:rPr>
          <w:rFonts w:hint="eastAsia" w:ascii="仿宋" w:hAnsi="仿宋" w:eastAsia="仿宋" w:cs="仿宋"/>
          <w:b w:val="0"/>
          <w:bCs w:val="0"/>
          <w:color w:val="auto"/>
          <w:kern w:val="0"/>
          <w:sz w:val="24"/>
          <w:highlight w:val="none"/>
          <w:u w:val="none"/>
          <w:lang w:val="en-US" w:eastAsia="zh-CN"/>
        </w:rPr>
        <w:t>设备外观清洁，标记编号以及盘面显示等字体清晰，明确。铭牌、使用指示、警告指示应以中文或英文及易懂的通用符号来表示；应准确无误地表明设备之型号、规格、制造厂及生产或出厂日期。</w:t>
      </w:r>
    </w:p>
    <w:p w14:paraId="24F42BCC">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b w:val="0"/>
          <w:bCs w:val="0"/>
          <w:color w:val="auto"/>
          <w:kern w:val="0"/>
          <w:sz w:val="24"/>
          <w:highlight w:val="none"/>
          <w:u w:val="none"/>
          <w:lang w:val="en-US" w:eastAsia="zh-CN"/>
        </w:rPr>
      </w:pPr>
      <w:r>
        <w:rPr>
          <w:rFonts w:hint="eastAsia" w:ascii="仿宋" w:hAnsi="仿宋" w:eastAsia="仿宋" w:cs="仿宋"/>
          <w:snapToGrid w:val="0"/>
          <w:color w:val="auto"/>
          <w:sz w:val="24"/>
          <w:szCs w:val="24"/>
          <w:highlight w:val="none"/>
          <w:lang w:val="en-US" w:eastAsia="zh-CN"/>
        </w:rPr>
        <w:t>（4）</w:t>
      </w:r>
      <w:r>
        <w:rPr>
          <w:rFonts w:hint="eastAsia" w:ascii="仿宋" w:hAnsi="仿宋" w:eastAsia="仿宋" w:cs="仿宋"/>
          <w:b w:val="0"/>
          <w:bCs w:val="0"/>
          <w:color w:val="auto"/>
          <w:kern w:val="0"/>
          <w:sz w:val="24"/>
          <w:highlight w:val="none"/>
          <w:u w:val="none"/>
          <w:lang w:val="en-US" w:eastAsia="zh-CN"/>
        </w:rPr>
        <w:t>对于影响设备正常工作的必要组成部分，无论在技术规范中指出与否，投标人都应提供并在投标文件中明确列出。</w:t>
      </w:r>
    </w:p>
    <w:p w14:paraId="3EA91BA2">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b w:val="0"/>
          <w:bCs w:val="0"/>
          <w:color w:val="auto"/>
          <w:kern w:val="0"/>
          <w:sz w:val="24"/>
          <w:highlight w:val="none"/>
          <w:u w:val="none"/>
          <w:lang w:val="en-US" w:eastAsia="zh-CN"/>
        </w:rPr>
      </w:pPr>
      <w:r>
        <w:rPr>
          <w:rFonts w:hint="eastAsia" w:ascii="仿宋" w:hAnsi="仿宋" w:eastAsia="仿宋" w:cs="仿宋"/>
          <w:snapToGrid w:val="0"/>
          <w:color w:val="auto"/>
          <w:sz w:val="24"/>
          <w:szCs w:val="24"/>
          <w:highlight w:val="none"/>
          <w:lang w:val="en-US" w:eastAsia="zh-CN"/>
        </w:rPr>
        <w:t>（5）</w:t>
      </w:r>
      <w:r>
        <w:rPr>
          <w:rFonts w:hint="eastAsia" w:ascii="仿宋" w:hAnsi="仿宋" w:eastAsia="仿宋" w:cs="仿宋"/>
          <w:b w:val="0"/>
          <w:bCs w:val="0"/>
          <w:color w:val="auto"/>
          <w:kern w:val="0"/>
          <w:sz w:val="24"/>
          <w:highlight w:val="none"/>
          <w:u w:val="none"/>
          <w:lang w:val="en-US" w:eastAsia="zh-CN"/>
        </w:rPr>
        <w:t>所有货物提供出厂合格证等质量证明文件。</w:t>
      </w:r>
    </w:p>
    <w:p w14:paraId="1A89087A">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snapToGrid w:val="0"/>
          <w:color w:val="auto"/>
          <w:sz w:val="24"/>
          <w:szCs w:val="24"/>
          <w:highlight w:val="none"/>
          <w:lang w:val="en-US" w:eastAsia="zh-CN"/>
        </w:rPr>
        <w:t>（6）</w:t>
      </w:r>
      <w:r>
        <w:rPr>
          <w:rFonts w:hint="eastAsia" w:ascii="仿宋" w:hAnsi="仿宋" w:eastAsia="仿宋" w:cs="仿宋"/>
          <w:b w:val="0"/>
          <w:bCs w:val="0"/>
          <w:color w:val="auto"/>
          <w:kern w:val="0"/>
          <w:sz w:val="24"/>
          <w:highlight w:val="none"/>
          <w:u w:val="none"/>
          <w:lang w:val="en-US" w:eastAsia="zh-CN"/>
        </w:rPr>
        <w:t>所有货物到现场安装使用前，招标人将进行抽样检验或试验。</w:t>
      </w:r>
    </w:p>
    <w:p w14:paraId="66B6F32E">
      <w:pPr>
        <w:pStyle w:val="25"/>
        <w:keepNext w:val="0"/>
        <w:keepLines w:val="0"/>
        <w:pageBreakBefore w:val="0"/>
        <w:widowControl w:val="0"/>
        <w:kinsoku/>
        <w:wordWrap/>
        <w:overflowPunct/>
        <w:topLinePunct w:val="0"/>
        <w:bidi w:val="0"/>
        <w:adjustRightInd/>
        <w:snapToGrid/>
        <w:spacing w:line="400" w:lineRule="exact"/>
        <w:ind w:firstLine="480" w:firstLineChars="200"/>
        <w:textAlignment w:val="auto"/>
        <w:rPr>
          <w:rFonts w:hint="eastAsia" w:ascii="仿宋" w:hAnsi="仿宋" w:eastAsia="仿宋" w:cs="仿宋"/>
          <w:b w:val="0"/>
          <w:bCs w:val="0"/>
          <w:color w:val="auto"/>
          <w:kern w:val="0"/>
          <w:sz w:val="24"/>
          <w:highlight w:val="none"/>
          <w:u w:val="none"/>
          <w:lang w:val="en-US" w:eastAsia="zh-CN"/>
        </w:rPr>
      </w:pPr>
      <w:r>
        <w:rPr>
          <w:rFonts w:hint="eastAsia" w:ascii="仿宋" w:hAnsi="仿宋" w:eastAsia="仿宋" w:cs="仿宋"/>
          <w:snapToGrid w:val="0"/>
          <w:color w:val="auto"/>
          <w:sz w:val="24"/>
          <w:szCs w:val="24"/>
          <w:highlight w:val="none"/>
          <w:lang w:val="en-US" w:eastAsia="zh-CN"/>
        </w:rPr>
        <w:t>（7）</w:t>
      </w:r>
      <w:r>
        <w:rPr>
          <w:rFonts w:hint="eastAsia" w:ascii="仿宋" w:hAnsi="仿宋" w:eastAsia="仿宋" w:cs="仿宋"/>
          <w:b w:val="0"/>
          <w:bCs w:val="0"/>
          <w:color w:val="auto"/>
          <w:kern w:val="0"/>
          <w:sz w:val="24"/>
          <w:highlight w:val="none"/>
          <w:u w:val="none"/>
          <w:lang w:val="en-US" w:eastAsia="zh-CN"/>
        </w:rPr>
        <w:t>本项目涵盖设备供货、安装（高压、低压）等内容，中标人应具备相应的供货、安装、通电能力；若因中标人原因导致设备无法按时供货或无法达到通电要求的，招标人有权不予支付该期的进度款，并且视情形，有权处以10000元/次的违约处罚。</w:t>
      </w:r>
    </w:p>
    <w:p w14:paraId="4269E2C2">
      <w:pPr>
        <w:spacing w:line="400" w:lineRule="exact"/>
        <w:rPr>
          <w:rFonts w:hint="eastAsia" w:ascii="仿宋" w:hAnsi="仿宋" w:eastAsia="仿宋" w:cs="仿宋"/>
          <w:color w:val="auto"/>
          <w:highlight w:val="none"/>
          <w:lang w:val="en-US" w:eastAsia="zh-CN"/>
        </w:rPr>
      </w:pPr>
    </w:p>
    <w:p w14:paraId="7AD3E59E">
      <w:pPr>
        <w:spacing w:line="400" w:lineRule="exact"/>
        <w:rPr>
          <w:rFonts w:hint="eastAsia" w:ascii="仿宋" w:hAnsi="仿宋" w:eastAsia="仿宋" w:cs="仿宋"/>
          <w:color w:val="auto"/>
          <w:highlight w:val="none"/>
        </w:rPr>
      </w:pPr>
      <w:bookmarkStart w:id="96" w:name="_Toc643610535"/>
      <w:r>
        <w:rPr>
          <w:rFonts w:hint="eastAsia" w:ascii="仿宋" w:hAnsi="仿宋" w:eastAsia="仿宋" w:cs="仿宋"/>
          <w:color w:val="auto"/>
          <w:highlight w:val="none"/>
        </w:rPr>
        <w:br w:type="page"/>
      </w:r>
    </w:p>
    <w:p w14:paraId="7097EE99">
      <w:pPr>
        <w:pStyle w:val="3"/>
        <w:keepNext/>
        <w:keepLines/>
        <w:pageBreakBefore w:val="0"/>
        <w:widowControl w:val="0"/>
        <w:suppressLineNumbers w:val="0"/>
        <w:suppressAutoHyphens w:val="0"/>
        <w:kinsoku/>
        <w:wordWrap/>
        <w:overflowPunct/>
        <w:topLinePunct w:val="0"/>
        <w:autoSpaceDE/>
        <w:autoSpaceDN/>
        <w:bidi w:val="0"/>
        <w:adjustRightInd w:val="0"/>
        <w:snapToGrid/>
        <w:spacing w:before="0" w:after="0" w:line="579" w:lineRule="auto"/>
        <w:ind w:left="431" w:hanging="431"/>
        <w:jc w:val="center"/>
        <w:textAlignment w:val="auto"/>
        <w:rPr>
          <w:rFonts w:hint="eastAsia" w:ascii="仿宋" w:hAnsi="仿宋" w:eastAsia="仿宋" w:cs="仿宋"/>
          <w:color w:val="auto"/>
          <w:highlight w:val="none"/>
        </w:rPr>
      </w:pPr>
      <w:r>
        <w:rPr>
          <w:rFonts w:hint="eastAsia" w:ascii="仿宋" w:hAnsi="仿宋" w:eastAsia="仿宋" w:cs="仿宋"/>
          <w:color w:val="auto"/>
          <w:highlight w:val="none"/>
        </w:rPr>
        <w:t>第四章  拟签订合同的主要条款</w:t>
      </w:r>
      <w:bookmarkEnd w:id="96"/>
    </w:p>
    <w:p w14:paraId="3D4DB241">
      <w:pPr>
        <w:widowControl/>
        <w:snapToGrid w:val="0"/>
        <w:spacing w:line="360" w:lineRule="exact"/>
        <w:ind w:left="0"/>
        <w:rPr>
          <w:rFonts w:hint="eastAsia" w:ascii="仿宋" w:hAnsi="仿宋" w:eastAsia="仿宋" w:cs="仿宋"/>
          <w:b/>
          <w:bCs/>
          <w:color w:val="auto"/>
          <w:kern w:val="0"/>
          <w:sz w:val="24"/>
          <w:highlight w:val="none"/>
          <w:u w:val="single"/>
        </w:rPr>
      </w:pPr>
      <w:r>
        <w:rPr>
          <w:rFonts w:hint="eastAsia" w:ascii="仿宋" w:hAnsi="仿宋" w:eastAsia="仿宋" w:cs="仿宋"/>
          <w:b/>
          <w:bCs/>
          <w:color w:val="auto"/>
          <w:kern w:val="0"/>
          <w:sz w:val="24"/>
          <w:highlight w:val="none"/>
          <w:u w:val="single"/>
        </w:rPr>
        <w:t>（合同按</w:t>
      </w:r>
      <w:r>
        <w:rPr>
          <w:rFonts w:hint="eastAsia" w:ascii="仿宋" w:hAnsi="仿宋" w:eastAsia="仿宋" w:cs="仿宋"/>
          <w:b/>
          <w:bCs/>
          <w:color w:val="auto"/>
          <w:kern w:val="0"/>
          <w:sz w:val="24"/>
          <w:highlight w:val="none"/>
          <w:u w:val="single"/>
          <w:lang w:eastAsia="zh-CN"/>
        </w:rPr>
        <w:t>招标文件</w:t>
      </w:r>
      <w:r>
        <w:rPr>
          <w:rFonts w:hint="eastAsia" w:ascii="仿宋" w:hAnsi="仿宋" w:eastAsia="仿宋" w:cs="仿宋"/>
          <w:b/>
          <w:bCs/>
          <w:color w:val="auto"/>
          <w:kern w:val="0"/>
          <w:sz w:val="24"/>
          <w:highlight w:val="none"/>
          <w:u w:val="single"/>
        </w:rPr>
        <w:t>及中标</w:t>
      </w:r>
      <w:r>
        <w:rPr>
          <w:rFonts w:hint="eastAsia" w:ascii="仿宋" w:hAnsi="仿宋" w:eastAsia="仿宋" w:cs="仿宋"/>
          <w:b/>
          <w:bCs/>
          <w:color w:val="auto"/>
          <w:kern w:val="0"/>
          <w:sz w:val="24"/>
          <w:highlight w:val="none"/>
          <w:u w:val="single"/>
          <w:lang w:eastAsia="zh-CN"/>
        </w:rPr>
        <w:t>投标人</w:t>
      </w:r>
      <w:r>
        <w:rPr>
          <w:rFonts w:hint="eastAsia" w:ascii="仿宋" w:hAnsi="仿宋" w:eastAsia="仿宋" w:cs="仿宋"/>
          <w:b/>
          <w:bCs/>
          <w:color w:val="auto"/>
          <w:kern w:val="0"/>
          <w:sz w:val="24"/>
          <w:highlight w:val="none"/>
          <w:u w:val="single"/>
        </w:rPr>
        <w:t>投标文件的内容制定，以下仅为部分参考条款）</w:t>
      </w:r>
    </w:p>
    <w:p w14:paraId="4DC53147">
      <w:pPr>
        <w:widowControl/>
        <w:snapToGrid w:val="0"/>
        <w:spacing w:line="36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甲方（</w:t>
      </w:r>
      <w:r>
        <w:rPr>
          <w:rFonts w:hint="eastAsia" w:ascii="仿宋" w:hAnsi="仿宋" w:eastAsia="仿宋" w:cs="仿宋"/>
          <w:color w:val="auto"/>
          <w:kern w:val="0"/>
          <w:sz w:val="24"/>
          <w:highlight w:val="none"/>
          <w:u w:val="none"/>
          <w:lang w:eastAsia="zh-CN"/>
        </w:rPr>
        <w:t>招标人</w:t>
      </w:r>
      <w:r>
        <w:rPr>
          <w:rFonts w:hint="eastAsia" w:ascii="仿宋" w:hAnsi="仿宋" w:eastAsia="仿宋" w:cs="仿宋"/>
          <w:color w:val="auto"/>
          <w:kern w:val="0"/>
          <w:sz w:val="24"/>
          <w:highlight w:val="none"/>
          <w:u w:val="none"/>
        </w:rPr>
        <w:t xml:space="preserve">）： </w:t>
      </w:r>
    </w:p>
    <w:p w14:paraId="3A2F9107">
      <w:pPr>
        <w:widowControl/>
        <w:snapToGrid w:val="0"/>
        <w:spacing w:line="36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乙方（</w:t>
      </w:r>
      <w:r>
        <w:rPr>
          <w:rFonts w:hint="eastAsia" w:ascii="仿宋" w:hAnsi="仿宋" w:eastAsia="仿宋" w:cs="仿宋"/>
          <w:color w:val="auto"/>
          <w:kern w:val="0"/>
          <w:sz w:val="24"/>
          <w:highlight w:val="none"/>
          <w:u w:val="none"/>
          <w:lang w:eastAsia="zh-CN"/>
        </w:rPr>
        <w:t>投标人</w:t>
      </w:r>
      <w:r>
        <w:rPr>
          <w:rFonts w:hint="eastAsia" w:ascii="仿宋" w:hAnsi="仿宋" w:eastAsia="仿宋" w:cs="仿宋"/>
          <w:color w:val="auto"/>
          <w:kern w:val="0"/>
          <w:sz w:val="24"/>
          <w:highlight w:val="none"/>
          <w:u w:val="none"/>
        </w:rPr>
        <w:t>）：</w:t>
      </w:r>
    </w:p>
    <w:p w14:paraId="2BDE1A32">
      <w:pPr>
        <w:pageBreakBefore w:val="0"/>
        <w:widowControl/>
        <w:wordWrap/>
        <w:overflowPunct/>
        <w:topLinePunct w:val="0"/>
        <w:bidi w:val="0"/>
        <w:adjustRightInd/>
        <w:snapToGrid w:val="0"/>
        <w:spacing w:line="36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根据《中华人民共和国民法典》</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编号为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kern w:val="0"/>
          <w:sz w:val="24"/>
          <w:szCs w:val="24"/>
          <w:highlight w:val="none"/>
          <w:lang w:eastAsia="zh-CN"/>
        </w:rPr>
        <w:t>招标文件</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乙方响应文件的规定，</w:t>
      </w:r>
      <w:r>
        <w:rPr>
          <w:rFonts w:hint="eastAsia" w:ascii="仿宋" w:hAnsi="仿宋" w:eastAsia="仿宋" w:cs="仿宋"/>
          <w:color w:val="auto"/>
          <w:kern w:val="0"/>
          <w:sz w:val="24"/>
          <w:szCs w:val="24"/>
          <w:highlight w:val="none"/>
        </w:rPr>
        <w:t>经公开</w:t>
      </w:r>
      <w:r>
        <w:rPr>
          <w:rFonts w:hint="eastAsia" w:ascii="仿宋" w:hAnsi="仿宋" w:eastAsia="仿宋" w:cs="仿宋"/>
          <w:color w:val="auto"/>
          <w:kern w:val="0"/>
          <w:sz w:val="24"/>
          <w:szCs w:val="24"/>
          <w:highlight w:val="none"/>
          <w:lang w:eastAsia="zh-CN"/>
        </w:rPr>
        <w:t>招标</w:t>
      </w:r>
      <w:r>
        <w:rPr>
          <w:rFonts w:hint="eastAsia" w:ascii="仿宋" w:hAnsi="仿宋" w:eastAsia="仿宋" w:cs="仿宋"/>
          <w:color w:val="auto"/>
          <w:sz w:val="24"/>
          <w:szCs w:val="24"/>
          <w:highlight w:val="none"/>
        </w:rPr>
        <w:t>，签订本合同。</w:t>
      </w:r>
    </w:p>
    <w:p w14:paraId="4A384046">
      <w:pPr>
        <w:pageBreakBefore w:val="0"/>
        <w:numPr>
          <w:ilvl w:val="0"/>
          <w:numId w:val="0"/>
        </w:numPr>
        <w:tabs>
          <w:tab w:val="left" w:pos="0"/>
        </w:tabs>
        <w:wordWrap/>
        <w:overflowPunct/>
        <w:topLinePunct w:val="0"/>
        <w:bidi w:val="0"/>
        <w:adjustRightInd/>
        <w:snapToGrid w:val="0"/>
        <w:spacing w:line="360" w:lineRule="exact"/>
        <w:ind w:right="0" w:rightChars="0" w:firstLine="241" w:firstLineChars="100"/>
        <w:outlineLvl w:val="1"/>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一、实施要求</w:t>
      </w:r>
    </w:p>
    <w:tbl>
      <w:tblPr>
        <w:tblStyle w:val="64"/>
        <w:tblW w:w="8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287"/>
        <w:gridCol w:w="2061"/>
        <w:gridCol w:w="1264"/>
        <w:gridCol w:w="1802"/>
        <w:gridCol w:w="993"/>
        <w:gridCol w:w="708"/>
      </w:tblGrid>
      <w:tr w14:paraId="356D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683" w:type="dxa"/>
            <w:vAlign w:val="center"/>
          </w:tcPr>
          <w:p w14:paraId="737FD63E">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287" w:type="dxa"/>
            <w:vAlign w:val="center"/>
          </w:tcPr>
          <w:p w14:paraId="2128E2A4">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rPr>
              <w:t>名称</w:t>
            </w:r>
          </w:p>
        </w:tc>
        <w:tc>
          <w:tcPr>
            <w:tcW w:w="2061" w:type="dxa"/>
            <w:vAlign w:val="center"/>
          </w:tcPr>
          <w:p w14:paraId="04F3207E">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项目特征</w:t>
            </w:r>
          </w:p>
        </w:tc>
        <w:tc>
          <w:tcPr>
            <w:tcW w:w="1264" w:type="dxa"/>
            <w:vAlign w:val="center"/>
          </w:tcPr>
          <w:p w14:paraId="7288F66F">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802" w:type="dxa"/>
            <w:vAlign w:val="center"/>
          </w:tcPr>
          <w:p w14:paraId="0ADED836">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w:t>
            </w:r>
          </w:p>
        </w:tc>
        <w:tc>
          <w:tcPr>
            <w:tcW w:w="993" w:type="dxa"/>
            <w:vAlign w:val="center"/>
          </w:tcPr>
          <w:p w14:paraId="1A6372DF">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单价</w:t>
            </w:r>
          </w:p>
        </w:tc>
        <w:tc>
          <w:tcPr>
            <w:tcW w:w="708" w:type="dxa"/>
            <w:vAlign w:val="center"/>
          </w:tcPr>
          <w:p w14:paraId="056F88CA">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小计</w:t>
            </w:r>
          </w:p>
        </w:tc>
      </w:tr>
      <w:tr w14:paraId="6692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83" w:type="dxa"/>
            <w:vAlign w:val="center"/>
          </w:tcPr>
          <w:p w14:paraId="7130EADB">
            <w:pPr>
              <w:pageBreakBefore w:val="0"/>
              <w:wordWrap/>
              <w:overflowPunct/>
              <w:topLinePunct w:val="0"/>
              <w:bidi w:val="0"/>
              <w:adjustRightInd/>
              <w:snapToGrid w:val="0"/>
              <w:spacing w:line="360" w:lineRule="exact"/>
              <w:ind w:left="0" w:leftChars="0" w:right="0" w:rightChars="0"/>
              <w:rPr>
                <w:rFonts w:hint="eastAsia" w:ascii="仿宋" w:hAnsi="仿宋" w:eastAsia="仿宋" w:cs="仿宋"/>
                <w:b/>
                <w:color w:val="auto"/>
                <w:sz w:val="24"/>
                <w:szCs w:val="24"/>
                <w:highlight w:val="none"/>
              </w:rPr>
            </w:pPr>
          </w:p>
        </w:tc>
        <w:tc>
          <w:tcPr>
            <w:tcW w:w="1287" w:type="dxa"/>
            <w:vAlign w:val="center"/>
          </w:tcPr>
          <w:p w14:paraId="36893533">
            <w:pPr>
              <w:pageBreakBefore w:val="0"/>
              <w:wordWrap/>
              <w:overflowPunct/>
              <w:topLinePunct w:val="0"/>
              <w:bidi w:val="0"/>
              <w:adjustRightInd/>
              <w:snapToGrid w:val="0"/>
              <w:spacing w:line="360" w:lineRule="exact"/>
              <w:ind w:left="0" w:leftChars="0" w:right="0" w:rightChars="0"/>
              <w:rPr>
                <w:rFonts w:hint="eastAsia" w:ascii="仿宋" w:hAnsi="仿宋" w:eastAsia="仿宋" w:cs="仿宋"/>
                <w:b/>
                <w:color w:val="auto"/>
                <w:sz w:val="24"/>
                <w:szCs w:val="24"/>
                <w:highlight w:val="none"/>
              </w:rPr>
            </w:pPr>
          </w:p>
        </w:tc>
        <w:tc>
          <w:tcPr>
            <w:tcW w:w="2061" w:type="dxa"/>
            <w:vAlign w:val="center"/>
          </w:tcPr>
          <w:p w14:paraId="65B3C3D0">
            <w:pPr>
              <w:pageBreakBefore w:val="0"/>
              <w:wordWrap/>
              <w:overflowPunct/>
              <w:topLinePunct w:val="0"/>
              <w:bidi w:val="0"/>
              <w:adjustRightInd/>
              <w:snapToGrid w:val="0"/>
              <w:spacing w:line="360" w:lineRule="exact"/>
              <w:ind w:left="0" w:leftChars="0" w:right="0" w:rightChars="0"/>
              <w:rPr>
                <w:rFonts w:hint="eastAsia" w:ascii="仿宋" w:hAnsi="仿宋" w:eastAsia="仿宋" w:cs="仿宋"/>
                <w:b/>
                <w:color w:val="auto"/>
                <w:sz w:val="24"/>
                <w:szCs w:val="24"/>
                <w:highlight w:val="none"/>
              </w:rPr>
            </w:pPr>
          </w:p>
        </w:tc>
        <w:tc>
          <w:tcPr>
            <w:tcW w:w="1264" w:type="dxa"/>
            <w:vAlign w:val="center"/>
          </w:tcPr>
          <w:p w14:paraId="28E38F0F">
            <w:pPr>
              <w:pageBreakBefore w:val="0"/>
              <w:wordWrap/>
              <w:overflowPunct/>
              <w:topLinePunct w:val="0"/>
              <w:bidi w:val="0"/>
              <w:adjustRightInd/>
              <w:snapToGrid w:val="0"/>
              <w:spacing w:line="360" w:lineRule="exact"/>
              <w:ind w:left="0" w:leftChars="0" w:right="0" w:rightChars="0"/>
              <w:rPr>
                <w:rFonts w:hint="eastAsia" w:ascii="仿宋" w:hAnsi="仿宋" w:eastAsia="仿宋" w:cs="仿宋"/>
                <w:b/>
                <w:color w:val="auto"/>
                <w:sz w:val="24"/>
                <w:szCs w:val="24"/>
                <w:highlight w:val="none"/>
              </w:rPr>
            </w:pPr>
          </w:p>
        </w:tc>
        <w:tc>
          <w:tcPr>
            <w:tcW w:w="1802" w:type="dxa"/>
            <w:vAlign w:val="center"/>
          </w:tcPr>
          <w:p w14:paraId="390BF116">
            <w:pPr>
              <w:pageBreakBefore w:val="0"/>
              <w:wordWrap/>
              <w:overflowPunct/>
              <w:topLinePunct w:val="0"/>
              <w:bidi w:val="0"/>
              <w:adjustRightInd/>
              <w:snapToGrid w:val="0"/>
              <w:spacing w:line="360" w:lineRule="exact"/>
              <w:ind w:left="0" w:leftChars="0" w:right="0" w:rightChars="0"/>
              <w:rPr>
                <w:rFonts w:hint="eastAsia" w:ascii="仿宋" w:hAnsi="仿宋" w:eastAsia="仿宋" w:cs="仿宋"/>
                <w:b/>
                <w:color w:val="auto"/>
                <w:sz w:val="24"/>
                <w:szCs w:val="24"/>
                <w:highlight w:val="none"/>
              </w:rPr>
            </w:pPr>
          </w:p>
        </w:tc>
        <w:tc>
          <w:tcPr>
            <w:tcW w:w="993" w:type="dxa"/>
            <w:vAlign w:val="top"/>
          </w:tcPr>
          <w:p w14:paraId="2D0802C7">
            <w:pPr>
              <w:pageBreakBefore w:val="0"/>
              <w:wordWrap/>
              <w:overflowPunct/>
              <w:topLinePunct w:val="0"/>
              <w:bidi w:val="0"/>
              <w:adjustRightInd/>
              <w:snapToGrid w:val="0"/>
              <w:spacing w:line="360" w:lineRule="exact"/>
              <w:ind w:left="0" w:leftChars="0" w:right="0" w:rightChars="0"/>
              <w:rPr>
                <w:rFonts w:hint="eastAsia" w:ascii="仿宋" w:hAnsi="仿宋" w:eastAsia="仿宋" w:cs="仿宋"/>
                <w:color w:val="auto"/>
                <w:sz w:val="24"/>
                <w:szCs w:val="24"/>
                <w:highlight w:val="none"/>
              </w:rPr>
            </w:pPr>
          </w:p>
        </w:tc>
        <w:tc>
          <w:tcPr>
            <w:tcW w:w="708" w:type="dxa"/>
            <w:vAlign w:val="top"/>
          </w:tcPr>
          <w:p w14:paraId="4FA465FB">
            <w:pPr>
              <w:pageBreakBefore w:val="0"/>
              <w:wordWrap/>
              <w:overflowPunct/>
              <w:topLinePunct w:val="0"/>
              <w:bidi w:val="0"/>
              <w:adjustRightInd/>
              <w:snapToGrid w:val="0"/>
              <w:spacing w:line="360" w:lineRule="exact"/>
              <w:ind w:left="0" w:leftChars="0" w:right="0" w:rightChars="0"/>
              <w:rPr>
                <w:rFonts w:hint="eastAsia" w:ascii="仿宋" w:hAnsi="仿宋" w:eastAsia="仿宋" w:cs="仿宋"/>
                <w:color w:val="auto"/>
                <w:sz w:val="24"/>
                <w:szCs w:val="24"/>
                <w:highlight w:val="none"/>
              </w:rPr>
            </w:pPr>
          </w:p>
        </w:tc>
      </w:tr>
      <w:tr w14:paraId="126D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center"/>
        </w:trPr>
        <w:tc>
          <w:tcPr>
            <w:tcW w:w="1970" w:type="dxa"/>
            <w:gridSpan w:val="2"/>
            <w:vAlign w:val="center"/>
          </w:tcPr>
          <w:p w14:paraId="7129A406">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6828" w:type="dxa"/>
            <w:gridSpan w:val="5"/>
            <w:vAlign w:val="center"/>
          </w:tcPr>
          <w:p w14:paraId="345750DA">
            <w:pPr>
              <w:pageBreakBefore w:val="0"/>
              <w:wordWrap/>
              <w:overflowPunct/>
              <w:topLinePunct w:val="0"/>
              <w:bidi w:val="0"/>
              <w:adjustRightInd/>
              <w:snapToGrid w:val="0"/>
              <w:spacing w:line="360" w:lineRule="exact"/>
              <w:ind w:left="0" w:leftChars="0" w:right="0" w:right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大写：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（小写：</w:t>
            </w:r>
            <w:r>
              <w:rPr>
                <w:rFonts w:hint="eastAsia" w:ascii="仿宋" w:hAnsi="仿宋" w:eastAsia="仿宋" w:cs="仿宋"/>
                <w:color w:val="auto"/>
                <w:sz w:val="24"/>
                <w:szCs w:val="24"/>
                <w:highlight w:val="none"/>
                <w:u w:val="single"/>
              </w:rPr>
              <w:t>　　　　　</w:t>
            </w:r>
            <w:r>
              <w:rPr>
                <w:rFonts w:hint="eastAsia" w:ascii="仿宋" w:hAnsi="仿宋" w:eastAsia="仿宋" w:cs="仿宋"/>
                <w:color w:val="auto"/>
                <w:sz w:val="24"/>
                <w:szCs w:val="24"/>
                <w:highlight w:val="none"/>
              </w:rPr>
              <w:t>）</w:t>
            </w:r>
          </w:p>
        </w:tc>
      </w:tr>
    </w:tbl>
    <w:p w14:paraId="3E95C24F">
      <w:pPr>
        <w:pStyle w:val="62"/>
        <w:pageBreakBefore w:val="0"/>
        <w:numPr>
          <w:ilvl w:val="0"/>
          <w:numId w:val="0"/>
        </w:numPr>
        <w:wordWrap/>
        <w:overflowPunct/>
        <w:topLinePunct w:val="0"/>
        <w:autoSpaceDE/>
        <w:autoSpaceDN/>
        <w:bidi w:val="0"/>
        <w:adjustRightInd/>
        <w:snapToGrid w:val="0"/>
        <w:spacing w:after="0" w:line="400" w:lineRule="exact"/>
        <w:ind w:left="241" w:leftChars="0" w:right="0" w:rightChars="0"/>
        <w:outlineLvl w:val="1"/>
        <w:rPr>
          <w:rFonts w:hint="eastAsia" w:ascii="仿宋" w:hAnsi="仿宋" w:eastAsia="仿宋" w:cs="仿宋"/>
          <w:b/>
          <w:bCs/>
          <w:color w:val="auto"/>
          <w:sz w:val="24"/>
          <w:szCs w:val="24"/>
          <w:highlight w:val="none"/>
          <w:lang w:val="en-US" w:eastAsia="zh-CN"/>
        </w:rPr>
      </w:pPr>
    </w:p>
    <w:p w14:paraId="62D8D24C">
      <w:pPr>
        <w:pStyle w:val="62"/>
        <w:pageBreakBefore w:val="0"/>
        <w:numPr>
          <w:ilvl w:val="0"/>
          <w:numId w:val="9"/>
        </w:numPr>
        <w:kinsoku/>
        <w:wordWrap/>
        <w:overflowPunct/>
        <w:topLinePunct w:val="0"/>
        <w:autoSpaceDE/>
        <w:autoSpaceDN/>
        <w:bidi w:val="0"/>
        <w:adjustRightInd/>
        <w:snapToGrid w:val="0"/>
        <w:spacing w:beforeAutospacing="0" w:after="0" w:afterAutospacing="0" w:line="400" w:lineRule="exact"/>
        <w:ind w:left="0" w:leftChars="0" w:right="0" w:rightChars="0" w:firstLine="241"/>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Cs w:val="24"/>
          <w:highlight w:val="none"/>
          <w:lang w:val="en-US"/>
        </w:rPr>
        <w:t>本合同为年度委托合同，包含一个年度中的多个项目</w:t>
      </w:r>
      <w:r>
        <w:rPr>
          <w:rFonts w:hint="eastAsia" w:ascii="仿宋" w:hAnsi="仿宋" w:eastAsia="仿宋" w:cs="仿宋"/>
          <w:b/>
          <w:bCs/>
          <w:color w:val="auto"/>
          <w:szCs w:val="24"/>
          <w:highlight w:val="none"/>
          <w:lang w:val="en-US" w:eastAsia="zh-CN"/>
        </w:rPr>
        <w:t>，</w:t>
      </w:r>
      <w:r>
        <w:rPr>
          <w:rFonts w:hint="eastAsia" w:ascii="仿宋" w:hAnsi="仿宋" w:eastAsia="仿宋" w:cs="仿宋"/>
          <w:b/>
          <w:bCs/>
          <w:color w:val="auto"/>
          <w:sz w:val="24"/>
          <w:szCs w:val="24"/>
          <w:highlight w:val="none"/>
          <w:lang w:val="en-US" w:eastAsia="zh-CN"/>
        </w:rPr>
        <w:t>年度经营投资计划落实后具备实施条件，每个项目实施前甲方提供项目实施指令单。</w:t>
      </w:r>
    </w:p>
    <w:p w14:paraId="33E03CAC">
      <w:pPr>
        <w:pStyle w:val="62"/>
        <w:pageBreakBefore w:val="0"/>
        <w:numPr>
          <w:ilvl w:val="0"/>
          <w:numId w:val="9"/>
        </w:numPr>
        <w:kinsoku/>
        <w:wordWrap/>
        <w:overflowPunct/>
        <w:topLinePunct w:val="0"/>
        <w:autoSpaceDE/>
        <w:autoSpaceDN/>
        <w:bidi w:val="0"/>
        <w:adjustRightInd/>
        <w:snapToGrid w:val="0"/>
        <w:spacing w:beforeAutospacing="0" w:after="0" w:afterAutospacing="0" w:line="400" w:lineRule="exact"/>
        <w:ind w:left="0" w:leftChars="0" w:right="0" w:rightChars="0" w:firstLine="241"/>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主要负责充电站供货项目，具体涵盖土建施工阶段的设备基础浇筑、管线敷设与预埋、防雷接地系统施工、充电设备的供应及安装、高低压电气系统接线、设备单体调试、系统联调联试，以及施工相关手续的报批、竣工资料的编制及竣工验收等施工建设工作。</w:t>
      </w:r>
    </w:p>
    <w:p w14:paraId="310C7358">
      <w:pPr>
        <w:pStyle w:val="52"/>
        <w:pageBreakBefore w:val="0"/>
        <w:kinsoku/>
        <w:wordWrap/>
        <w:overflowPunct/>
        <w:topLinePunct w:val="0"/>
        <w:autoSpaceDE/>
        <w:autoSpaceDN/>
        <w:bidi w:val="0"/>
        <w:adjustRightInd/>
        <w:snapToGrid w:val="0"/>
        <w:spacing w:beforeAutospacing="0" w:afterAutospacing="0" w:line="400" w:lineRule="exact"/>
        <w:ind w:left="0" w:leftChars="0" w:right="0" w:rightChars="0" w:firstLine="241" w:firstLineChars="100"/>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rPr>
        <w:t>、交货要求</w:t>
      </w:r>
    </w:p>
    <w:p w14:paraId="292F8941">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lang w:val="en-US" w:eastAsia="zh-CN"/>
        </w:rPr>
      </w:pPr>
      <w:r>
        <w:rPr>
          <w:rFonts w:hint="eastAsia" w:ascii="仿宋" w:hAnsi="仿宋" w:eastAsia="仿宋" w:cs="仿宋"/>
          <w:snapToGrid w:val="0"/>
          <w:color w:val="auto"/>
          <w:sz w:val="24"/>
          <w:szCs w:val="24"/>
          <w:highlight w:val="none"/>
          <w:lang w:val="en-US" w:eastAsia="zh-CN"/>
        </w:rPr>
        <w:t>1.建立设备招标预定机制，甲方将在单项目预算确定前，提前使用设备指令单通知乙方相关设备（充电桩、变压器等设备）需求信息，并合理要求到货日期，全周期不长于30天。</w:t>
      </w:r>
      <w:r>
        <w:rPr>
          <w:rFonts w:hint="eastAsia" w:ascii="仿宋" w:hAnsi="仿宋" w:eastAsia="仿宋" w:cs="仿宋"/>
          <w:snapToGrid w:val="0"/>
          <w:color w:val="auto"/>
          <w:sz w:val="24"/>
          <w:szCs w:val="24"/>
          <w:highlight w:val="none"/>
        </w:rPr>
        <w:t>若甲方下达</w:t>
      </w:r>
      <w:r>
        <w:rPr>
          <w:rFonts w:hint="eastAsia" w:ascii="仿宋" w:hAnsi="仿宋" w:eastAsia="仿宋" w:cs="仿宋"/>
          <w:snapToGrid w:val="0"/>
          <w:color w:val="auto"/>
          <w:sz w:val="24"/>
          <w:szCs w:val="24"/>
          <w:highlight w:val="none"/>
          <w:lang w:val="en-US" w:eastAsia="zh-CN"/>
        </w:rPr>
        <w:t>的</w:t>
      </w:r>
      <w:r>
        <w:rPr>
          <w:rFonts w:hint="eastAsia" w:ascii="仿宋" w:hAnsi="仿宋" w:eastAsia="仿宋" w:cs="仿宋"/>
          <w:snapToGrid w:val="0"/>
          <w:color w:val="auto"/>
          <w:sz w:val="24"/>
          <w:szCs w:val="24"/>
          <w:highlight w:val="none"/>
        </w:rPr>
        <w:t>设备指令单中技术参数明确</w:t>
      </w:r>
      <w:r>
        <w:rPr>
          <w:rFonts w:hint="eastAsia" w:ascii="仿宋" w:hAnsi="仿宋" w:eastAsia="仿宋" w:cs="仿宋"/>
          <w:snapToGrid w:val="0"/>
          <w:color w:val="auto"/>
          <w:sz w:val="24"/>
          <w:szCs w:val="24"/>
          <w:highlight w:val="none"/>
          <w:lang w:val="en-US" w:eastAsia="zh-CN"/>
        </w:rPr>
        <w:t>的</w:t>
      </w:r>
      <w:r>
        <w:rPr>
          <w:rFonts w:hint="eastAsia" w:ascii="仿宋" w:hAnsi="仿宋" w:eastAsia="仿宋" w:cs="仿宋"/>
          <w:snapToGrid w:val="0"/>
          <w:color w:val="auto"/>
          <w:sz w:val="24"/>
          <w:szCs w:val="24"/>
          <w:highlight w:val="none"/>
        </w:rPr>
        <w:t>，乙方无正当理由（如不可抗力、供应链普遍短缺等）未能按设备指令单要求的到货日期交付的，则构成供货延迟。每延迟一日，乙方应向甲方支付该批次延迟交付设备总价千分之一的违约金。</w:t>
      </w:r>
      <w:r>
        <w:rPr>
          <w:rFonts w:hint="eastAsia" w:ascii="仿宋" w:hAnsi="仿宋" w:eastAsia="仿宋" w:cs="仿宋"/>
          <w:snapToGrid w:val="0"/>
          <w:color w:val="auto"/>
          <w:sz w:val="24"/>
          <w:szCs w:val="24"/>
          <w:highlight w:val="none"/>
          <w:lang w:val="en-US" w:eastAsia="zh-CN"/>
        </w:rPr>
        <w:t>若超过三次无法按期到货，甲方有权终止合同。</w:t>
      </w:r>
    </w:p>
    <w:p w14:paraId="406E7753">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2</w:t>
      </w:r>
      <w:r>
        <w:rPr>
          <w:rFonts w:hint="eastAsia" w:ascii="仿宋" w:hAnsi="仿宋" w:eastAsia="仿宋" w:cs="仿宋"/>
          <w:snapToGrid w:val="0"/>
          <w:color w:val="auto"/>
          <w:sz w:val="24"/>
          <w:szCs w:val="24"/>
          <w:highlight w:val="none"/>
        </w:rPr>
        <w:t>.乙方负责对合同设备进行安装、调试，安装调试时，发现产品质量问题、性能指标或功能不符合</w:t>
      </w:r>
      <w:r>
        <w:rPr>
          <w:rFonts w:hint="eastAsia" w:ascii="仿宋" w:hAnsi="仿宋" w:eastAsia="仿宋" w:cs="仿宋"/>
          <w:snapToGrid w:val="0"/>
          <w:color w:val="auto"/>
          <w:sz w:val="24"/>
          <w:szCs w:val="24"/>
          <w:highlight w:val="none"/>
          <w:lang w:val="en-US" w:eastAsia="zh-CN"/>
        </w:rPr>
        <w:t>相关</w:t>
      </w:r>
      <w:r>
        <w:rPr>
          <w:rFonts w:hint="eastAsia" w:ascii="仿宋" w:hAnsi="仿宋" w:eastAsia="仿宋" w:cs="仿宋"/>
          <w:color w:val="auto"/>
          <w:sz w:val="24"/>
          <w:szCs w:val="24"/>
          <w:highlight w:val="none"/>
        </w:rPr>
        <w:t>要求时，乙方</w:t>
      </w:r>
      <w:r>
        <w:rPr>
          <w:rFonts w:hint="eastAsia" w:ascii="仿宋" w:hAnsi="仿宋" w:eastAsia="仿宋" w:cs="仿宋"/>
          <w:snapToGrid w:val="0"/>
          <w:color w:val="auto"/>
          <w:sz w:val="24"/>
          <w:szCs w:val="24"/>
          <w:highlight w:val="none"/>
        </w:rPr>
        <w:t>须负责处理至甲方满意为止。</w:t>
      </w:r>
    </w:p>
    <w:p w14:paraId="0A40AA45">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2"/>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3、</w:t>
      </w:r>
      <w:r>
        <w:rPr>
          <w:rFonts w:hint="eastAsia" w:ascii="仿宋" w:hAnsi="仿宋" w:eastAsia="仿宋" w:cs="仿宋"/>
          <w:snapToGrid w:val="0"/>
          <w:color w:val="auto"/>
          <w:spacing w:val="0"/>
          <w:sz w:val="24"/>
          <w:szCs w:val="24"/>
          <w:highlight w:val="none"/>
          <w:lang w:eastAsia="zh-CN"/>
        </w:rPr>
        <w:t>现场交货。乙方将设备运抵工地现场并初验合格的日期为交货日期。甲方可以要求乙方根据工程进度要求分批交货但不再额外增加其他费用。</w:t>
      </w:r>
    </w:p>
    <w:p w14:paraId="7A0044F7">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2"/>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4</w:t>
      </w:r>
      <w:r>
        <w:rPr>
          <w:rFonts w:hint="eastAsia" w:ascii="仿宋" w:hAnsi="仿宋" w:eastAsia="仿宋" w:cs="仿宋"/>
          <w:snapToGrid w:val="0"/>
          <w:color w:val="auto"/>
          <w:sz w:val="24"/>
          <w:szCs w:val="24"/>
          <w:highlight w:val="none"/>
        </w:rPr>
        <w:t>.交货地点：甲方指定地点。</w:t>
      </w:r>
    </w:p>
    <w:p w14:paraId="77322AC6">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rPr>
      </w:pPr>
      <w:r>
        <w:rPr>
          <w:rFonts w:hint="eastAsia" w:ascii="仿宋" w:hAnsi="仿宋" w:eastAsia="仿宋" w:cs="仿宋"/>
          <w:snapToGrid w:val="0"/>
          <w:color w:val="auto"/>
          <w:sz w:val="24"/>
          <w:szCs w:val="24"/>
          <w:highlight w:val="none"/>
          <w:lang w:val="en-US" w:eastAsia="zh-CN"/>
        </w:rPr>
        <w:t>5</w:t>
      </w:r>
      <w:r>
        <w:rPr>
          <w:rFonts w:hint="eastAsia" w:ascii="仿宋" w:hAnsi="仿宋" w:eastAsia="仿宋" w:cs="仿宋"/>
          <w:snapToGrid w:val="0"/>
          <w:color w:val="auto"/>
          <w:sz w:val="24"/>
          <w:szCs w:val="24"/>
          <w:highlight w:val="none"/>
        </w:rPr>
        <w:t>.乙方应对设备的整个交货过程负责，包括运输、装卸、调试的安全。</w:t>
      </w:r>
    </w:p>
    <w:p w14:paraId="2A35749A">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乙方应提供详细供货清单，清单中依次说明型号、数量、产地、生产厂家等内容。甲方（可委派监理单位）根据清单现场核对确认，如果发现数量不足或有质量、技术等问题，乙方应负责根据项目要求补足或更换，并承担由此发生的一切损失和费用。验收合格后，甲方（可委派监理单位）在验收单上签字。未经甲方（可委派监理单位）现场核对确认就擅自投入使用的货物，甲方有权不予认可、不支付费用。</w:t>
      </w:r>
    </w:p>
    <w:p w14:paraId="7A24DDCA">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.甲方有权将乙方供货产品送第三方检验机构检验，如检验不合格，甲方有权解除合同，并取消中标资格，同时要求乙方退回预付款并退货，并追究乙方的违约责任。</w:t>
      </w:r>
    </w:p>
    <w:p w14:paraId="5F8A5F55">
      <w:pPr>
        <w:pStyle w:val="970"/>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both"/>
        <w:outlineLvl w:val="3"/>
        <w:rPr>
          <w:rFonts w:hint="eastAsia" w:ascii="仿宋" w:hAnsi="仿宋" w:eastAsia="仿宋" w:cs="仿宋"/>
          <w:snapToGrid w:val="0"/>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.货</w:t>
      </w:r>
      <w:r>
        <w:rPr>
          <w:rFonts w:hint="eastAsia" w:ascii="仿宋" w:hAnsi="仿宋" w:eastAsia="仿宋" w:cs="仿宋"/>
          <w:color w:val="auto"/>
          <w:kern w:val="0"/>
          <w:sz w:val="24"/>
          <w:szCs w:val="24"/>
          <w:highlight w:val="none"/>
        </w:rPr>
        <w:t>物交货顺序要满足项目安装进度的要求，备品备件、专用工具的交货进度，如无特别约定，应视为与主货物的交货进度一致。如</w:t>
      </w:r>
      <w:r>
        <w:rPr>
          <w:rFonts w:hint="eastAsia" w:ascii="仿宋" w:hAnsi="仿宋" w:eastAsia="仿宋" w:cs="仿宋"/>
          <w:snapToGrid w:val="0"/>
          <w:color w:val="auto"/>
          <w:sz w:val="24"/>
          <w:szCs w:val="24"/>
          <w:highlight w:val="none"/>
        </w:rPr>
        <w:t>乙方未能及时交付货物（服务）或其他非甲方原因引起验收延迟的，甲方有权视实际情况要求乙方支付误期赔偿费。</w:t>
      </w:r>
    </w:p>
    <w:p w14:paraId="0B114CDD">
      <w:pPr>
        <w:pStyle w:val="3"/>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2" w:firstLineChars="200"/>
        <w:jc w:val="left"/>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三、工作进度要求</w:t>
      </w:r>
    </w:p>
    <w:p w14:paraId="016CD0C9">
      <w:pPr>
        <w:pStyle w:val="3"/>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left"/>
        <w:rPr>
          <w:rFonts w:hint="eastAsia" w:ascii="仿宋" w:hAnsi="仿宋" w:eastAsia="仿宋" w:cs="仿宋"/>
          <w:b w:val="0"/>
          <w:color w:val="auto"/>
          <w:sz w:val="24"/>
          <w:szCs w:val="24"/>
          <w:highlight w:val="none"/>
          <w:lang w:val="en-US" w:eastAsia="zh-CN"/>
        </w:rPr>
      </w:pPr>
      <w:r>
        <w:rPr>
          <w:rFonts w:hint="eastAsia" w:ascii="仿宋" w:hAnsi="仿宋" w:eastAsia="仿宋" w:cs="仿宋"/>
          <w:b w:val="0"/>
          <w:color w:val="auto"/>
          <w:sz w:val="24"/>
          <w:szCs w:val="24"/>
          <w:highlight w:val="none"/>
          <w:lang w:val="en-US" w:eastAsia="zh-CN"/>
        </w:rPr>
        <w:t>合同签订后，乙方应根据各项目甲方工期要求（其中甲方承诺低压接入项目工期不少于15天，高压接入项目工期不少于30天）在5日内提交施工进度计划（明确各分部分项工程的起止时间、持续时间、关键工序、资源配置等），并报甲方及监理单位审批后按计划开展工作。若乙方未能按照进度计划实施项目，因乙方自身原因影响项目进度，每延迟一天，甲方有权收取5000 元/天的违约金。该违约金从履约保证金中扣除。</w:t>
      </w:r>
    </w:p>
    <w:p w14:paraId="26A0EA87">
      <w:pPr>
        <w:pStyle w:val="3"/>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left"/>
        <w:rPr>
          <w:rFonts w:hint="eastAsia" w:ascii="仿宋" w:hAnsi="仿宋" w:eastAsia="仿宋" w:cs="仿宋"/>
          <w:b w:val="0"/>
          <w:color w:val="auto"/>
          <w:sz w:val="24"/>
          <w:szCs w:val="24"/>
          <w:highlight w:val="none"/>
          <w:lang w:val="en-US" w:eastAsia="zh-CN"/>
        </w:rPr>
      </w:pPr>
      <w:r>
        <w:rPr>
          <w:rFonts w:hint="eastAsia" w:ascii="仿宋" w:hAnsi="仿宋" w:eastAsia="仿宋" w:cs="仿宋"/>
          <w:b w:val="0"/>
          <w:color w:val="auto"/>
          <w:sz w:val="24"/>
          <w:szCs w:val="24"/>
          <w:highlight w:val="none"/>
          <w:lang w:val="en-US" w:eastAsia="zh-CN"/>
        </w:rPr>
        <w:t>乙方若需调整已获批准的进度计划，应提前至少7日向甲方及监理单位提交书面申请与调整后的计划，详细说明调整原因及对工期的影响，并经甲方书面同意后方可执行。如因甲方原因（如设计变更、项目实施指令单下达延迟等）导致进度延误，乙方应在事件发生后3日内向甲方提交书面延期说明，经甲方确认后，工期相应顺延。</w:t>
      </w:r>
    </w:p>
    <w:p w14:paraId="593A333C">
      <w:pPr>
        <w:pStyle w:val="3"/>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jc w:val="left"/>
        <w:rPr>
          <w:rFonts w:hint="eastAsia" w:ascii="仿宋" w:hAnsi="仿宋" w:eastAsia="仿宋" w:cs="仿宋"/>
          <w:b w:val="0"/>
          <w:color w:val="auto"/>
          <w:sz w:val="24"/>
          <w:szCs w:val="24"/>
          <w:highlight w:val="none"/>
          <w:lang w:val="en-US" w:eastAsia="zh-CN"/>
        </w:rPr>
      </w:pPr>
      <w:r>
        <w:rPr>
          <w:rFonts w:hint="eastAsia" w:ascii="仿宋" w:hAnsi="仿宋" w:eastAsia="仿宋" w:cs="仿宋"/>
          <w:b w:val="0"/>
          <w:color w:val="auto"/>
          <w:sz w:val="24"/>
          <w:szCs w:val="24"/>
          <w:highlight w:val="none"/>
          <w:lang w:val="en-US" w:eastAsia="zh-CN"/>
        </w:rPr>
        <w:t>乙方需每周向甲方及监理单位呈交周进度报告，详尽阐明本周实际完成状况、下周工作计划、现存问题以及拟采取的解决办法。乙方应每月向甲方及监理单位提交月度进度报告，并在现场开展进度汇报工作。甲方及监理单位有权随时对工程进度进行检查与监督。</w:t>
      </w:r>
    </w:p>
    <w:p w14:paraId="4EEC0356">
      <w:pPr>
        <w:pStyle w:val="3"/>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2"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四、项目实施要求</w:t>
      </w:r>
    </w:p>
    <w:p w14:paraId="4FE4157D">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1.乙方应当按照安全文明施工标准进行施工，做好安全保护措施以及劳动保护，减少对周围人员工作及生活的影响，杜绝安全事故发生。由于乙方责任造成的一切人员伤亡及损失均由乙方负责处理。</w:t>
      </w:r>
    </w:p>
    <w:p w14:paraId="033985A5">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2.乙方在项目实施期间须严格遵守政府职能部门的各项规章制度，由于其自身原因导致政府职能部门对其罚款和停工整改，由乙方自行承担相应的损失及整改费用。</w:t>
      </w:r>
    </w:p>
    <w:p w14:paraId="1D70C0F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3.乙方须为其工作人员投保员工人身意外保险或其他商业险，以保证甲方在乙方工作人员索偿时不受任何责任的约束，保险费用已包含在投标报价中，甲方不单独另行支付。</w:t>
      </w:r>
    </w:p>
    <w:p w14:paraId="323ADB5A">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4.乙方必须做好工作人员岗前安全教育和培训，并做好记录；凡履约所需使用的机械，应做到持证操作，并及时保养、维护。</w:t>
      </w:r>
    </w:p>
    <w:p w14:paraId="1C20CB95">
      <w:pPr>
        <w:pageBreakBefore w:val="0"/>
        <w:kinsoku/>
        <w:wordWrap/>
        <w:overflowPunct/>
        <w:topLinePunct w:val="0"/>
        <w:autoSpaceDE/>
        <w:autoSpaceDN/>
        <w:bidi w:val="0"/>
        <w:spacing w:beforeAutospacing="0" w:afterAutospacing="0" w:line="400" w:lineRule="exact"/>
        <w:ind w:left="0" w:right="0" w:firstLine="48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5.施工期内，如遇站场搬迁，规划调整等导致站场客观无法继续使用的，乙方需配合甲方做好设备设施迁移，甲方不另行支付费用。</w:t>
      </w:r>
    </w:p>
    <w:p w14:paraId="1FC7808A">
      <w:pPr>
        <w:pageBreakBefore w:val="0"/>
        <w:kinsoku/>
        <w:wordWrap/>
        <w:overflowPunct/>
        <w:topLinePunct w:val="0"/>
        <w:autoSpaceDE/>
        <w:autoSpaceDN/>
        <w:bidi w:val="0"/>
        <w:spacing w:beforeAutospacing="0" w:afterAutospacing="0" w:line="400" w:lineRule="exact"/>
        <w:ind w:left="0" w:right="0" w:firstLine="480"/>
        <w:rPr>
          <w:rFonts w:hint="eastAsia" w:ascii="仿宋" w:hAnsi="仿宋" w:eastAsia="仿宋" w:cs="仿宋"/>
          <w:color w:val="auto"/>
          <w:highlight w:val="none"/>
          <w:lang w:eastAsia="zh-CN"/>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highlight w:val="none"/>
        </w:rPr>
        <w:t>本合同为年度委托合同，包含一个年度中的多个项目</w:t>
      </w:r>
      <w:r>
        <w:rPr>
          <w:rFonts w:hint="eastAsia" w:ascii="仿宋" w:hAnsi="仿宋" w:eastAsia="仿宋" w:cs="仿宋"/>
          <w:b w:val="0"/>
          <w:bCs w:val="0"/>
          <w:color w:val="auto"/>
          <w:sz w:val="24"/>
          <w:szCs w:val="24"/>
          <w:highlight w:val="none"/>
          <w:lang w:val="en-US" w:eastAsia="zh-CN"/>
        </w:rPr>
        <w:t>，当甲方下达项目实施指令单后的3日内，乙方应当及时组建项目团队，每个项目团队成员不少于6人，分别为项目负责人1人、技术负责人1人、设备调试员1人、安全员1人、施工员2人。若同时实施多个项目，除项目负责人与技术负责人外，其他岗位同一人员不得兼任多个项目。乙方应根据甲方的要求，增加相应的人员配置。</w:t>
      </w:r>
    </w:p>
    <w:p w14:paraId="176D0F7C">
      <w:pPr>
        <w:pageBreakBefore w:val="0"/>
        <w:kinsoku/>
        <w:wordWrap/>
        <w:overflowPunct/>
        <w:topLinePunct w:val="0"/>
        <w:autoSpaceDE/>
        <w:autoSpaceDN/>
        <w:bidi w:val="0"/>
        <w:spacing w:beforeAutospacing="0" w:afterAutospacing="0" w:line="400" w:lineRule="exact"/>
        <w:ind w:left="0" w:right="0" w:firstLine="48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7.乙方应配合甲方做好政策处理，安装过程中产生的信访、投诉，乙方应积极协调处理。</w:t>
      </w:r>
    </w:p>
    <w:p w14:paraId="7944974B">
      <w:pPr>
        <w:pageBreakBefore w:val="0"/>
        <w:kinsoku/>
        <w:wordWrap/>
        <w:overflowPunct/>
        <w:topLinePunct w:val="0"/>
        <w:autoSpaceDE/>
        <w:autoSpaceDN/>
        <w:bidi w:val="0"/>
        <w:spacing w:beforeAutospacing="0" w:afterAutospacing="0" w:line="400" w:lineRule="exact"/>
        <w:ind w:left="0" w:right="0" w:firstLine="48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8.乙方需要配合做好充电数据接入甲方平台的相关工作。</w:t>
      </w:r>
    </w:p>
    <w:p w14:paraId="6E230280">
      <w:pPr>
        <w:pStyle w:val="3"/>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2"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五、售后服务与质保要求</w:t>
      </w:r>
    </w:p>
    <w:p w14:paraId="3C7F63FA">
      <w:pPr>
        <w:pageBreakBefore w:val="0"/>
        <w:kinsoku/>
        <w:wordWrap/>
        <w:overflowPunct/>
        <w:topLinePunct w:val="0"/>
        <w:autoSpaceDE/>
        <w:autoSpaceDN/>
        <w:bidi w:val="0"/>
        <w:adjustRightInd/>
        <w:snapToGrid/>
        <w:spacing w:beforeAutospacing="0" w:afterAutospacing="0" w:line="400" w:lineRule="exact"/>
        <w:ind w:left="0" w:leftChars="0" w:right="0" w:rightChars="0" w:firstLine="523" w:firstLineChars="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乙方提供的设备</w:t>
      </w:r>
      <w:r>
        <w:rPr>
          <w:rFonts w:hint="eastAsia" w:ascii="仿宋" w:hAnsi="仿宋" w:eastAsia="仿宋" w:cs="仿宋"/>
          <w:color w:val="auto"/>
          <w:sz w:val="24"/>
          <w:szCs w:val="24"/>
          <w:highlight w:val="none"/>
        </w:rPr>
        <w:t>自</w:t>
      </w:r>
      <w:r>
        <w:rPr>
          <w:rFonts w:hint="eastAsia" w:ascii="仿宋" w:hAnsi="仿宋" w:eastAsia="仿宋" w:cs="仿宋"/>
          <w:color w:val="auto"/>
          <w:sz w:val="24"/>
          <w:szCs w:val="24"/>
          <w:highlight w:val="none"/>
          <w:lang w:val="zh-CN"/>
        </w:rPr>
        <w:t>验收合格</w:t>
      </w:r>
      <w:r>
        <w:rPr>
          <w:rFonts w:hint="eastAsia" w:ascii="仿宋" w:hAnsi="仿宋" w:eastAsia="仿宋" w:cs="仿宋"/>
          <w:color w:val="auto"/>
          <w:sz w:val="24"/>
          <w:szCs w:val="24"/>
          <w:highlight w:val="none"/>
        </w:rPr>
        <w:t>之日起不少于</w:t>
      </w:r>
      <w:r>
        <w:rPr>
          <w:rFonts w:hint="eastAsia" w:ascii="仿宋" w:hAnsi="仿宋" w:eastAsia="仿宋" w:cs="仿宋"/>
          <w:color w:val="auto"/>
          <w:sz w:val="24"/>
          <w:szCs w:val="24"/>
          <w:highlight w:val="none"/>
          <w:lang w:val="zh-CN"/>
        </w:rPr>
        <w:t>五</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zh-CN"/>
        </w:rPr>
        <w:t>无偿质保（</w:t>
      </w:r>
      <w:r>
        <w:rPr>
          <w:rFonts w:hint="eastAsia" w:ascii="仿宋" w:hAnsi="仿宋" w:eastAsia="仿宋" w:cs="仿宋"/>
          <w:color w:val="auto"/>
          <w:sz w:val="24"/>
          <w:szCs w:val="24"/>
          <w:highlight w:val="none"/>
          <w:lang w:val="en-US" w:eastAsia="zh-CN"/>
        </w:rPr>
        <w:t>非人为因素）</w:t>
      </w:r>
      <w:r>
        <w:rPr>
          <w:rFonts w:hint="eastAsia" w:ascii="仿宋" w:hAnsi="仿宋" w:eastAsia="仿宋" w:cs="仿宋"/>
          <w:color w:val="auto"/>
          <w:sz w:val="24"/>
          <w:szCs w:val="24"/>
          <w:highlight w:val="none"/>
          <w:lang w:val="zh-CN"/>
        </w:rPr>
        <w:t>。质保期内无偿提</w:t>
      </w:r>
      <w:r>
        <w:rPr>
          <w:rFonts w:hint="eastAsia" w:ascii="仿宋" w:hAnsi="仿宋" w:eastAsia="仿宋" w:cs="仿宋"/>
          <w:color w:val="auto"/>
          <w:sz w:val="24"/>
          <w:szCs w:val="24"/>
          <w:highlight w:val="none"/>
          <w:lang w:val="en-US"/>
        </w:rPr>
        <w:t>供</w:t>
      </w:r>
      <w:r>
        <w:rPr>
          <w:rFonts w:hint="eastAsia" w:ascii="仿宋" w:hAnsi="仿宋" w:eastAsia="仿宋" w:cs="仿宋"/>
          <w:color w:val="auto"/>
          <w:spacing w:val="0"/>
          <w:sz w:val="24"/>
          <w:szCs w:val="24"/>
          <w:highlight w:val="none"/>
          <w:lang w:eastAsia="zh-CN"/>
        </w:rPr>
        <w:t>技术服务、维修</w:t>
      </w:r>
      <w:r>
        <w:rPr>
          <w:rFonts w:hint="eastAsia" w:ascii="仿宋" w:hAnsi="仿宋" w:eastAsia="仿宋" w:cs="仿宋"/>
          <w:color w:val="auto"/>
          <w:sz w:val="24"/>
          <w:szCs w:val="24"/>
          <w:highlight w:val="none"/>
          <w:lang w:val="en-US"/>
        </w:rPr>
        <w:t>服务，无偿提供系统迭代升级、维护等。</w:t>
      </w:r>
      <w:r>
        <w:rPr>
          <w:rFonts w:hint="eastAsia" w:ascii="仿宋" w:hAnsi="仿宋" w:eastAsia="仿宋" w:cs="仿宋"/>
          <w:color w:val="auto"/>
          <w:sz w:val="24"/>
          <w:szCs w:val="24"/>
          <w:highlight w:val="none"/>
          <w:lang w:val="en-US" w:eastAsia="zh-CN"/>
        </w:rPr>
        <w:t>安装工程(即充电设备的配套安装)质保期自验收合格之日起不少于XX年。</w:t>
      </w:r>
      <w:r>
        <w:rPr>
          <w:rFonts w:hint="eastAsia" w:ascii="仿宋" w:hAnsi="仿宋" w:eastAsia="仿宋" w:cs="仿宋"/>
          <w:color w:val="auto"/>
          <w:spacing w:val="0"/>
          <w:sz w:val="24"/>
          <w:szCs w:val="24"/>
          <w:highlight w:val="none"/>
          <w:lang w:eastAsia="zh-CN"/>
        </w:rPr>
        <w:t>（若乙方的质保期高于本要求的，按乙方承诺实行）</w:t>
      </w:r>
    </w:p>
    <w:p w14:paraId="6165C3DB">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2、因乙方所提供的系统及硬件设备出现故障（包括但不限于计量与计费不准确、系统或设备瘫痪等情况）而导致的一切损失，由乙方承担，并具体赔偿事项由双方协商确定。</w:t>
      </w:r>
    </w:p>
    <w:p w14:paraId="52C45464">
      <w:pPr>
        <w:pStyle w:val="23"/>
        <w:snapToGrid w:val="0"/>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乙方应每月至少提供一次上门运维服务。运维范围包括以下内容：充电场站的全面巡检（包括高低压供电状况、消防设施、道闸、监控、雨棚等）、设备整体状态的细致维保（包括箱变整体维保、隔离防护；充电桩底座、外观、桩机、固定情况、充电枪、触摸屏、接线、电缆布线、接地等）、设备清洁，以及根据甲方需求提供的其他运维支持。</w:t>
      </w:r>
    </w:p>
    <w:p w14:paraId="268178BA">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4.乙方的设备出现以下情况的，乙方须无条件召回更换新设备，并承担相应损失：</w:t>
      </w:r>
    </w:p>
    <w:p w14:paraId="409FF44A">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（1）批量故障：同一个批次设备同一故障出现3套设备及以上，并经过售后服务维修二次修复后仍无法解决的或在三个月内批次故障仍无法解决的。</w:t>
      </w:r>
    </w:p>
    <w:p w14:paraId="2A3A57C6">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（2）故障频率：同一个批次设备，单套设备在六个月内同一个故障发生五次以上（含五次）或六个月内无法修复解决的；单套设备在一个月内不同故障发生五次以上（含五次）或一个月内无法修复解决的。</w:t>
      </w:r>
    </w:p>
    <w:p w14:paraId="057A66E8">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（3）设备自燃：设备发生自燃，经厂家和甲方鉴定或经官方仲裁机构认定为设备质量问题的。</w:t>
      </w:r>
    </w:p>
    <w:p w14:paraId="5BB86D31">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3"/>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（4）其他重大质量问题。</w:t>
      </w:r>
    </w:p>
    <w:p w14:paraId="3EB365A1">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6.钢结构或膜结构车棚在缺陷责任期内因质量、安装等原因产生的事故，甲方有权追究乙方的责任。</w:t>
      </w:r>
    </w:p>
    <w:p w14:paraId="332ADC2E">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7.充电桩质量、安装等原因产生的事故，由乙方负责赔偿。</w:t>
      </w:r>
    </w:p>
    <w:p w14:paraId="1D0B306D">
      <w:pPr>
        <w:pageBreakBefore w:val="0"/>
        <w:kinsoku/>
        <w:wordWrap/>
        <w:overflowPunct/>
        <w:topLinePunct w:val="0"/>
        <w:autoSpaceDE/>
        <w:autoSpaceDN/>
        <w:bidi w:val="0"/>
        <w:spacing w:beforeAutospacing="0" w:afterAutospacing="0" w:line="400" w:lineRule="exact"/>
        <w:ind w:left="0" w:right="0" w:firstLine="480" w:firstLineChars="200"/>
        <w:jc w:val="left"/>
        <w:rPr>
          <w:rFonts w:hint="eastAsia" w:ascii="仿宋" w:hAnsi="仿宋" w:eastAsia="仿宋" w:cs="仿宋"/>
          <w:snapToGrid w:val="0"/>
          <w:color w:val="auto"/>
          <w:spacing w:val="0"/>
          <w:sz w:val="24"/>
          <w:szCs w:val="24"/>
          <w:highlight w:val="none"/>
          <w:lang w:eastAsia="zh-CN"/>
        </w:rPr>
      </w:pPr>
      <w:r>
        <w:rPr>
          <w:rFonts w:hint="eastAsia" w:ascii="仿宋" w:hAnsi="仿宋" w:eastAsia="仿宋" w:cs="仿宋"/>
          <w:snapToGrid w:val="0"/>
          <w:color w:val="auto"/>
          <w:sz w:val="24"/>
          <w:szCs w:val="24"/>
          <w:highlight w:val="none"/>
          <w:lang w:val="en-US" w:eastAsia="zh-CN"/>
        </w:rPr>
        <w:t>8、</w:t>
      </w:r>
      <w:r>
        <w:rPr>
          <w:rFonts w:hint="eastAsia" w:ascii="仿宋" w:hAnsi="仿宋" w:eastAsia="仿宋" w:cs="仿宋"/>
          <w:snapToGrid w:val="0"/>
          <w:color w:val="auto"/>
          <w:spacing w:val="0"/>
          <w:sz w:val="24"/>
          <w:szCs w:val="24"/>
          <w:highlight w:val="none"/>
          <w:lang w:eastAsia="zh-CN"/>
        </w:rPr>
        <w:t>每个维修项目完成后，经甲方或设备管理方验收并签字后，方为该维修项目本次维修完毕。</w:t>
      </w:r>
    </w:p>
    <w:p w14:paraId="75814FF0">
      <w:pPr>
        <w:pageBreakBefore w:val="0"/>
        <w:kinsoku/>
        <w:wordWrap/>
        <w:overflowPunct/>
        <w:topLinePunct w:val="0"/>
        <w:autoSpaceDE/>
        <w:autoSpaceDN/>
        <w:bidi w:val="0"/>
        <w:spacing w:beforeAutospacing="0" w:afterAutospacing="0" w:line="400" w:lineRule="exact"/>
        <w:ind w:left="0" w:right="0" w:firstLine="480" w:firstLineChars="200"/>
        <w:jc w:val="left"/>
        <w:rPr>
          <w:rFonts w:hint="eastAsia" w:ascii="仿宋" w:hAnsi="仿宋" w:eastAsia="仿宋" w:cs="仿宋"/>
          <w:snapToGrid w:val="0"/>
          <w:color w:val="auto"/>
          <w:spacing w:val="0"/>
          <w:sz w:val="24"/>
          <w:szCs w:val="24"/>
          <w:highlight w:val="none"/>
          <w:lang w:val="en-US" w:eastAsia="zh-CN"/>
        </w:rPr>
      </w:pPr>
      <w:r>
        <w:rPr>
          <w:rFonts w:hint="eastAsia" w:ascii="仿宋" w:hAnsi="仿宋" w:eastAsia="仿宋" w:cs="仿宋"/>
          <w:snapToGrid w:val="0"/>
          <w:color w:val="auto"/>
          <w:spacing w:val="0"/>
          <w:sz w:val="24"/>
          <w:szCs w:val="24"/>
          <w:highlight w:val="none"/>
          <w:lang w:val="en-US" w:eastAsia="zh-CN"/>
        </w:rPr>
        <w:t>9、乙方针对其为甲方安装的信息化设备，自甲方验收通过之日起，无偿提供为期两年的运营商服务，以确保服务期内设备功能及网络的正常运行。在服务期限届满前30日内，乙方须提前通知甲方。若服务期限届满时，甲方尚未找到后续运营商，乙方应继续承担运营商服务费用，直至甲方找到后续运营商。</w:t>
      </w:r>
    </w:p>
    <w:p w14:paraId="03A81B43">
      <w:pPr>
        <w:pStyle w:val="3"/>
        <w:pageBreakBefore w:val="0"/>
        <w:kinsoku/>
        <w:wordWrap/>
        <w:overflowPunct/>
        <w:topLinePunct w:val="0"/>
        <w:autoSpaceDE/>
        <w:autoSpaceDN/>
        <w:bidi w:val="0"/>
        <w:adjustRightInd/>
        <w:snapToGrid w:val="0"/>
        <w:spacing w:before="0" w:beforeAutospacing="0" w:after="0" w:afterAutospacing="0" w:line="400" w:lineRule="exact"/>
        <w:ind w:left="10" w:leftChars="0" w:right="0" w:rightChars="0" w:hanging="10" w:hangingChars="4"/>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六、培训要求</w:t>
      </w:r>
    </w:p>
    <w:p w14:paraId="3C1F60AF">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3"/>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1</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lang w:val="en-US"/>
        </w:rPr>
        <w:t>有义务对</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lang w:val="en-US"/>
        </w:rPr>
        <w:t>正常使用和维护设备</w:t>
      </w:r>
      <w:r>
        <w:rPr>
          <w:rFonts w:hint="eastAsia" w:ascii="仿宋" w:hAnsi="仿宋" w:eastAsia="仿宋" w:cs="仿宋"/>
          <w:color w:val="auto"/>
          <w:sz w:val="24"/>
          <w:szCs w:val="24"/>
          <w:highlight w:val="none"/>
          <w:lang w:val="en-US" w:eastAsia="zh-CN"/>
        </w:rPr>
        <w:t>进行</w:t>
      </w:r>
      <w:r>
        <w:rPr>
          <w:rFonts w:hint="eastAsia" w:ascii="仿宋" w:hAnsi="仿宋" w:eastAsia="仿宋" w:cs="仿宋"/>
          <w:color w:val="auto"/>
          <w:sz w:val="24"/>
          <w:szCs w:val="24"/>
          <w:highlight w:val="none"/>
          <w:lang w:val="en-US"/>
        </w:rPr>
        <w:t>必要的</w:t>
      </w:r>
      <w:r>
        <w:rPr>
          <w:rFonts w:hint="eastAsia" w:ascii="仿宋" w:hAnsi="仿宋" w:eastAsia="仿宋" w:cs="仿宋"/>
          <w:color w:val="auto"/>
          <w:sz w:val="24"/>
          <w:szCs w:val="24"/>
          <w:highlight w:val="none"/>
          <w:lang w:val="en-US" w:eastAsia="zh-CN"/>
        </w:rPr>
        <w:t>定期</w:t>
      </w:r>
      <w:r>
        <w:rPr>
          <w:rFonts w:hint="eastAsia" w:ascii="仿宋" w:hAnsi="仿宋" w:eastAsia="仿宋" w:cs="仿宋"/>
          <w:color w:val="auto"/>
          <w:sz w:val="24"/>
          <w:szCs w:val="24"/>
          <w:highlight w:val="none"/>
          <w:lang w:val="en-US"/>
        </w:rPr>
        <w:t>培训</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培训人数不少于5人，培训时间不少于2天/人次</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培训次数不少于2次/年</w:t>
      </w:r>
      <w:r>
        <w:rPr>
          <w:rFonts w:hint="eastAsia" w:ascii="仿宋" w:hAnsi="仿宋" w:eastAsia="仿宋" w:cs="仿宋"/>
          <w:color w:val="auto"/>
          <w:sz w:val="24"/>
          <w:szCs w:val="24"/>
          <w:highlight w:val="none"/>
        </w:rPr>
        <w:t>。</w:t>
      </w:r>
    </w:p>
    <w:p w14:paraId="1C399294">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rPr>
        <w:t>培训的内容包括主要设备和软件的安装、使用、配置管理、性能优化以及硬件基本维护知识。</w:t>
      </w:r>
    </w:p>
    <w:p w14:paraId="39FE8C1C">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3</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lang w:val="en-US"/>
        </w:rPr>
        <w:t>如有培训需求，</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lang w:val="en-US"/>
        </w:rPr>
        <w:t>必须派出具有相应专业资格和实际工作经验的人员</w:t>
      </w:r>
      <w:r>
        <w:rPr>
          <w:rFonts w:hint="eastAsia" w:ascii="仿宋" w:hAnsi="仿宋" w:eastAsia="仿宋" w:cs="仿宋"/>
          <w:color w:val="auto"/>
          <w:sz w:val="24"/>
          <w:szCs w:val="24"/>
          <w:highlight w:val="none"/>
          <w:lang w:val="en-US" w:eastAsia="zh-CN"/>
        </w:rPr>
        <w:t>提供</w:t>
      </w:r>
      <w:r>
        <w:rPr>
          <w:rFonts w:hint="eastAsia" w:ascii="仿宋" w:hAnsi="仿宋" w:eastAsia="仿宋" w:cs="仿宋"/>
          <w:color w:val="auto"/>
          <w:sz w:val="24"/>
          <w:szCs w:val="24"/>
          <w:highlight w:val="none"/>
          <w:lang w:val="en-US"/>
        </w:rPr>
        <w:t>培训</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lang w:val="en-US"/>
        </w:rPr>
        <w:t>。</w:t>
      </w:r>
    </w:p>
    <w:p w14:paraId="4F581247">
      <w:pPr>
        <w:pStyle w:val="23"/>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3"/>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rPr>
        <w:t>培训所需费用已包含在</w:t>
      </w:r>
      <w:r>
        <w:rPr>
          <w:rFonts w:hint="eastAsia" w:ascii="仿宋" w:hAnsi="仿宋" w:eastAsia="仿宋" w:cs="仿宋"/>
          <w:color w:val="auto"/>
          <w:sz w:val="24"/>
          <w:szCs w:val="24"/>
          <w:highlight w:val="none"/>
          <w:lang w:val="en-US" w:eastAsia="zh-CN"/>
        </w:rPr>
        <w:t>投标报</w:t>
      </w:r>
      <w:r>
        <w:rPr>
          <w:rFonts w:hint="eastAsia" w:ascii="仿宋" w:hAnsi="仿宋" w:eastAsia="仿宋" w:cs="仿宋"/>
          <w:color w:val="auto"/>
          <w:sz w:val="24"/>
          <w:szCs w:val="24"/>
          <w:highlight w:val="none"/>
          <w:lang w:val="en-US"/>
        </w:rPr>
        <w:t>价中。</w:t>
      </w:r>
    </w:p>
    <w:p w14:paraId="45B8FAEA">
      <w:pPr>
        <w:pStyle w:val="3"/>
        <w:pageBreakBefore w:val="0"/>
        <w:kinsoku/>
        <w:wordWrap/>
        <w:overflowPunct/>
        <w:topLinePunct w:val="0"/>
        <w:autoSpaceDE/>
        <w:autoSpaceDN/>
        <w:bidi w:val="0"/>
        <w:adjustRightInd/>
        <w:snapToGrid w:val="0"/>
        <w:spacing w:before="0" w:beforeAutospacing="0" w:after="0" w:afterAutospacing="0" w:line="400" w:lineRule="exact"/>
        <w:ind w:left="10" w:leftChars="0" w:right="0" w:rightChars="0" w:hanging="10" w:hangingChars="4"/>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七、验收要求</w:t>
      </w:r>
    </w:p>
    <w:p w14:paraId="2221DF88">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乙方应提供符合招投标文件规定要求的货物和服务，向甲方提供所有的技术资料和清单，若因乙方质量问题等导致验收不合格，乙方应及时予以整改，直至验收合格，期间发生的一切费用由乙方承担，甲方保留向乙方索赔的权利。</w:t>
      </w:r>
    </w:p>
    <w:p w14:paraId="5294EC27">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2.如在质量保证期内发现货物是不合格的，包括货物有明显的或潜在的缺陷、使用不符合要求的材料、运行效果达不到要求等，甲方有权报请当地质检部门或权威检测机构进行检验。</w:t>
      </w:r>
      <w:r>
        <w:rPr>
          <w:rFonts w:hint="eastAsia" w:ascii="仿宋" w:hAnsi="仿宋" w:eastAsia="仿宋" w:cs="仿宋"/>
          <w:color w:val="auto"/>
          <w:sz w:val="24"/>
          <w:szCs w:val="24"/>
          <w:highlight w:val="none"/>
          <w:lang w:val="en-US" w:eastAsia="zh-CN"/>
        </w:rPr>
        <w:t>产生的相关费用由乙方承担。</w:t>
      </w:r>
      <w:r>
        <w:rPr>
          <w:rFonts w:hint="eastAsia" w:ascii="仿宋" w:hAnsi="仿宋" w:eastAsia="仿宋" w:cs="仿宋"/>
          <w:color w:val="auto"/>
          <w:sz w:val="24"/>
          <w:szCs w:val="24"/>
          <w:highlight w:val="none"/>
        </w:rPr>
        <w:t>根据检验结果，甲方有权向乙方主张违约责任。</w:t>
      </w:r>
    </w:p>
    <w:p w14:paraId="1F00073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3</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验收标准应遵循国家相关标准、行业通行标准、厂方出厂标准、</w:t>
      </w:r>
      <w:r>
        <w:rPr>
          <w:rFonts w:hint="eastAsia" w:ascii="仿宋" w:hAnsi="仿宋" w:eastAsia="仿宋" w:cs="仿宋"/>
          <w:b w:val="0"/>
          <w:bCs w:val="0"/>
          <w:color w:val="auto"/>
          <w:sz w:val="24"/>
          <w:szCs w:val="24"/>
          <w:highlight w:val="none"/>
          <w:lang w:eastAsia="zh-CN"/>
        </w:rPr>
        <w:t>招标文件</w:t>
      </w:r>
      <w:r>
        <w:rPr>
          <w:rFonts w:hint="eastAsia" w:ascii="仿宋" w:hAnsi="仿宋" w:eastAsia="仿宋" w:cs="仿宋"/>
          <w:b w:val="0"/>
          <w:bCs w:val="0"/>
          <w:color w:val="auto"/>
          <w:sz w:val="24"/>
          <w:szCs w:val="24"/>
          <w:highlight w:val="none"/>
        </w:rPr>
        <w:t>要求和乙方投标文件的承诺等</w:t>
      </w:r>
      <w:r>
        <w:rPr>
          <w:rFonts w:hint="eastAsia" w:ascii="仿宋" w:hAnsi="仿宋" w:eastAsia="仿宋" w:cs="仿宋"/>
          <w:b w:val="0"/>
          <w:bCs w:val="0"/>
          <w:color w:val="auto"/>
          <w:sz w:val="24"/>
          <w:szCs w:val="24"/>
          <w:highlight w:val="none"/>
          <w:lang w:eastAsia="zh-CN"/>
        </w:rPr>
        <w:t>。</w:t>
      </w:r>
    </w:p>
    <w:p w14:paraId="02425C7D">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4.乙</w:t>
      </w:r>
      <w:r>
        <w:rPr>
          <w:rFonts w:hint="eastAsia" w:ascii="仿宋" w:hAnsi="仿宋" w:eastAsia="仿宋" w:cs="仿宋"/>
          <w:b w:val="0"/>
          <w:bCs w:val="0"/>
          <w:color w:val="auto"/>
          <w:sz w:val="24"/>
          <w:szCs w:val="24"/>
          <w:highlight w:val="none"/>
        </w:rPr>
        <w:t>方所供应安装的充电设备必须按照国家市场监管总局关于充电桩强制鉴定工作的要求，项目安装完成后必须提供计量监督部门颁发的强检证明，并配合</w:t>
      </w:r>
      <w:r>
        <w:rPr>
          <w:rFonts w:hint="eastAsia" w:ascii="仿宋" w:hAnsi="仿宋" w:eastAsia="仿宋" w:cs="仿宋"/>
          <w:b w:val="0"/>
          <w:bCs w:val="0"/>
          <w:color w:val="auto"/>
          <w:sz w:val="24"/>
          <w:szCs w:val="24"/>
          <w:highlight w:val="none"/>
          <w:lang w:val="en-US" w:eastAsia="zh-CN"/>
        </w:rPr>
        <w:t>甲方</w:t>
      </w:r>
      <w:r>
        <w:rPr>
          <w:rFonts w:hint="eastAsia" w:ascii="仿宋" w:hAnsi="仿宋" w:eastAsia="仿宋" w:cs="仿宋"/>
          <w:b w:val="0"/>
          <w:bCs w:val="0"/>
          <w:color w:val="auto"/>
          <w:sz w:val="24"/>
          <w:szCs w:val="24"/>
          <w:highlight w:val="none"/>
        </w:rPr>
        <w:t>完成</w:t>
      </w:r>
      <w:r>
        <w:rPr>
          <w:rFonts w:hint="eastAsia" w:ascii="仿宋" w:hAnsi="仿宋" w:eastAsia="仿宋" w:cs="仿宋"/>
          <w:b w:val="0"/>
          <w:bCs w:val="0"/>
          <w:color w:val="auto"/>
          <w:sz w:val="24"/>
          <w:szCs w:val="24"/>
          <w:highlight w:val="none"/>
          <w:lang w:val="en-US" w:eastAsia="zh-CN"/>
        </w:rPr>
        <w:t>绍兴</w:t>
      </w:r>
      <w:r>
        <w:rPr>
          <w:rFonts w:hint="eastAsia" w:ascii="仿宋" w:hAnsi="仿宋" w:eastAsia="仿宋" w:cs="仿宋"/>
          <w:b w:val="0"/>
          <w:bCs w:val="0"/>
          <w:color w:val="auto"/>
          <w:sz w:val="24"/>
          <w:szCs w:val="24"/>
          <w:highlight w:val="none"/>
        </w:rPr>
        <w:t>市发改委关于充电设施和运营补贴的申报工作。</w:t>
      </w:r>
    </w:p>
    <w:p w14:paraId="35E597A7">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highlight w:val="none"/>
          <w:lang w:eastAsia="zh-CN"/>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lang w:eastAsia="zh-CN"/>
        </w:rPr>
        <w:t>系统（</w:t>
      </w:r>
      <w:r>
        <w:rPr>
          <w:rFonts w:hint="eastAsia" w:ascii="仿宋" w:hAnsi="仿宋" w:eastAsia="仿宋" w:cs="仿宋"/>
          <w:b w:val="0"/>
          <w:bCs w:val="0"/>
          <w:color w:val="auto"/>
          <w:sz w:val="24"/>
          <w:szCs w:val="24"/>
          <w:highlight w:val="none"/>
          <w:lang w:val="en-US" w:eastAsia="zh-CN"/>
        </w:rPr>
        <w:t>包括充电、光伏、储能、道闸等）</w:t>
      </w:r>
      <w:r>
        <w:rPr>
          <w:rFonts w:hint="eastAsia" w:ascii="仿宋" w:hAnsi="仿宋" w:eastAsia="仿宋" w:cs="仿宋"/>
          <w:b w:val="0"/>
          <w:bCs w:val="0"/>
          <w:color w:val="auto"/>
          <w:sz w:val="24"/>
          <w:szCs w:val="24"/>
          <w:highlight w:val="none"/>
          <w:lang w:eastAsia="zh-CN"/>
        </w:rPr>
        <w:t>安装调试完毕后，正常运行60天</w:t>
      </w:r>
      <w:r>
        <w:rPr>
          <w:rFonts w:hint="eastAsia" w:ascii="仿宋" w:hAnsi="仿宋" w:eastAsia="仿宋" w:cs="仿宋"/>
          <w:b w:val="0"/>
          <w:bCs w:val="0"/>
          <w:color w:val="auto"/>
          <w:sz w:val="24"/>
          <w:szCs w:val="24"/>
          <w:highlight w:val="none"/>
          <w:lang w:val="en-US" w:eastAsia="zh-CN"/>
        </w:rPr>
        <w:t>后</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甲方应在随后的10个工作日内完成验收并签署验收报告。若甲方在规定期限内未进行验收、验收合格但未签署验收报告，或已将系统投入使用，则默认为验收合格。</w:t>
      </w:r>
    </w:p>
    <w:p w14:paraId="7D5104B5">
      <w:pPr>
        <w:pageBreakBefore w:val="0"/>
        <w:kinsoku/>
        <w:wordWrap/>
        <w:overflowPunct/>
        <w:topLinePunct w:val="0"/>
        <w:autoSpaceDE/>
        <w:autoSpaceDN/>
        <w:bidi w:val="0"/>
        <w:spacing w:beforeAutospacing="0" w:afterAutospacing="0" w:line="400" w:lineRule="exact"/>
        <w:ind w:left="0" w:right="0"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验收</w:t>
      </w:r>
      <w:r>
        <w:rPr>
          <w:rFonts w:hint="eastAsia" w:ascii="仿宋" w:hAnsi="仿宋" w:eastAsia="仿宋" w:cs="仿宋"/>
          <w:b w:val="0"/>
          <w:bCs w:val="0"/>
          <w:color w:val="auto"/>
          <w:sz w:val="24"/>
          <w:szCs w:val="24"/>
          <w:highlight w:val="none"/>
          <w:lang w:val="en-US" w:eastAsia="zh-CN"/>
        </w:rPr>
        <w:t>时或试运行阶段</w:t>
      </w:r>
      <w:r>
        <w:rPr>
          <w:rFonts w:hint="eastAsia" w:ascii="仿宋" w:hAnsi="仿宋" w:eastAsia="仿宋" w:cs="仿宋"/>
          <w:b w:val="0"/>
          <w:bCs w:val="0"/>
          <w:color w:val="auto"/>
          <w:sz w:val="24"/>
          <w:szCs w:val="24"/>
          <w:highlight w:val="none"/>
        </w:rPr>
        <w:t>，如发现存在</w:t>
      </w:r>
      <w:r>
        <w:rPr>
          <w:rFonts w:hint="eastAsia" w:ascii="仿宋" w:hAnsi="仿宋" w:eastAsia="仿宋" w:cs="仿宋"/>
          <w:b w:val="0"/>
          <w:bCs w:val="0"/>
          <w:color w:val="auto"/>
          <w:sz w:val="24"/>
          <w:szCs w:val="24"/>
          <w:highlight w:val="none"/>
          <w:lang w:val="en-US" w:eastAsia="zh-CN"/>
        </w:rPr>
        <w:t>无法正常运行的情况</w:t>
      </w:r>
      <w:r>
        <w:rPr>
          <w:rFonts w:hint="eastAsia" w:ascii="仿宋" w:hAnsi="仿宋" w:eastAsia="仿宋" w:cs="仿宋"/>
          <w:b w:val="0"/>
          <w:bCs w:val="0"/>
          <w:color w:val="auto"/>
          <w:sz w:val="24"/>
          <w:szCs w:val="24"/>
          <w:highlight w:val="none"/>
        </w:rPr>
        <w:t>，则</w:t>
      </w:r>
      <w:r>
        <w:rPr>
          <w:rFonts w:hint="eastAsia" w:ascii="仿宋" w:hAnsi="仿宋" w:eastAsia="仿宋" w:cs="仿宋"/>
          <w:b w:val="0"/>
          <w:bCs w:val="0"/>
          <w:color w:val="auto"/>
          <w:sz w:val="24"/>
          <w:szCs w:val="24"/>
          <w:highlight w:val="none"/>
          <w:lang w:eastAsia="zh-CN"/>
        </w:rPr>
        <w:t>乙方</w:t>
      </w:r>
      <w:r>
        <w:rPr>
          <w:rFonts w:hint="eastAsia" w:ascii="仿宋" w:hAnsi="仿宋" w:eastAsia="仿宋" w:cs="仿宋"/>
          <w:b w:val="0"/>
          <w:bCs w:val="0"/>
          <w:color w:val="auto"/>
          <w:sz w:val="24"/>
          <w:szCs w:val="24"/>
          <w:highlight w:val="none"/>
        </w:rPr>
        <w:t>应在</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个工作日内完成整改，并再次</w:t>
      </w:r>
      <w:r>
        <w:rPr>
          <w:rFonts w:hint="eastAsia" w:ascii="仿宋" w:hAnsi="仿宋" w:eastAsia="仿宋" w:cs="仿宋"/>
          <w:b w:val="0"/>
          <w:bCs w:val="0"/>
          <w:color w:val="auto"/>
          <w:sz w:val="24"/>
          <w:szCs w:val="24"/>
          <w:highlight w:val="none"/>
          <w:lang w:val="en-US" w:eastAsia="zh-CN"/>
        </w:rPr>
        <w:t>重新进行试运行</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直至试运行完成，并验收合格，</w:t>
      </w:r>
      <w:r>
        <w:rPr>
          <w:rFonts w:hint="eastAsia" w:ascii="仿宋" w:hAnsi="仿宋" w:eastAsia="仿宋" w:cs="仿宋"/>
          <w:b w:val="0"/>
          <w:bCs w:val="0"/>
          <w:color w:val="auto"/>
          <w:sz w:val="24"/>
          <w:szCs w:val="24"/>
          <w:highlight w:val="none"/>
        </w:rPr>
        <w:t>期间发生的一切费用由</w:t>
      </w:r>
      <w:r>
        <w:rPr>
          <w:rFonts w:hint="eastAsia" w:ascii="仿宋" w:hAnsi="仿宋" w:eastAsia="仿宋" w:cs="仿宋"/>
          <w:b w:val="0"/>
          <w:bCs w:val="0"/>
          <w:color w:val="auto"/>
          <w:sz w:val="24"/>
          <w:szCs w:val="24"/>
          <w:highlight w:val="none"/>
          <w:lang w:eastAsia="zh-CN"/>
        </w:rPr>
        <w:t>乙方</w:t>
      </w:r>
      <w:r>
        <w:rPr>
          <w:rFonts w:hint="eastAsia" w:ascii="仿宋" w:hAnsi="仿宋" w:eastAsia="仿宋" w:cs="仿宋"/>
          <w:b w:val="0"/>
          <w:bCs w:val="0"/>
          <w:color w:val="auto"/>
          <w:sz w:val="24"/>
          <w:szCs w:val="24"/>
          <w:highlight w:val="none"/>
        </w:rPr>
        <w:t>承担，</w:t>
      </w:r>
      <w:r>
        <w:rPr>
          <w:rFonts w:hint="eastAsia" w:ascii="仿宋" w:hAnsi="仿宋" w:eastAsia="仿宋" w:cs="仿宋"/>
          <w:b w:val="0"/>
          <w:bCs w:val="0"/>
          <w:color w:val="auto"/>
          <w:sz w:val="24"/>
          <w:szCs w:val="24"/>
          <w:highlight w:val="none"/>
          <w:lang w:eastAsia="zh-CN"/>
        </w:rPr>
        <w:t>甲方</w:t>
      </w:r>
      <w:r>
        <w:rPr>
          <w:rFonts w:hint="eastAsia" w:ascii="仿宋" w:hAnsi="仿宋" w:eastAsia="仿宋" w:cs="仿宋"/>
          <w:b w:val="0"/>
          <w:bCs w:val="0"/>
          <w:color w:val="auto"/>
          <w:sz w:val="24"/>
          <w:szCs w:val="24"/>
          <w:highlight w:val="none"/>
        </w:rPr>
        <w:t>保留向</w:t>
      </w:r>
      <w:r>
        <w:rPr>
          <w:rFonts w:hint="eastAsia" w:ascii="仿宋" w:hAnsi="仿宋" w:eastAsia="仿宋" w:cs="仿宋"/>
          <w:b w:val="0"/>
          <w:bCs w:val="0"/>
          <w:color w:val="auto"/>
          <w:sz w:val="24"/>
          <w:szCs w:val="24"/>
          <w:highlight w:val="none"/>
          <w:lang w:eastAsia="zh-CN"/>
        </w:rPr>
        <w:t>乙方</w:t>
      </w:r>
      <w:r>
        <w:rPr>
          <w:rFonts w:hint="eastAsia" w:ascii="仿宋" w:hAnsi="仿宋" w:eastAsia="仿宋" w:cs="仿宋"/>
          <w:b w:val="0"/>
          <w:bCs w:val="0"/>
          <w:color w:val="auto"/>
          <w:sz w:val="24"/>
          <w:szCs w:val="24"/>
          <w:highlight w:val="none"/>
        </w:rPr>
        <w:t>索赔的权利。</w:t>
      </w:r>
    </w:p>
    <w:p w14:paraId="66139506">
      <w:pPr>
        <w:pageBreakBefore w:val="0"/>
        <w:kinsoku/>
        <w:wordWrap/>
        <w:overflowPunct/>
        <w:topLinePunct w:val="0"/>
        <w:autoSpaceDE/>
        <w:autoSpaceDN/>
        <w:bidi w:val="0"/>
        <w:spacing w:beforeAutospacing="0" w:afterAutospacing="0" w:line="400" w:lineRule="exact"/>
        <w:ind w:left="0" w:righ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7.乙方应负责项目实施配套专题报批(如有)，包括但不限于安全评价、交通组织方案评价等，并承担相应费用。</w:t>
      </w:r>
    </w:p>
    <w:p w14:paraId="3869B7CA">
      <w:pPr>
        <w:pageBreakBefore w:val="0"/>
        <w:kinsoku/>
        <w:wordWrap/>
        <w:overflowPunct/>
        <w:topLinePunct w:val="0"/>
        <w:autoSpaceDE/>
        <w:autoSpaceDN/>
        <w:bidi w:val="0"/>
        <w:spacing w:beforeAutospacing="0" w:afterAutospacing="0" w:line="400" w:lineRule="exact"/>
        <w:ind w:left="0" w:righ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8.项目实施过程中，因乙方原因引起的社会治安、投诉、信访等事件引起的不良影响及产生的相关费用均应由乙方自行承担，并且甲方有权视情况，对乙方进行违约处罚，每发现一次处以5000元/次的违约金。</w:t>
      </w:r>
    </w:p>
    <w:p w14:paraId="71DEA6A0">
      <w:pPr>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9.乙方提交的竣工资料应符合工程所在地城建档案管理规定及甲方的合理要求，至少应包括：</w:t>
      </w:r>
    </w:p>
    <w:p w14:paraId="24476CD5">
      <w:pPr>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（1）竣工图纸及设计变更文件；</w:t>
      </w:r>
    </w:p>
    <w:p w14:paraId="2D529D72">
      <w:pPr>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（2）主要设备、材料的质量合格证明、检测报告及进场记录；</w:t>
      </w:r>
    </w:p>
    <w:p w14:paraId="0F28FBB6">
      <w:pPr>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（3）隐蔽工程验收记录、分部分项工程验收记录；</w:t>
      </w:r>
    </w:p>
    <w:p w14:paraId="2801EC14">
      <w:pPr>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（4）系统调试、试运行记录及报告；</w:t>
      </w:r>
    </w:p>
    <w:p w14:paraId="3F19D7A5">
      <w:pPr>
        <w:spacing w:line="400" w:lineRule="exact"/>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（5）其他项目实施过程中形成的施工资料；</w:t>
      </w:r>
    </w:p>
    <w:p w14:paraId="050AD3C7">
      <w:pPr>
        <w:pStyle w:val="3"/>
        <w:pageBreakBefore w:val="0"/>
        <w:kinsoku/>
        <w:wordWrap/>
        <w:overflowPunct/>
        <w:topLinePunct w:val="0"/>
        <w:autoSpaceDE/>
        <w:autoSpaceDN/>
        <w:bidi w:val="0"/>
        <w:adjustRightInd/>
        <w:snapToGrid w:val="0"/>
        <w:spacing w:before="0" w:beforeAutospacing="0" w:after="0" w:afterAutospacing="0" w:line="400" w:lineRule="exact"/>
        <w:ind w:left="253" w:leftChars="0" w:right="0" w:rightChars="0" w:hanging="253" w:hangingChars="105"/>
        <w:jc w:val="left"/>
        <w:rPr>
          <w:rFonts w:hint="eastAsia" w:ascii="仿宋" w:hAnsi="仿宋" w:eastAsia="仿宋" w:cs="仿宋"/>
          <w:color w:val="auto"/>
          <w:sz w:val="24"/>
          <w:szCs w:val="24"/>
          <w:highlight w:val="none"/>
          <w:lang w:val="en-US"/>
        </w:rPr>
      </w:pPr>
      <w:r>
        <w:rPr>
          <w:rFonts w:hint="eastAsia" w:ascii="仿宋" w:hAnsi="仿宋" w:eastAsia="仿宋" w:cs="仿宋"/>
          <w:b/>
          <w:bCs/>
          <w:color w:val="auto"/>
          <w:sz w:val="24"/>
          <w:szCs w:val="24"/>
          <w:highlight w:val="none"/>
          <w:lang w:val="en-US" w:eastAsia="zh-CN"/>
        </w:rPr>
        <w:t>八</w:t>
      </w:r>
      <w:r>
        <w:rPr>
          <w:rFonts w:hint="eastAsia" w:ascii="仿宋" w:hAnsi="仿宋" w:eastAsia="仿宋" w:cs="仿宋"/>
          <w:color w:val="auto"/>
          <w:sz w:val="24"/>
          <w:szCs w:val="24"/>
          <w:highlight w:val="none"/>
          <w:lang w:val="en-US" w:eastAsia="zh-CN"/>
        </w:rPr>
        <w:t>、付款方式</w:t>
      </w:r>
    </w:p>
    <w:p w14:paraId="22890665">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合同方式：</w:t>
      </w:r>
    </w:p>
    <w:p w14:paraId="26119C99">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本项目</w:t>
      </w:r>
      <w:r>
        <w:rPr>
          <w:rFonts w:hint="eastAsia" w:ascii="仿宋" w:hAnsi="仿宋" w:eastAsia="仿宋" w:cs="仿宋"/>
          <w:color w:val="auto"/>
          <w:sz w:val="24"/>
          <w:szCs w:val="24"/>
          <w:highlight w:val="none"/>
          <w:lang w:eastAsia="zh-CN"/>
        </w:rPr>
        <w:t>合同方式</w:t>
      </w:r>
      <w:r>
        <w:rPr>
          <w:rFonts w:hint="eastAsia" w:ascii="仿宋" w:hAnsi="仿宋" w:eastAsia="仿宋" w:cs="仿宋"/>
          <w:color w:val="auto"/>
          <w:sz w:val="24"/>
          <w:szCs w:val="24"/>
          <w:highlight w:val="none"/>
        </w:rPr>
        <w:t>为固定单价</w:t>
      </w:r>
      <w:r>
        <w:rPr>
          <w:rFonts w:hint="eastAsia" w:ascii="仿宋" w:hAnsi="仿宋" w:eastAsia="仿宋" w:cs="仿宋"/>
          <w:color w:val="auto"/>
          <w:sz w:val="24"/>
          <w:szCs w:val="24"/>
          <w:highlight w:val="none"/>
          <w:lang w:val="en-US" w:eastAsia="zh-CN"/>
        </w:rPr>
        <w:t>及下浮率</w:t>
      </w:r>
      <w:r>
        <w:rPr>
          <w:rFonts w:hint="eastAsia" w:ascii="仿宋" w:hAnsi="仿宋" w:eastAsia="仿宋" w:cs="仿宋"/>
          <w:color w:val="auto"/>
          <w:sz w:val="24"/>
          <w:szCs w:val="24"/>
          <w:highlight w:val="none"/>
        </w:rPr>
        <w:t>。</w:t>
      </w:r>
      <w:r>
        <w:rPr>
          <w:rFonts w:hint="eastAsia" w:ascii="仿宋" w:hAnsi="仿宋" w:eastAsia="仿宋" w:cs="仿宋"/>
          <w:b/>
          <w:bCs/>
          <w:color w:val="auto"/>
          <w:szCs w:val="24"/>
          <w:highlight w:val="none"/>
          <w:lang w:val="en-US"/>
        </w:rPr>
        <w:t>本合同为年度委托合同，包含一个年度中的多个项目</w:t>
      </w:r>
      <w:r>
        <w:rPr>
          <w:rFonts w:hint="eastAsia" w:ascii="仿宋" w:hAnsi="仿宋" w:eastAsia="仿宋" w:cs="仿宋"/>
          <w:b/>
          <w:bCs/>
          <w:color w:val="auto"/>
          <w:sz w:val="24"/>
          <w:szCs w:val="24"/>
          <w:highlight w:val="none"/>
          <w:lang w:val="en-US" w:eastAsia="zh-CN"/>
        </w:rPr>
        <w:t>，每个项目实施前，在甲方提供的单个项目实施指令单预算价基础上进行下浮，具体如下。</w:t>
      </w:r>
    </w:p>
    <w:p w14:paraId="2718FD1F">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snapToGrid w:val="0"/>
          <w:color w:val="auto"/>
          <w:sz w:val="24"/>
          <w:szCs w:val="24"/>
          <w:highlight w:val="none"/>
          <w:lang w:val="en-US" w:eastAsia="zh-CN" w:bidi="ar-SA"/>
        </w:rPr>
        <w:t>单个项目实施指令单预算价</w:t>
      </w:r>
      <w:r>
        <w:rPr>
          <w:rFonts w:hint="eastAsia" w:ascii="仿宋" w:hAnsi="仿宋" w:eastAsia="仿宋" w:cs="仿宋"/>
          <w:b/>
          <w:bCs/>
          <w:color w:val="auto"/>
          <w:sz w:val="24"/>
          <w:szCs w:val="24"/>
          <w:highlight w:val="none"/>
          <w:lang w:val="en-US" w:eastAsia="zh-CN"/>
        </w:rPr>
        <w:t>=投标人设备中标单价×设备数量+安装部分的甲方预算价（含税）×（1-安装部分下浮率）</w:t>
      </w:r>
    </w:p>
    <w:p w14:paraId="79FAD36B">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highlight w:val="none"/>
          <w:lang w:eastAsia="zh-CN"/>
        </w:rPr>
      </w:pPr>
      <w:r>
        <w:rPr>
          <w:rFonts w:hint="eastAsia" w:ascii="仿宋" w:hAnsi="仿宋" w:eastAsia="仿宋" w:cs="仿宋"/>
          <w:b/>
          <w:bCs/>
          <w:color w:val="auto"/>
          <w:sz w:val="24"/>
          <w:szCs w:val="24"/>
          <w:highlight w:val="none"/>
          <w:lang w:val="en-US" w:eastAsia="zh-CN"/>
        </w:rPr>
        <w:t>备注：除所列清单设备外，所有无价材料的预算价均计入安装部分的甲方预算价（含税）。</w:t>
      </w:r>
    </w:p>
    <w:p w14:paraId="241359C0">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核心设备部分按照投标人设备中标单价进行计算。</w:t>
      </w:r>
    </w:p>
    <w:p w14:paraId="080802A2">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安装部分的甲方预算价按照具体的施工图纸中明确内容及现行预算定额和工程量清单计价规则进行计算。信息价采用预算编制月份的《绍兴市造价信息（正刊）》，《绍兴市造价信息（正刊）》中没有的材料套用《浙江造价信息》(正刊)。</w:t>
      </w:r>
    </w:p>
    <w:p w14:paraId="31EDE51C">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2"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其余除所列清单设备外所有的无价材料，预算编制阶段</w:t>
      </w:r>
      <w:r>
        <w:rPr>
          <w:rFonts w:hint="eastAsia" w:ascii="仿宋" w:hAnsi="仿宋" w:eastAsia="仿宋" w:cs="仿宋"/>
          <w:snapToGrid w:val="0"/>
          <w:color w:val="auto"/>
          <w:sz w:val="24"/>
          <w:szCs w:val="24"/>
          <w:highlight w:val="none"/>
          <w:lang w:val="en-US" w:eastAsia="zh-CN" w:bidi="ar-SA"/>
        </w:rPr>
        <w:t>应由甲方、第三方造价咨询单位及监理单位共同进行测定或市场询价，并结合投标报价确定综合单价。项目实施阶段无价材料价格需经甲方、乙方、第三方造价咨询单位及监理单位结合市场询价，按照相关程序签证结算。</w:t>
      </w:r>
    </w:p>
    <w:p w14:paraId="5DBA33E6">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2.付款方式： </w:t>
      </w:r>
    </w:p>
    <w:p w14:paraId="616DD868">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甲方下达单项项目实施指令单后，支付至该单项指令单任务范围内工程造价的30%；</w:t>
      </w:r>
    </w:p>
    <w:p w14:paraId="6B441E45">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完成单项指令单范围内的系统安装、通电调试与验收工作，经校验合格并达到试运行要求后，支付至该单项指令任务范围内工程造价的80%；</w:t>
      </w:r>
    </w:p>
    <w:p w14:paraId="2A7A2F2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在单项项目完成试运行、验收资料齐全且结算审核通过后，支付至相应指令单工程结算价的98.5%；</w:t>
      </w:r>
    </w:p>
    <w:p w14:paraId="7383C85F">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在工程缺陷责任期满（2年）且充电桩设备质保期限满（不少于5年）后，支付至指令任务范围内工程结算价的100%</w:t>
      </w:r>
      <w:r>
        <w:rPr>
          <w:rFonts w:hint="eastAsia" w:ascii="仿宋" w:hAnsi="仿宋" w:eastAsia="仿宋" w:cs="仿宋"/>
          <w:color w:val="auto"/>
          <w:sz w:val="24"/>
          <w:highlight w:val="none"/>
          <w:lang w:val="en-US" w:eastAsia="zh-CN"/>
        </w:rPr>
        <w:t xml:space="preserve"> 。</w:t>
      </w:r>
    </w:p>
    <w:p w14:paraId="6E9A04F9">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备注： </w:t>
      </w:r>
    </w:p>
    <w:p w14:paraId="3EB467BA">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outlineLvl w:val="3"/>
        <w:rPr>
          <w:rFonts w:hint="eastAsia" w:ascii="仿宋" w:hAnsi="仿宋" w:eastAsia="仿宋" w:cs="仿宋"/>
          <w:color w:val="auto"/>
          <w:kern w:val="2"/>
          <w:sz w:val="24"/>
          <w:szCs w:val="24"/>
          <w:highlight w:val="none"/>
          <w:u w:val="single"/>
        </w:rPr>
      </w:pPr>
      <w:r>
        <w:rPr>
          <w:rFonts w:hint="eastAsia" w:ascii="仿宋" w:hAnsi="仿宋" w:eastAsia="仿宋" w:cs="仿宋"/>
          <w:color w:val="auto"/>
          <w:sz w:val="24"/>
          <w:szCs w:val="24"/>
          <w:highlight w:val="none"/>
          <w:lang w:val="en-US" w:eastAsia="zh-CN"/>
        </w:rPr>
        <w:t>指令任务范围内价款以甲方、第三方审计、监理共同审核的价格为准，每笔款项支付前，乙方应向甲方开具</w:t>
      </w:r>
      <w:r>
        <w:rPr>
          <w:rFonts w:hint="eastAsia" w:ascii="仿宋" w:hAnsi="仿宋" w:eastAsia="仿宋" w:cs="仿宋"/>
          <w:color w:val="auto"/>
          <w:sz w:val="24"/>
          <w:szCs w:val="24"/>
          <w:highlight w:val="none"/>
        </w:rPr>
        <w:t>增值税专用发票</w:t>
      </w:r>
      <w:r>
        <w:rPr>
          <w:rFonts w:hint="eastAsia" w:ascii="仿宋" w:hAnsi="仿宋" w:eastAsia="仿宋" w:cs="仿宋"/>
          <w:color w:val="auto"/>
          <w:sz w:val="24"/>
          <w:szCs w:val="24"/>
          <w:highlight w:val="none"/>
          <w:lang w:val="en-US" w:eastAsia="zh-CN"/>
        </w:rPr>
        <w:t>。</w:t>
      </w:r>
    </w:p>
    <w:p w14:paraId="5024388A">
      <w:pPr>
        <w:pStyle w:val="34"/>
        <w:pageBreakBefore w:val="0"/>
        <w:kinsoku/>
        <w:wordWrap/>
        <w:overflowPunct/>
        <w:topLinePunct w:val="0"/>
        <w:autoSpaceDE/>
        <w:autoSpaceDN/>
        <w:bidi w:val="0"/>
        <w:adjustRightInd/>
        <w:snapToGrid w:val="0"/>
        <w:spacing w:beforeAutospacing="0" w:afterAutospacing="0" w:line="400" w:lineRule="exact"/>
        <w:ind w:left="0" w:right="0" w:rightChars="0" w:firstLine="241" w:firstLineChars="100"/>
        <w:outlineLvl w:val="2"/>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九</w:t>
      </w:r>
      <w:r>
        <w:rPr>
          <w:rFonts w:hint="eastAsia" w:ascii="仿宋" w:hAnsi="仿宋" w:eastAsia="仿宋" w:cs="仿宋"/>
          <w:b/>
          <w:bCs/>
          <w:color w:val="auto"/>
          <w:sz w:val="24"/>
          <w:szCs w:val="24"/>
          <w:highlight w:val="none"/>
        </w:rPr>
        <w:t>、</w:t>
      </w:r>
      <w:r>
        <w:rPr>
          <w:rFonts w:hint="eastAsia" w:ascii="仿宋" w:hAnsi="仿宋" w:eastAsia="仿宋" w:cs="仿宋"/>
          <w:b/>
          <w:color w:val="auto"/>
          <w:sz w:val="24"/>
          <w:szCs w:val="24"/>
          <w:highlight w:val="none"/>
        </w:rPr>
        <w:t>履约保证金</w:t>
      </w:r>
    </w:p>
    <w:p w14:paraId="12FDC039">
      <w:pPr>
        <w:pStyle w:val="24"/>
        <w:pageBreakBefore w:val="0"/>
        <w:kinsoku/>
        <w:wordWrap/>
        <w:overflowPunct/>
        <w:topLinePunct w:val="0"/>
        <w:autoSpaceDE/>
        <w:autoSpaceDN/>
        <w:bidi w:val="0"/>
        <w:adjustRightInd/>
        <w:snapToGrid w:val="0"/>
        <w:spacing w:beforeAutospacing="0" w:afterAutospacing="0" w:line="400" w:lineRule="exact"/>
        <w:ind w:left="0" w:leftChars="0" w:right="0" w:righ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乙方</w:t>
      </w:r>
      <w:r>
        <w:rPr>
          <w:rFonts w:hint="eastAsia" w:ascii="仿宋" w:hAnsi="仿宋" w:eastAsia="仿宋" w:cs="仿宋"/>
          <w:b/>
          <w:bCs/>
          <w:color w:val="auto"/>
          <w:sz w:val="24"/>
          <w:szCs w:val="24"/>
          <w:highlight w:val="none"/>
        </w:rPr>
        <w:t>在收到中标通知书后、签订合同前，需向</w:t>
      </w:r>
      <w:r>
        <w:rPr>
          <w:rFonts w:hint="eastAsia" w:ascii="仿宋" w:hAnsi="仿宋" w:eastAsia="仿宋" w:cs="仿宋"/>
          <w:b/>
          <w:bCs/>
          <w:color w:val="auto"/>
          <w:sz w:val="24"/>
          <w:szCs w:val="24"/>
          <w:highlight w:val="none"/>
          <w:lang w:eastAsia="zh-CN"/>
        </w:rPr>
        <w:t>甲方</w:t>
      </w:r>
      <w:r>
        <w:rPr>
          <w:rFonts w:hint="eastAsia" w:ascii="仿宋" w:hAnsi="仿宋" w:eastAsia="仿宋" w:cs="仿宋"/>
          <w:b/>
          <w:bCs/>
          <w:color w:val="auto"/>
          <w:sz w:val="24"/>
          <w:szCs w:val="24"/>
          <w:highlight w:val="none"/>
        </w:rPr>
        <w:t>提供</w:t>
      </w:r>
      <w:r>
        <w:rPr>
          <w:rFonts w:hint="eastAsia" w:ascii="仿宋" w:hAnsi="仿宋" w:eastAsia="仿宋" w:cs="仿宋"/>
          <w:b/>
          <w:bCs/>
          <w:color w:val="auto"/>
          <w:sz w:val="24"/>
          <w:szCs w:val="24"/>
          <w:highlight w:val="none"/>
          <w:lang w:val="en-US" w:eastAsia="zh-CN"/>
        </w:rPr>
        <w:t>20万元</w:t>
      </w:r>
      <w:r>
        <w:rPr>
          <w:rFonts w:hint="eastAsia" w:ascii="仿宋" w:hAnsi="仿宋" w:eastAsia="仿宋" w:cs="仿宋"/>
          <w:b/>
          <w:bCs/>
          <w:color w:val="auto"/>
          <w:sz w:val="24"/>
          <w:szCs w:val="24"/>
          <w:highlight w:val="none"/>
        </w:rPr>
        <w:t>的履约保证金。</w:t>
      </w:r>
    </w:p>
    <w:p w14:paraId="1D00517E">
      <w:pPr>
        <w:pStyle w:val="24"/>
        <w:pageBreakBefore w:val="0"/>
        <w:kinsoku/>
        <w:wordWrap/>
        <w:overflowPunct/>
        <w:topLinePunct w:val="0"/>
        <w:autoSpaceDE/>
        <w:autoSpaceDN/>
        <w:bidi w:val="0"/>
        <w:adjustRightInd/>
        <w:snapToGrid w:val="0"/>
        <w:spacing w:beforeAutospacing="0" w:afterAutospacing="0" w:line="400" w:lineRule="exact"/>
        <w:ind w:left="0" w:leftChars="0" w:right="0" w:righ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形式：</w:t>
      </w:r>
      <w:r>
        <w:rPr>
          <w:rFonts w:hint="eastAsia" w:ascii="仿宋" w:hAnsi="仿宋" w:eastAsia="仿宋" w:cs="仿宋"/>
          <w:b/>
          <w:bCs/>
          <w:color w:val="auto"/>
          <w:sz w:val="24"/>
          <w:szCs w:val="24"/>
          <w:highlight w:val="none"/>
        </w:rPr>
        <w:t>现金、支票、汇票、转账、银行保函、融资担保公司保函或者保险机构保证、保险、保单。</w:t>
      </w:r>
    </w:p>
    <w:p w14:paraId="4BA5B24F">
      <w:pPr>
        <w:pStyle w:val="24"/>
        <w:pageBreakBefore w:val="0"/>
        <w:tabs>
          <w:tab w:val="left" w:pos="630"/>
        </w:tabs>
        <w:kinsoku/>
        <w:wordWrap/>
        <w:overflowPunct/>
        <w:topLinePunct w:val="0"/>
        <w:autoSpaceDE/>
        <w:autoSpaceDN/>
        <w:bidi w:val="0"/>
        <w:adjustRightInd/>
        <w:snapToGrid w:val="0"/>
        <w:spacing w:beforeAutospacing="0" w:afterAutospacing="0" w:line="400" w:lineRule="exact"/>
        <w:ind w:left="0" w:leftChars="0" w:right="0" w:rightChars="0"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期限：</w:t>
      </w:r>
      <w:r>
        <w:rPr>
          <w:rFonts w:hint="eastAsia" w:ascii="仿宋" w:hAnsi="仿宋" w:eastAsia="仿宋" w:cs="仿宋"/>
          <w:b/>
          <w:bCs/>
          <w:color w:val="auto"/>
          <w:sz w:val="24"/>
          <w:szCs w:val="24"/>
          <w:highlight w:val="none"/>
        </w:rPr>
        <w:t>履约保证金在</w:t>
      </w:r>
      <w:r>
        <w:rPr>
          <w:rFonts w:hint="eastAsia" w:ascii="仿宋" w:hAnsi="仿宋" w:eastAsia="仿宋" w:cs="仿宋"/>
          <w:b/>
          <w:bCs/>
          <w:color w:val="auto"/>
          <w:sz w:val="24"/>
          <w:szCs w:val="24"/>
          <w:highlight w:val="none"/>
          <w:lang w:val="en-US" w:eastAsia="zh-CN"/>
        </w:rPr>
        <w:t>年度全部</w:t>
      </w:r>
      <w:r>
        <w:rPr>
          <w:rFonts w:hint="eastAsia" w:ascii="仿宋" w:hAnsi="仿宋" w:eastAsia="仿宋" w:cs="仿宋"/>
          <w:b/>
          <w:bCs/>
          <w:color w:val="auto"/>
          <w:sz w:val="24"/>
          <w:szCs w:val="24"/>
          <w:highlight w:val="none"/>
        </w:rPr>
        <w:t>项目验收合格后无息返还</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采用保函形式的，在验收合格后且无异议情况下自动解除</w:t>
      </w:r>
      <w:r>
        <w:rPr>
          <w:rFonts w:hint="eastAsia" w:ascii="仿宋" w:hAnsi="仿宋" w:eastAsia="仿宋" w:cs="仿宋"/>
          <w:b/>
          <w:bCs/>
          <w:color w:val="auto"/>
          <w:sz w:val="24"/>
          <w:szCs w:val="24"/>
          <w:highlight w:val="none"/>
          <w:lang w:eastAsia="zh-CN"/>
        </w:rPr>
        <w:t>）</w:t>
      </w:r>
    </w:p>
    <w:p w14:paraId="40C491DD">
      <w:pPr>
        <w:pStyle w:val="24"/>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w:t>
      </w:r>
      <w:r>
        <w:rPr>
          <w:rFonts w:hint="eastAsia" w:ascii="仿宋" w:hAnsi="仿宋" w:eastAsia="仿宋" w:cs="仿宋"/>
          <w:color w:val="auto"/>
          <w:sz w:val="24"/>
          <w:szCs w:val="24"/>
          <w:highlight w:val="none"/>
          <w:lang w:eastAsia="zh-CN"/>
        </w:rPr>
        <w:t>以</w:t>
      </w:r>
      <w:r>
        <w:rPr>
          <w:rFonts w:hint="eastAsia" w:ascii="仿宋" w:hAnsi="仿宋" w:eastAsia="仿宋" w:cs="仿宋"/>
          <w:color w:val="auto"/>
          <w:sz w:val="24"/>
          <w:szCs w:val="24"/>
          <w:highlight w:val="none"/>
        </w:rPr>
        <w:t>保函</w:t>
      </w:r>
      <w:r>
        <w:rPr>
          <w:rFonts w:hint="eastAsia" w:ascii="仿宋" w:hAnsi="仿宋" w:eastAsia="仿宋" w:cs="仿宋"/>
          <w:color w:val="auto"/>
          <w:sz w:val="24"/>
          <w:szCs w:val="24"/>
          <w:highlight w:val="none"/>
          <w:lang w:eastAsia="zh-CN"/>
        </w:rPr>
        <w:t>形式提交履约保证金</w:t>
      </w:r>
      <w:r>
        <w:rPr>
          <w:rFonts w:hint="eastAsia" w:ascii="仿宋" w:hAnsi="仿宋" w:eastAsia="仿宋" w:cs="仿宋"/>
          <w:color w:val="auto"/>
          <w:sz w:val="24"/>
          <w:szCs w:val="24"/>
          <w:highlight w:val="none"/>
        </w:rPr>
        <w:t>（保函有效期180天，如180天未完成验收合格，</w:t>
      </w:r>
      <w:r>
        <w:rPr>
          <w:rFonts w:hint="eastAsia" w:ascii="仿宋" w:hAnsi="仿宋" w:eastAsia="仿宋" w:cs="仿宋"/>
          <w:color w:val="auto"/>
          <w:sz w:val="24"/>
          <w:szCs w:val="24"/>
          <w:highlight w:val="none"/>
          <w:lang w:eastAsia="zh-CN"/>
        </w:rPr>
        <w:t>乙方</w:t>
      </w:r>
      <w:r>
        <w:rPr>
          <w:rFonts w:hint="eastAsia" w:ascii="仿宋" w:hAnsi="仿宋" w:eastAsia="仿宋" w:cs="仿宋"/>
          <w:color w:val="auto"/>
          <w:sz w:val="24"/>
          <w:szCs w:val="24"/>
          <w:highlight w:val="none"/>
        </w:rPr>
        <w:t>办理履约保证金延期），若保函到期，但</w:t>
      </w:r>
      <w:r>
        <w:rPr>
          <w:rFonts w:hint="eastAsia" w:ascii="仿宋" w:hAnsi="仿宋" w:eastAsia="仿宋" w:cs="仿宋"/>
          <w:color w:val="auto"/>
          <w:sz w:val="24"/>
          <w:szCs w:val="24"/>
          <w:highlight w:val="none"/>
          <w:lang w:eastAsia="zh-CN"/>
        </w:rPr>
        <w:t>本项目</w:t>
      </w:r>
      <w:r>
        <w:rPr>
          <w:rFonts w:hint="eastAsia" w:ascii="仿宋" w:hAnsi="仿宋" w:eastAsia="仿宋" w:cs="仿宋"/>
          <w:color w:val="auto"/>
          <w:sz w:val="24"/>
          <w:szCs w:val="24"/>
          <w:highlight w:val="none"/>
        </w:rPr>
        <w:t>仍未竣工验收，</w:t>
      </w:r>
      <w:r>
        <w:rPr>
          <w:rFonts w:hint="eastAsia" w:ascii="仿宋" w:hAnsi="仿宋" w:eastAsia="仿宋" w:cs="仿宋"/>
          <w:color w:val="auto"/>
          <w:sz w:val="24"/>
          <w:szCs w:val="24"/>
          <w:highlight w:val="none"/>
          <w:lang w:eastAsia="zh-CN"/>
        </w:rPr>
        <w:t>乙方</w:t>
      </w:r>
      <w:r>
        <w:rPr>
          <w:rFonts w:hint="eastAsia" w:ascii="仿宋" w:hAnsi="仿宋" w:eastAsia="仿宋" w:cs="仿宋"/>
          <w:color w:val="auto"/>
          <w:sz w:val="24"/>
          <w:szCs w:val="24"/>
          <w:highlight w:val="none"/>
        </w:rPr>
        <w:t>应及时续保。未及时续保造成保函脱保需向建设单位缴纳违约金</w:t>
      </w:r>
      <w:r>
        <w:rPr>
          <w:rFonts w:hint="eastAsia" w:ascii="仿宋" w:hAnsi="仿宋" w:eastAsia="仿宋" w:cs="仿宋"/>
          <w:color w:val="auto"/>
          <w:sz w:val="24"/>
          <w:szCs w:val="24"/>
          <w:highlight w:val="none"/>
          <w:lang w:eastAsia="zh-CN"/>
        </w:rPr>
        <w:t>。(违约金：履约保函金额×脱保时间段的七天通知存款基准利率/360×脱保天数)。</w:t>
      </w:r>
    </w:p>
    <w:p w14:paraId="085C6182">
      <w:pPr>
        <w:pageBreakBefore w:val="0"/>
        <w:kinsoku/>
        <w:wordWrap/>
        <w:overflowPunct/>
        <w:topLinePunct w:val="0"/>
        <w:autoSpaceDE/>
        <w:autoSpaceDN/>
        <w:bidi w:val="0"/>
        <w:adjustRightInd/>
        <w:snapToGrid w:val="0"/>
        <w:spacing w:beforeAutospacing="0" w:afterAutospacing="0" w:line="400" w:lineRule="exact"/>
        <w:ind w:left="0" w:right="0" w:rightChars="0" w:firstLine="241" w:firstLineChars="100"/>
        <w:jc w:val="left"/>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十、结算及变更</w:t>
      </w:r>
    </w:p>
    <w:p w14:paraId="694AD263">
      <w:pPr>
        <w:pStyle w:val="62"/>
        <w:pageBreakBefore w:val="0"/>
        <w:kinsoku/>
        <w:wordWrap/>
        <w:overflowPunct/>
        <w:topLinePunct w:val="0"/>
        <w:autoSpaceDE/>
        <w:autoSpaceDN/>
        <w:bidi w:val="0"/>
        <w:adjustRightInd/>
        <w:snapToGrid w:val="0"/>
        <w:spacing w:beforeAutospacing="0" w:after="0" w:afterAutospacing="0" w:line="400" w:lineRule="exact"/>
        <w:ind w:left="0" w:leftChars="0" w:right="0" w:rightChars="0" w:firstLine="480" w:firstLineChars="200"/>
        <w:outlineLvl w:val="1"/>
        <w:rPr>
          <w:rFonts w:hint="eastAsia" w:ascii="仿宋" w:hAnsi="仿宋" w:eastAsia="仿宋" w:cs="仿宋"/>
          <w:b/>
          <w:bCs/>
          <w:color w:val="auto"/>
          <w:sz w:val="24"/>
          <w:szCs w:val="24"/>
          <w:highlight w:val="none"/>
          <w:lang w:val="en-US" w:eastAsia="zh-CN"/>
        </w:rPr>
      </w:pPr>
      <w:r>
        <w:rPr>
          <w:rFonts w:hint="eastAsia" w:ascii="仿宋" w:hAnsi="仿宋" w:eastAsia="仿宋" w:cs="仿宋"/>
          <w:snapToGrid w:val="0"/>
          <w:color w:val="auto"/>
          <w:sz w:val="24"/>
          <w:szCs w:val="24"/>
          <w:highlight w:val="none"/>
          <w:lang w:val="en-US" w:eastAsia="zh-CN" w:bidi="ar-SA"/>
        </w:rPr>
        <w:t>1.</w:t>
      </w:r>
      <w:r>
        <w:rPr>
          <w:rFonts w:hint="eastAsia" w:ascii="仿宋" w:hAnsi="仿宋" w:eastAsia="仿宋" w:cs="仿宋"/>
          <w:snapToGrid w:val="0"/>
          <w:szCs w:val="24"/>
          <w:highlight w:val="none"/>
          <w:lang w:val="en-US"/>
        </w:rPr>
        <w:t>单个项目的</w:t>
      </w:r>
      <w:r>
        <w:rPr>
          <w:rFonts w:hint="eastAsia" w:ascii="仿宋" w:hAnsi="仿宋" w:eastAsia="仿宋" w:cs="仿宋"/>
          <w:snapToGrid w:val="0"/>
          <w:color w:val="auto"/>
          <w:sz w:val="24"/>
          <w:szCs w:val="24"/>
          <w:highlight w:val="none"/>
          <w:lang w:val="en-US" w:eastAsia="zh-CN" w:bidi="ar-SA"/>
        </w:rPr>
        <w:t>结算价</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snapToGrid w:val="0"/>
          <w:color w:val="auto"/>
          <w:sz w:val="24"/>
          <w:szCs w:val="24"/>
          <w:highlight w:val="none"/>
          <w:lang w:val="en-US" w:eastAsia="zh-CN" w:bidi="ar-SA"/>
        </w:rPr>
        <w:t>单个</w:t>
      </w:r>
      <w:r>
        <w:rPr>
          <w:rFonts w:hint="eastAsia" w:ascii="仿宋" w:hAnsi="仿宋" w:eastAsia="仿宋" w:cs="仿宋"/>
          <w:color w:val="auto"/>
          <w:sz w:val="24"/>
          <w:szCs w:val="24"/>
          <w:highlight w:val="none"/>
          <w:lang w:val="en-US" w:eastAsia="zh-CN"/>
        </w:rPr>
        <w:t>项目实施</w:t>
      </w:r>
      <w:r>
        <w:rPr>
          <w:rFonts w:hint="eastAsia" w:ascii="仿宋" w:hAnsi="仿宋" w:eastAsia="仿宋" w:cs="仿宋"/>
          <w:snapToGrid w:val="0"/>
          <w:color w:val="auto"/>
          <w:sz w:val="24"/>
          <w:szCs w:val="24"/>
          <w:highlight w:val="none"/>
          <w:lang w:val="en-US" w:eastAsia="zh-CN" w:bidi="ar-SA"/>
        </w:rPr>
        <w:t>指令单造价</w:t>
      </w:r>
      <w:r>
        <w:rPr>
          <w:rFonts w:hint="eastAsia" w:ascii="仿宋" w:hAnsi="仿宋" w:eastAsia="仿宋" w:cs="仿宋"/>
          <w:b/>
          <w:bCs/>
          <w:color w:val="auto"/>
          <w:sz w:val="24"/>
          <w:szCs w:val="24"/>
          <w:highlight w:val="none"/>
          <w:lang w:val="en-US" w:eastAsia="zh-CN"/>
        </w:rPr>
        <w:t>+变更部分价格</w:t>
      </w:r>
    </w:p>
    <w:p w14:paraId="325F7CBC">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2.变更</w:t>
      </w:r>
    </w:p>
    <w:p w14:paraId="04E14356">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①合同中有适用综合单价的，按原综合单价；</w:t>
      </w:r>
    </w:p>
    <w:p w14:paraId="0F8970E1">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②合同中没有适用的综合单价，但有类似的项目综合单价，可参照类似项目综合单价确定；</w:t>
      </w:r>
    </w:p>
    <w:p w14:paraId="7F190600">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③合同中没有适用的综合单价也没有类似的项目综合单价，应有乙方根据相关资料提出变更项目的单价，并应报甲方确认后调整。</w:t>
      </w:r>
    </w:p>
    <w:p w14:paraId="66ED466C">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a.有定额的或施工工艺类似定额的：按照招标控制价编制规则中的计价口径，并按中标下浮率下浮后进行结算。b.无定额的：由甲方、乙方、第三方造价咨询单位及监理单位结合市场询价，按照相关签证程序确定综合单价进行结算）</w:t>
      </w:r>
    </w:p>
    <w:p w14:paraId="1501A05D">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2.工程变更引起施工方案改变并使措施项目发生变化时，措施项目费的调整：</w:t>
      </w:r>
    </w:p>
    <w:p w14:paraId="1A72652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①采用综合单价计价的措施项目，按上述方法调整；</w:t>
      </w:r>
    </w:p>
    <w:p w14:paraId="21091D5A">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②采用以“项”计价的技术措施项目，工程量清单项目及工程数量变化引起措施变动部分应重新组价；</w:t>
      </w:r>
    </w:p>
    <w:p w14:paraId="5199F58C">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③施工组织措施项目按合同约定的费率内容调整相关措施费用。</w:t>
      </w:r>
    </w:p>
    <w:p w14:paraId="1F0E1901">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1"/>
        <w:rPr>
          <w:rFonts w:hint="eastAsia" w:ascii="仿宋" w:hAnsi="仿宋" w:eastAsia="仿宋" w:cs="仿宋"/>
          <w:snapToGrid w:val="0"/>
          <w:color w:val="auto"/>
          <w:sz w:val="24"/>
          <w:szCs w:val="24"/>
          <w:highlight w:val="none"/>
          <w:lang w:val="en-US" w:eastAsia="zh-CN" w:bidi="ar-SA"/>
        </w:rPr>
      </w:pPr>
      <w:r>
        <w:rPr>
          <w:rFonts w:hint="eastAsia" w:ascii="仿宋" w:hAnsi="仿宋" w:eastAsia="仿宋" w:cs="仿宋"/>
          <w:snapToGrid w:val="0"/>
          <w:color w:val="auto"/>
          <w:sz w:val="24"/>
          <w:szCs w:val="24"/>
          <w:highlight w:val="none"/>
          <w:lang w:val="en-US" w:eastAsia="zh-CN" w:bidi="ar-SA"/>
        </w:rPr>
        <w:t>3、</w:t>
      </w:r>
      <w:r>
        <w:rPr>
          <w:rFonts w:hint="eastAsia" w:ascii="仿宋" w:hAnsi="仿宋" w:eastAsia="仿宋" w:cs="仿宋"/>
          <w:snapToGrid w:val="0"/>
          <w:color w:val="auto"/>
          <w:sz w:val="24"/>
          <w:highlight w:val="none"/>
          <w:lang w:val="en-US" w:eastAsia="zh-CN"/>
        </w:rPr>
        <w:t>工程量变更幅度在10%以内执行原单价，工程量变更超过10%的条款，由甲乙双方协商确认后再进行变更。</w:t>
      </w:r>
    </w:p>
    <w:p w14:paraId="2C8F2C34">
      <w:pPr>
        <w:pageBreakBefore w:val="0"/>
        <w:kinsoku/>
        <w:wordWrap/>
        <w:overflowPunct/>
        <w:topLinePunct w:val="0"/>
        <w:autoSpaceDE/>
        <w:autoSpaceDN/>
        <w:bidi w:val="0"/>
        <w:adjustRightInd/>
        <w:snapToGrid w:val="0"/>
        <w:spacing w:beforeAutospacing="0" w:afterAutospacing="0" w:line="400" w:lineRule="exact"/>
        <w:ind w:left="0" w:right="0" w:rightChars="0" w:firstLine="241" w:firstLineChars="100"/>
        <w:jc w:val="left"/>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、合同修改</w:t>
      </w:r>
    </w:p>
    <w:p w14:paraId="0FFA752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1.甲乙双方的任何一方对合同内容提出修改，均应</w:t>
      </w:r>
      <w:r>
        <w:rPr>
          <w:rFonts w:hint="eastAsia" w:ascii="仿宋" w:hAnsi="仿宋" w:eastAsia="仿宋" w:cs="仿宋"/>
          <w:color w:val="auto"/>
          <w:sz w:val="24"/>
          <w:szCs w:val="24"/>
          <w:highlight w:val="none"/>
          <w:lang w:val="en-US" w:eastAsia="zh-CN"/>
        </w:rPr>
        <w:t>至少提前3个工作日</w:t>
      </w:r>
      <w:r>
        <w:rPr>
          <w:rFonts w:hint="eastAsia" w:ascii="仿宋" w:hAnsi="仿宋" w:eastAsia="仿宋" w:cs="仿宋"/>
          <w:color w:val="auto"/>
          <w:sz w:val="24"/>
          <w:szCs w:val="24"/>
          <w:highlight w:val="none"/>
        </w:rPr>
        <w:t>以书面形式通知对方，并达成由双方签署的合同修改书。</w:t>
      </w:r>
    </w:p>
    <w:p w14:paraId="14005A1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2.除甲方对设备的型号、规格和涉及价格因素的技术参数和配套件提出修改外，乙方不得对合同价格提出修改要求。</w:t>
      </w:r>
    </w:p>
    <w:p w14:paraId="1D4F2B04">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3.甲方因设计施工变更设备的型号、规格和数量，乙方应承诺多退少补，并及时供货保证施工进度需要。</w:t>
      </w:r>
    </w:p>
    <w:p w14:paraId="7E614765">
      <w:pPr>
        <w:pageBreakBefore w:val="0"/>
        <w:kinsoku/>
        <w:wordWrap/>
        <w:overflowPunct/>
        <w:topLinePunct w:val="0"/>
        <w:autoSpaceDE/>
        <w:autoSpaceDN/>
        <w:bidi w:val="0"/>
        <w:adjustRightInd/>
        <w:snapToGrid w:val="0"/>
        <w:spacing w:beforeAutospacing="0" w:afterAutospacing="0" w:line="400" w:lineRule="exact"/>
        <w:ind w:left="0" w:right="0" w:rightChars="0" w:firstLine="241" w:firstLineChars="100"/>
        <w:jc w:val="left"/>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rPr>
        <w:t>、违约责任</w:t>
      </w:r>
    </w:p>
    <w:p w14:paraId="56B05C24">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1.设备质量责任</w:t>
      </w:r>
    </w:p>
    <w:p w14:paraId="0373DA14">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在设备质量保证期内，凡设备在开箱检验、安装调试、设备试运行过程中发现的设备质量问题，由乙方负责处理，实行包修、包换、包退，直至设备符合质量要求，乙方同时承担修理、调换、退货发生的一切费用及其他由此引起的经济损失。</w:t>
      </w:r>
    </w:p>
    <w:p w14:paraId="4525DD27">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szCs w:val="24"/>
          <w:highlight w:val="none"/>
        </w:rPr>
      </w:pPr>
      <w:r>
        <w:rPr>
          <w:rFonts w:hint="eastAsia" w:ascii="仿宋" w:hAnsi="仿宋" w:eastAsia="仿宋" w:cs="仿宋"/>
          <w:b w:val="0"/>
          <w:bCs w:val="0"/>
          <w:color w:val="auto"/>
          <w:kern w:val="2"/>
          <w:sz w:val="24"/>
          <w:szCs w:val="24"/>
          <w:highlight w:val="none"/>
          <w:lang w:val="en-US" w:eastAsia="zh-CN" w:bidi="ar-SA"/>
        </w:rPr>
        <w:t>（2）由于甲方保管不善或使用不当造成设备短缺、故障或损坏，由甲方负责，但乙方保证及时</w:t>
      </w:r>
      <w:r>
        <w:rPr>
          <w:rFonts w:hint="eastAsia" w:ascii="仿宋" w:hAnsi="仿宋" w:eastAsia="仿宋" w:cs="仿宋"/>
          <w:color w:val="auto"/>
          <w:sz w:val="24"/>
          <w:szCs w:val="24"/>
          <w:highlight w:val="none"/>
        </w:rPr>
        <w:t>给予补齐或修复。</w:t>
      </w:r>
    </w:p>
    <w:p w14:paraId="05ED58C1">
      <w:pPr>
        <w:pStyle w:val="2"/>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rPr>
        <w:t>（3）</w:t>
      </w:r>
      <w:r>
        <w:rPr>
          <w:rFonts w:hint="eastAsia" w:ascii="仿宋" w:hAnsi="仿宋" w:eastAsia="仿宋" w:cs="仿宋"/>
          <w:b w:val="0"/>
          <w:color w:val="auto"/>
          <w:sz w:val="24"/>
          <w:szCs w:val="24"/>
          <w:highlight w:val="none"/>
        </w:rPr>
        <w:t>乙方</w:t>
      </w:r>
      <w:r>
        <w:rPr>
          <w:rFonts w:hint="eastAsia" w:ascii="仿宋" w:hAnsi="仿宋" w:eastAsia="仿宋" w:cs="仿宋"/>
          <w:b w:val="0"/>
          <w:bCs/>
          <w:color w:val="auto"/>
          <w:sz w:val="24"/>
          <w:szCs w:val="24"/>
          <w:highlight w:val="none"/>
        </w:rPr>
        <w:t>未能在</w:t>
      </w:r>
      <w:r>
        <w:rPr>
          <w:rFonts w:hint="eastAsia" w:ascii="仿宋" w:hAnsi="仿宋" w:eastAsia="仿宋" w:cs="仿宋"/>
          <w:b w:val="0"/>
          <w:bCs/>
          <w:color w:val="auto"/>
          <w:sz w:val="24"/>
          <w:szCs w:val="24"/>
          <w:highlight w:val="none"/>
          <w:lang w:val="en-US" w:eastAsia="zh-CN"/>
        </w:rPr>
        <w:t>项目实施</w:t>
      </w:r>
      <w:r>
        <w:rPr>
          <w:rFonts w:hint="eastAsia" w:ascii="仿宋" w:hAnsi="仿宋" w:eastAsia="仿宋" w:cs="仿宋"/>
          <w:b w:val="0"/>
          <w:bCs/>
          <w:color w:val="auto"/>
          <w:sz w:val="24"/>
          <w:szCs w:val="24"/>
          <w:highlight w:val="none"/>
        </w:rPr>
        <w:t>指令任务</w:t>
      </w:r>
      <w:r>
        <w:rPr>
          <w:rFonts w:hint="eastAsia" w:ascii="仿宋" w:hAnsi="仿宋" w:eastAsia="仿宋" w:cs="仿宋"/>
          <w:b w:val="0"/>
          <w:bCs/>
          <w:color w:val="auto"/>
          <w:sz w:val="24"/>
          <w:szCs w:val="24"/>
          <w:highlight w:val="none"/>
          <w:lang w:val="en-US" w:eastAsia="zh-CN"/>
        </w:rPr>
        <w:t>单</w:t>
      </w:r>
      <w:r>
        <w:rPr>
          <w:rFonts w:hint="eastAsia" w:ascii="仿宋" w:hAnsi="仿宋" w:eastAsia="仿宋" w:cs="仿宋"/>
          <w:b w:val="0"/>
          <w:bCs/>
          <w:color w:val="auto"/>
          <w:sz w:val="24"/>
          <w:szCs w:val="24"/>
          <w:highlight w:val="none"/>
        </w:rPr>
        <w:t>规定期限或甲方同意延长的期限内交付全部或部分设备且在收到甲方的违约通知后7天内未能纠正其过失的，甲方有权终止全部或部分合同。</w:t>
      </w:r>
      <w:r>
        <w:rPr>
          <w:rFonts w:hint="eastAsia" w:ascii="仿宋" w:hAnsi="仿宋" w:eastAsia="仿宋" w:cs="仿宋"/>
          <w:b w:val="0"/>
          <w:color w:val="auto"/>
          <w:sz w:val="24"/>
          <w:szCs w:val="24"/>
          <w:highlight w:val="none"/>
        </w:rPr>
        <w:t>乙方</w:t>
      </w:r>
      <w:r>
        <w:rPr>
          <w:rFonts w:hint="eastAsia" w:ascii="仿宋" w:hAnsi="仿宋" w:eastAsia="仿宋" w:cs="仿宋"/>
          <w:b w:val="0"/>
          <w:bCs/>
          <w:color w:val="auto"/>
          <w:sz w:val="24"/>
          <w:szCs w:val="24"/>
          <w:highlight w:val="none"/>
        </w:rPr>
        <w:t>应继续履行合同中未终止部分。在甲方提出终止部分合同的情况下，不免除</w:t>
      </w:r>
      <w:r>
        <w:rPr>
          <w:rFonts w:hint="eastAsia" w:ascii="仿宋" w:hAnsi="仿宋" w:eastAsia="仿宋" w:cs="仿宋"/>
          <w:b w:val="0"/>
          <w:color w:val="auto"/>
          <w:sz w:val="24"/>
          <w:szCs w:val="24"/>
          <w:highlight w:val="none"/>
        </w:rPr>
        <w:t>乙方</w:t>
      </w:r>
      <w:r>
        <w:rPr>
          <w:rFonts w:hint="eastAsia" w:ascii="仿宋" w:hAnsi="仿宋" w:eastAsia="仿宋" w:cs="仿宋"/>
          <w:b w:val="0"/>
          <w:bCs/>
          <w:color w:val="auto"/>
          <w:sz w:val="24"/>
          <w:szCs w:val="24"/>
          <w:highlight w:val="none"/>
        </w:rPr>
        <w:t>对已交货部分设备应负的设备质量责任。</w:t>
      </w:r>
    </w:p>
    <w:p w14:paraId="1B41F7E8">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outlineLvl w:val="2"/>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2.违约赔偿</w:t>
      </w:r>
    </w:p>
    <w:p w14:paraId="19DDB9FD">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（1）因乙方违约造成终止合同，则乙方应按</w:t>
      </w:r>
      <w:r>
        <w:rPr>
          <w:rFonts w:hint="eastAsia" w:ascii="仿宋" w:hAnsi="仿宋" w:eastAsia="仿宋" w:cs="仿宋"/>
          <w:snapToGrid w:val="0"/>
          <w:color w:val="auto"/>
          <w:sz w:val="24"/>
          <w:szCs w:val="24"/>
          <w:highlight w:val="none"/>
          <w:lang w:val="en-US" w:eastAsia="zh-CN" w:bidi="ar-SA"/>
        </w:rPr>
        <w:t>单个项目实施指令单</w:t>
      </w:r>
      <w:r>
        <w:rPr>
          <w:rFonts w:hint="eastAsia" w:ascii="仿宋" w:hAnsi="仿宋" w:eastAsia="仿宋" w:cs="仿宋"/>
          <w:b w:val="0"/>
          <w:bCs w:val="0"/>
          <w:color w:val="auto"/>
          <w:kern w:val="2"/>
          <w:sz w:val="24"/>
          <w:szCs w:val="24"/>
          <w:highlight w:val="none"/>
          <w:lang w:val="en-US" w:eastAsia="zh-CN" w:bidi="ar-SA"/>
        </w:rPr>
        <w:t>总价的20%向甲方赔付违约金；若因乙方违约造成终止合同，对甲方造成的损失超过违约金数额的，乙方应按实际产生的损失赔付违约金。</w:t>
      </w:r>
    </w:p>
    <w:p w14:paraId="6F9719A4">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（2）经双方协商同意延期交付和经双方友好协商同意退货且无需罚款者不承担违约责任。</w:t>
      </w:r>
    </w:p>
    <w:p w14:paraId="43DA456A">
      <w:pPr>
        <w:ind w:firstLine="480" w:firstLineChars="200"/>
        <w:rPr>
          <w:rFonts w:hint="eastAsia" w:ascii="仿宋" w:hAnsi="仿宋" w:eastAsia="仿宋" w:cs="仿宋"/>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（3）</w:t>
      </w:r>
      <w:r>
        <w:rPr>
          <w:rFonts w:hint="eastAsia" w:ascii="仿宋" w:hAnsi="仿宋" w:eastAsia="仿宋" w:cs="仿宋"/>
          <w:b w:val="0"/>
          <w:bCs w:val="0"/>
          <w:color w:val="auto"/>
          <w:sz w:val="24"/>
          <w:szCs w:val="24"/>
          <w:highlight w:val="none"/>
          <w:lang w:val="en-US" w:eastAsia="zh-CN"/>
        </w:rPr>
        <w:t>若乙方未能按计划及时组建团队人员，甲方有权收取 3000 元/天的违约金。在具体项目实施指令单执行期间，项目负责人及技术负责人不</w:t>
      </w:r>
      <w:r>
        <w:rPr>
          <w:rFonts w:hint="eastAsia" w:ascii="仿宋" w:hAnsi="仿宋" w:eastAsia="仿宋" w:cs="仿宋"/>
          <w:b w:val="0"/>
          <w:bCs w:val="0"/>
          <w:color w:val="auto"/>
          <w:kern w:val="2"/>
          <w:sz w:val="24"/>
          <w:szCs w:val="24"/>
          <w:highlight w:val="none"/>
          <w:lang w:val="en-US" w:eastAsia="zh-CN" w:bidi="ar-SA"/>
        </w:rPr>
        <w:t>得更换，</w:t>
      </w:r>
      <w:r>
        <w:rPr>
          <w:rFonts w:hint="eastAsia" w:ascii="仿宋" w:hAnsi="仿宋" w:eastAsia="仿宋" w:cs="仿宋"/>
          <w:b w:val="0"/>
          <w:bCs w:val="0"/>
          <w:color w:val="auto"/>
          <w:sz w:val="24"/>
          <w:szCs w:val="24"/>
          <w:highlight w:val="none"/>
          <w:lang w:val="en-US" w:eastAsia="zh-CN"/>
        </w:rPr>
        <w:t>否则甲方有权收取 20000 元/人的违约金</w:t>
      </w:r>
      <w:r>
        <w:rPr>
          <w:rFonts w:hint="eastAsia" w:ascii="仿宋" w:hAnsi="仿宋" w:eastAsia="仿宋" w:cs="仿宋"/>
          <w:b w:val="0"/>
          <w:bCs w:val="0"/>
          <w:color w:val="auto"/>
          <w:kern w:val="2"/>
          <w:sz w:val="24"/>
          <w:szCs w:val="24"/>
          <w:highlight w:val="none"/>
          <w:lang w:val="en-US" w:eastAsia="zh-CN" w:bidi="ar-SA"/>
        </w:rPr>
        <w:t>，且乙方需立即更换新的项目负责人及技术负责人</w:t>
      </w:r>
      <w:r>
        <w:rPr>
          <w:rFonts w:hint="eastAsia" w:ascii="仿宋" w:hAnsi="仿宋" w:eastAsia="仿宋" w:cs="仿宋"/>
          <w:b w:val="0"/>
          <w:bCs w:val="0"/>
          <w:color w:val="auto"/>
          <w:sz w:val="24"/>
          <w:szCs w:val="24"/>
          <w:highlight w:val="none"/>
          <w:lang w:val="en-US" w:eastAsia="zh-CN"/>
        </w:rPr>
        <w:t>。</w:t>
      </w:r>
      <w:r>
        <w:rPr>
          <w:rFonts w:hint="eastAsia" w:ascii="仿宋" w:hAnsi="仿宋" w:eastAsia="仿宋" w:cs="仿宋"/>
          <w:b w:val="0"/>
          <w:bCs w:val="0"/>
          <w:color w:val="auto"/>
          <w:kern w:val="2"/>
          <w:sz w:val="24"/>
          <w:szCs w:val="24"/>
          <w:highlight w:val="none"/>
          <w:lang w:val="en-US" w:eastAsia="zh-CN" w:bidi="ar-SA"/>
        </w:rPr>
        <w:t>现场实施人员应按照甲方及监理单位的要求进行考勤，若未按要求到岗，每发现一次，每人</w:t>
      </w:r>
      <w:r>
        <w:rPr>
          <w:rFonts w:hint="eastAsia" w:ascii="仿宋" w:hAnsi="仿宋" w:eastAsia="仿宋" w:cs="仿宋"/>
          <w:b w:val="0"/>
          <w:bCs w:val="0"/>
          <w:color w:val="auto"/>
          <w:sz w:val="24"/>
          <w:szCs w:val="24"/>
          <w:highlight w:val="none"/>
          <w:lang w:val="en-US" w:eastAsia="zh-CN"/>
        </w:rPr>
        <w:t>每天扣除 1000 元的违约金，违约金从履约保证金中扣除。</w:t>
      </w:r>
      <w:r>
        <w:rPr>
          <w:rFonts w:hint="eastAsia" w:ascii="仿宋" w:hAnsi="仿宋" w:eastAsia="仿宋" w:cs="仿宋"/>
          <w:b w:val="0"/>
          <w:color w:val="auto"/>
          <w:sz w:val="24"/>
          <w:szCs w:val="24"/>
          <w:highlight w:val="none"/>
          <w:lang w:val="en-US" w:eastAsia="zh-CN"/>
        </w:rPr>
        <w:t>若在一年内出现此类情况超过三次，甲方有权终止合同</w:t>
      </w:r>
      <w:r>
        <w:rPr>
          <w:rFonts w:hint="eastAsia" w:ascii="仿宋" w:hAnsi="仿宋" w:eastAsia="仿宋" w:cs="仿宋"/>
          <w:b w:val="0"/>
          <w:bCs w:val="0"/>
          <w:color w:val="auto"/>
          <w:sz w:val="24"/>
          <w:szCs w:val="24"/>
          <w:highlight w:val="none"/>
          <w:lang w:val="en-US" w:eastAsia="zh-CN"/>
        </w:rPr>
        <w:t xml:space="preserve">。 </w:t>
      </w:r>
    </w:p>
    <w:p w14:paraId="46480D2B">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（4）</w:t>
      </w:r>
      <w:r>
        <w:rPr>
          <w:rFonts w:hint="eastAsia" w:ascii="仿宋" w:hAnsi="仿宋" w:eastAsia="仿宋" w:cs="仿宋"/>
          <w:color w:val="auto"/>
          <w:sz w:val="24"/>
          <w:szCs w:val="24"/>
          <w:highlight w:val="none"/>
          <w:lang w:eastAsia="zh-CN"/>
        </w:rPr>
        <w:t>在质保期内，乙方应确保所</w:t>
      </w:r>
      <w:r>
        <w:rPr>
          <w:rFonts w:hint="eastAsia" w:ascii="仿宋" w:hAnsi="仿宋" w:eastAsia="仿宋" w:cs="仿宋"/>
          <w:color w:val="auto"/>
          <w:sz w:val="24"/>
          <w:szCs w:val="24"/>
          <w:highlight w:val="none"/>
          <w:lang w:val="en-US" w:eastAsia="zh-CN"/>
        </w:rPr>
        <w:t>提供产品的正常使用。乙方需在接到甲方维修要求后15分钟内作出回应，并在2小时内提供具体的修复方案。修复方案中乙方应明确具体完成修复的时间</w:t>
      </w:r>
      <w:r>
        <w:rPr>
          <w:rFonts w:hint="eastAsia" w:ascii="仿宋" w:hAnsi="仿宋" w:eastAsia="仿宋" w:cs="仿宋"/>
          <w:b w:val="0"/>
          <w:bCs w:val="0"/>
          <w:color w:val="auto"/>
          <w:kern w:val="2"/>
          <w:sz w:val="24"/>
          <w:szCs w:val="24"/>
          <w:highlight w:val="none"/>
          <w:lang w:val="en-US" w:eastAsia="zh-CN" w:bidi="ar-SA"/>
        </w:rPr>
        <w:t>(修复时间最长不得超过48小时）</w:t>
      </w:r>
      <w:r>
        <w:rPr>
          <w:rFonts w:hint="eastAsia" w:ascii="仿宋" w:hAnsi="仿宋" w:eastAsia="仿宋" w:cs="仿宋"/>
          <w:color w:val="auto"/>
          <w:sz w:val="24"/>
          <w:szCs w:val="24"/>
          <w:highlight w:val="none"/>
          <w:lang w:val="en-US" w:eastAsia="zh-CN"/>
        </w:rPr>
        <w:t>、故障原因等内容。如未能在修复方案明确的时间内完成设备修复，甲方可委托第三方进行维修，所产生的费用由乙方承担，并从乙方处扣除违约金，每次扣除5000元违约金</w:t>
      </w:r>
      <w:r>
        <w:rPr>
          <w:rFonts w:hint="eastAsia" w:ascii="仿宋" w:hAnsi="仿宋" w:eastAsia="仿宋" w:cs="仿宋"/>
          <w:b w:val="0"/>
          <w:bCs w:val="0"/>
          <w:color w:val="auto"/>
          <w:kern w:val="2"/>
          <w:sz w:val="24"/>
          <w:szCs w:val="24"/>
          <w:highlight w:val="none"/>
          <w:lang w:val="en-US" w:eastAsia="zh-CN" w:bidi="ar-SA"/>
        </w:rPr>
        <w:t>，具体支付方式由双方协商确定</w:t>
      </w:r>
      <w:r>
        <w:rPr>
          <w:rFonts w:hint="eastAsia" w:ascii="仿宋" w:hAnsi="仿宋" w:eastAsia="仿宋" w:cs="仿宋"/>
          <w:color w:val="auto"/>
          <w:sz w:val="24"/>
          <w:szCs w:val="24"/>
          <w:highlight w:val="none"/>
          <w:lang w:val="en-US" w:eastAsia="zh-CN"/>
        </w:rPr>
        <w:t>。</w:t>
      </w:r>
    </w:p>
    <w:p w14:paraId="0BFCC9D7">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（5）</w:t>
      </w:r>
      <w:r>
        <w:rPr>
          <w:rFonts w:hint="eastAsia" w:ascii="仿宋" w:hAnsi="仿宋" w:eastAsia="仿宋" w:cs="仿宋"/>
          <w:color w:val="auto"/>
          <w:sz w:val="24"/>
          <w:szCs w:val="24"/>
          <w:highlight w:val="none"/>
          <w:lang w:val="en-US" w:eastAsia="zh-CN"/>
        </w:rPr>
        <w:t>乙方每次检修完成后3个工作日内，</w:t>
      </w:r>
      <w:r>
        <w:rPr>
          <w:rFonts w:hint="eastAsia" w:ascii="仿宋" w:hAnsi="仿宋" w:eastAsia="仿宋" w:cs="仿宋"/>
          <w:i w:val="0"/>
          <w:iCs w:val="0"/>
          <w:caps w:val="0"/>
          <w:color w:val="auto"/>
          <w:spacing w:val="0"/>
          <w:sz w:val="24"/>
          <w:szCs w:val="24"/>
          <w:highlight w:val="none"/>
          <w:shd w:val="clear"/>
        </w:rPr>
        <w:t>未能向</w:t>
      </w:r>
      <w:r>
        <w:rPr>
          <w:rFonts w:hint="eastAsia" w:ascii="仿宋" w:hAnsi="仿宋" w:eastAsia="仿宋" w:cs="仿宋"/>
          <w:color w:val="auto"/>
          <w:sz w:val="24"/>
          <w:szCs w:val="24"/>
          <w:highlight w:val="none"/>
          <w:lang w:val="en-US" w:eastAsia="zh-CN"/>
        </w:rPr>
        <w:t>甲方提交详尽的检修报告（报告应至少包含巡检项目、发现的问题、处理措施、维保记录、现场照片等基本信息），</w:t>
      </w:r>
      <w:r>
        <w:rPr>
          <w:rFonts w:hint="eastAsia" w:ascii="仿宋" w:hAnsi="仿宋" w:eastAsia="仿宋" w:cs="仿宋"/>
          <w:i w:val="0"/>
          <w:iCs w:val="0"/>
          <w:caps w:val="0"/>
          <w:color w:val="auto"/>
          <w:spacing w:val="0"/>
          <w:sz w:val="24"/>
          <w:szCs w:val="24"/>
          <w:highlight w:val="none"/>
          <w:shd w:val="clear"/>
        </w:rPr>
        <w:t>每发生一次，应向甲方支付人民币</w:t>
      </w:r>
      <w:r>
        <w:rPr>
          <w:rFonts w:hint="eastAsia" w:ascii="仿宋" w:hAnsi="仿宋" w:eastAsia="仿宋" w:cs="仿宋"/>
          <w:i w:val="0"/>
          <w:iCs w:val="0"/>
          <w:caps w:val="0"/>
          <w:color w:val="auto"/>
          <w:spacing w:val="0"/>
          <w:sz w:val="24"/>
          <w:szCs w:val="24"/>
          <w:highlight w:val="none"/>
          <w:shd w:val="clear"/>
          <w:lang w:eastAsia="zh-CN"/>
        </w:rPr>
        <w:t>1</w:t>
      </w:r>
      <w:r>
        <w:rPr>
          <w:rFonts w:hint="eastAsia" w:ascii="仿宋" w:hAnsi="仿宋" w:eastAsia="仿宋" w:cs="仿宋"/>
          <w:i w:val="0"/>
          <w:iCs w:val="0"/>
          <w:caps w:val="0"/>
          <w:color w:val="auto"/>
          <w:spacing w:val="0"/>
          <w:sz w:val="24"/>
          <w:szCs w:val="24"/>
          <w:highlight w:val="none"/>
          <w:shd w:val="clear"/>
          <w:lang w:val="en-US" w:eastAsia="zh-CN"/>
        </w:rPr>
        <w:t>000</w:t>
      </w:r>
      <w:r>
        <w:rPr>
          <w:rFonts w:hint="eastAsia" w:ascii="仿宋" w:hAnsi="仿宋" w:eastAsia="仿宋" w:cs="仿宋"/>
          <w:i w:val="0"/>
          <w:iCs w:val="0"/>
          <w:caps w:val="0"/>
          <w:color w:val="auto"/>
          <w:spacing w:val="0"/>
          <w:sz w:val="24"/>
          <w:szCs w:val="24"/>
          <w:highlight w:val="none"/>
          <w:shd w:val="clear"/>
        </w:rPr>
        <w:t>元作为违约金</w:t>
      </w:r>
      <w:r>
        <w:rPr>
          <w:rFonts w:hint="eastAsia" w:ascii="仿宋" w:hAnsi="仿宋" w:eastAsia="仿宋" w:cs="仿宋"/>
          <w:b w:val="0"/>
          <w:bCs w:val="0"/>
          <w:color w:val="auto"/>
          <w:kern w:val="2"/>
          <w:sz w:val="24"/>
          <w:szCs w:val="24"/>
          <w:highlight w:val="none"/>
          <w:lang w:val="en-US" w:eastAsia="zh-CN" w:bidi="ar-SA"/>
        </w:rPr>
        <w:t>，具体支付方式由双方协商确定</w:t>
      </w:r>
      <w:r>
        <w:rPr>
          <w:rFonts w:hint="eastAsia" w:ascii="仿宋" w:hAnsi="仿宋" w:eastAsia="仿宋" w:cs="仿宋"/>
          <w:i w:val="0"/>
          <w:iCs w:val="0"/>
          <w:caps w:val="0"/>
          <w:color w:val="auto"/>
          <w:spacing w:val="0"/>
          <w:sz w:val="24"/>
          <w:szCs w:val="24"/>
          <w:highlight w:val="none"/>
          <w:shd w:val="clear"/>
        </w:rPr>
        <w:t>。报告内容严重失实或缺失关键信息的，视为未提交</w:t>
      </w:r>
      <w:r>
        <w:rPr>
          <w:rFonts w:hint="eastAsia" w:ascii="仿宋" w:hAnsi="仿宋" w:eastAsia="仿宋" w:cs="仿宋"/>
          <w:color w:val="auto"/>
          <w:sz w:val="24"/>
          <w:szCs w:val="24"/>
          <w:highlight w:val="none"/>
          <w:lang w:val="en-US" w:eastAsia="zh-CN"/>
        </w:rPr>
        <w:t>。该服务期限与设备质保期限保持一致。</w:t>
      </w:r>
    </w:p>
    <w:p w14:paraId="313E0B7E">
      <w:pPr>
        <w:pageBreakBefore w:val="0"/>
        <w:kinsoku/>
        <w:wordWrap/>
        <w:overflowPunct/>
        <w:topLinePunct w:val="0"/>
        <w:autoSpaceDE/>
        <w:autoSpaceDN/>
        <w:bidi w:val="0"/>
        <w:adjustRightInd/>
        <w:snapToGrid w:val="0"/>
        <w:spacing w:beforeAutospacing="0" w:afterAutospacing="0" w:line="400" w:lineRule="exact"/>
        <w:ind w:left="0" w:leftChars="0" w:right="0" w:rightChars="0" w:firstLine="480" w:firstLineChars="200"/>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b w:val="0"/>
          <w:bCs w:val="0"/>
          <w:color w:val="auto"/>
          <w:sz w:val="24"/>
          <w:szCs w:val="24"/>
          <w:highlight w:val="none"/>
          <w:lang w:val="en-US"/>
        </w:rPr>
        <w:t>因乙方运维服务不到位、未及时发现或排除隐患，导致充电场站设备设施损坏、发生安全事故、影响正常运营或造成第三方人身财产损失的，乙方应负责在合理期限内修复、恢复运营，并承担全部赔偿责任。</w:t>
      </w:r>
    </w:p>
    <w:p w14:paraId="0B6ECD19">
      <w:pPr>
        <w:snapToGrid w:val="0"/>
        <w:spacing w:line="400" w:lineRule="exact"/>
        <w:ind w:left="0" w:firstLine="480" w:firstLineChars="200"/>
        <w:rPr>
          <w:rFonts w:hint="eastAsia" w:ascii="仿宋" w:hAnsi="仿宋" w:eastAsia="仿宋" w:cs="仿宋"/>
          <w:highlight w:val="none"/>
          <w:lang w:val="en-US" w:eastAsia="zh-CN"/>
        </w:rPr>
      </w:pPr>
      <w:r>
        <w:rPr>
          <w:rFonts w:hint="eastAsia" w:ascii="仿宋" w:hAnsi="仿宋" w:eastAsia="仿宋" w:cs="仿宋"/>
          <w:b w:val="0"/>
          <w:bCs w:val="0"/>
          <w:color w:val="auto"/>
          <w:kern w:val="2"/>
          <w:sz w:val="24"/>
          <w:szCs w:val="24"/>
          <w:highlight w:val="none"/>
          <w:lang w:val="en-US" w:eastAsia="zh-CN" w:bidi="ar-SA"/>
        </w:rPr>
        <w:t>（6）</w:t>
      </w:r>
      <w:r>
        <w:rPr>
          <w:rFonts w:hint="eastAsia" w:ascii="仿宋" w:hAnsi="仿宋" w:eastAsia="仿宋" w:cs="仿宋"/>
          <w:color w:val="auto"/>
          <w:kern w:val="2"/>
          <w:sz w:val="24"/>
          <w:highlight w:val="none"/>
          <w:u w:val="none"/>
        </w:rPr>
        <w:t>工程竣工后，</w:t>
      </w:r>
      <w:r>
        <w:rPr>
          <w:rFonts w:hint="eastAsia" w:ascii="仿宋" w:hAnsi="仿宋" w:eastAsia="仿宋" w:cs="仿宋"/>
          <w:color w:val="auto"/>
          <w:kern w:val="2"/>
          <w:sz w:val="24"/>
          <w:highlight w:val="none"/>
          <w:u w:val="none"/>
          <w:lang w:eastAsia="zh-CN"/>
        </w:rPr>
        <w:t>乙方</w:t>
      </w:r>
      <w:r>
        <w:rPr>
          <w:rFonts w:hint="eastAsia" w:ascii="仿宋" w:hAnsi="仿宋" w:eastAsia="仿宋" w:cs="仿宋"/>
          <w:color w:val="auto"/>
          <w:kern w:val="2"/>
          <w:sz w:val="24"/>
          <w:highlight w:val="none"/>
          <w:u w:val="none"/>
        </w:rPr>
        <w:t>应书面通知</w:t>
      </w:r>
      <w:r>
        <w:rPr>
          <w:rFonts w:hint="eastAsia" w:ascii="仿宋" w:hAnsi="仿宋" w:eastAsia="仿宋" w:cs="仿宋"/>
          <w:color w:val="auto"/>
          <w:kern w:val="2"/>
          <w:sz w:val="24"/>
          <w:highlight w:val="none"/>
          <w:u w:val="none"/>
          <w:lang w:eastAsia="zh-CN"/>
        </w:rPr>
        <w:t>甲方</w:t>
      </w:r>
      <w:r>
        <w:rPr>
          <w:rFonts w:hint="eastAsia" w:ascii="仿宋" w:hAnsi="仿宋" w:eastAsia="仿宋" w:cs="仿宋"/>
          <w:color w:val="auto"/>
          <w:kern w:val="2"/>
          <w:sz w:val="24"/>
          <w:highlight w:val="none"/>
          <w:u w:val="none"/>
        </w:rPr>
        <w:t>及监理验收，</w:t>
      </w:r>
      <w:r>
        <w:rPr>
          <w:rFonts w:hint="eastAsia" w:ascii="仿宋" w:hAnsi="仿宋" w:eastAsia="仿宋" w:cs="仿宋"/>
          <w:color w:val="auto"/>
          <w:kern w:val="2"/>
          <w:sz w:val="24"/>
          <w:highlight w:val="none"/>
          <w:u w:val="none"/>
          <w:lang w:eastAsia="zh-CN"/>
        </w:rPr>
        <w:t>乙方</w:t>
      </w:r>
      <w:r>
        <w:rPr>
          <w:rFonts w:hint="eastAsia" w:ascii="仿宋" w:hAnsi="仿宋" w:eastAsia="仿宋" w:cs="仿宋"/>
          <w:color w:val="auto"/>
          <w:kern w:val="2"/>
          <w:sz w:val="24"/>
          <w:highlight w:val="none"/>
          <w:u w:val="none"/>
        </w:rPr>
        <w:t>在工程竣工之日起15个工作日内及时</w:t>
      </w:r>
      <w:r>
        <w:rPr>
          <w:rFonts w:hint="eastAsia" w:ascii="仿宋" w:hAnsi="仿宋" w:eastAsia="仿宋" w:cs="仿宋"/>
          <w:color w:val="auto"/>
          <w:kern w:val="2"/>
          <w:sz w:val="24"/>
          <w:highlight w:val="none"/>
          <w:u w:val="none"/>
          <w:lang w:val="en-US" w:eastAsia="zh-CN"/>
        </w:rPr>
        <w:t>向甲方</w:t>
      </w:r>
      <w:r>
        <w:rPr>
          <w:rFonts w:hint="eastAsia" w:ascii="仿宋" w:hAnsi="仿宋" w:eastAsia="仿宋" w:cs="仿宋"/>
          <w:color w:val="auto"/>
          <w:kern w:val="2"/>
          <w:sz w:val="24"/>
          <w:highlight w:val="none"/>
          <w:u w:val="none"/>
        </w:rPr>
        <w:t>提供符合规范性要求的竣工图及全部竣工资料</w:t>
      </w:r>
      <w:r>
        <w:rPr>
          <w:rFonts w:hint="eastAsia" w:ascii="仿宋" w:hAnsi="仿宋" w:eastAsia="仿宋" w:cs="仿宋"/>
          <w:i w:val="0"/>
          <w:iCs w:val="0"/>
          <w:caps w:val="0"/>
          <w:color w:val="auto"/>
          <w:spacing w:val="0"/>
          <w:kern w:val="2"/>
          <w:sz w:val="24"/>
          <w:szCs w:val="24"/>
          <w:highlight w:val="none"/>
          <w:u w:val="none"/>
          <w:shd w:val="clear"/>
        </w:rPr>
        <w:t>（包括但不限于竣工图、设备资料、测试报告、验收记录等</w:t>
      </w:r>
      <w:r>
        <w:rPr>
          <w:rFonts w:hint="eastAsia" w:ascii="仿宋" w:hAnsi="仿宋" w:eastAsia="仿宋" w:cs="仿宋"/>
          <w:i w:val="0"/>
          <w:iCs w:val="0"/>
          <w:caps w:val="0"/>
          <w:color w:val="auto"/>
          <w:spacing w:val="0"/>
          <w:kern w:val="2"/>
          <w:sz w:val="24"/>
          <w:szCs w:val="24"/>
          <w:highlight w:val="none"/>
          <w:u w:val="none"/>
          <w:shd w:val="clear"/>
          <w:lang w:eastAsia="zh-CN"/>
        </w:rPr>
        <w:t>）。</w:t>
      </w:r>
      <w:r>
        <w:rPr>
          <w:rFonts w:hint="eastAsia" w:ascii="仿宋" w:hAnsi="仿宋" w:eastAsia="仿宋" w:cs="仿宋"/>
          <w:color w:val="auto"/>
          <w:kern w:val="2"/>
          <w:sz w:val="24"/>
          <w:highlight w:val="none"/>
          <w:u w:val="none"/>
        </w:rPr>
        <w:t>若乙方未能在上述期限内提交竣工资料，每逾期一日，应向甲方支付</w:t>
      </w:r>
      <w:r>
        <w:rPr>
          <w:rFonts w:hint="eastAsia" w:ascii="仿宋" w:hAnsi="仿宋" w:eastAsia="仿宋" w:cs="仿宋"/>
          <w:color w:val="auto"/>
          <w:kern w:val="2"/>
          <w:sz w:val="24"/>
          <w:highlight w:val="none"/>
          <w:u w:val="none"/>
          <w:lang w:val="en-US" w:eastAsia="zh-CN"/>
        </w:rPr>
        <w:t>单项</w:t>
      </w:r>
      <w:r>
        <w:rPr>
          <w:rFonts w:hint="eastAsia" w:ascii="仿宋" w:hAnsi="仿宋" w:eastAsia="仿宋" w:cs="仿宋"/>
          <w:color w:val="auto"/>
          <w:kern w:val="2"/>
          <w:sz w:val="24"/>
          <w:highlight w:val="none"/>
          <w:u w:val="none"/>
        </w:rPr>
        <w:t>项目</w:t>
      </w:r>
      <w:r>
        <w:rPr>
          <w:rFonts w:hint="eastAsia" w:ascii="仿宋" w:hAnsi="仿宋" w:eastAsia="仿宋" w:cs="仿宋"/>
          <w:color w:val="auto"/>
          <w:sz w:val="24"/>
          <w:szCs w:val="24"/>
          <w:highlight w:val="none"/>
          <w:lang w:val="en-US" w:eastAsia="zh-CN"/>
        </w:rPr>
        <w:t>项目实施</w:t>
      </w:r>
      <w:r>
        <w:rPr>
          <w:rFonts w:hint="eastAsia" w:ascii="仿宋" w:hAnsi="仿宋" w:eastAsia="仿宋" w:cs="仿宋"/>
          <w:color w:val="auto"/>
          <w:kern w:val="2"/>
          <w:sz w:val="24"/>
          <w:highlight w:val="none"/>
          <w:u w:val="none"/>
        </w:rPr>
        <w:t>指令单结算总价千分之一的违约金。但此项违约金总额以</w:t>
      </w:r>
      <w:r>
        <w:rPr>
          <w:rFonts w:hint="eastAsia" w:ascii="仿宋" w:hAnsi="仿宋" w:eastAsia="仿宋" w:cs="仿宋"/>
          <w:color w:val="auto"/>
          <w:kern w:val="2"/>
          <w:sz w:val="24"/>
          <w:highlight w:val="none"/>
          <w:u w:val="none"/>
          <w:lang w:val="en-US" w:eastAsia="zh-CN"/>
        </w:rPr>
        <w:t>单项</w:t>
      </w:r>
      <w:r>
        <w:rPr>
          <w:rFonts w:hint="eastAsia" w:ascii="仿宋" w:hAnsi="仿宋" w:eastAsia="仿宋" w:cs="仿宋"/>
          <w:color w:val="auto"/>
          <w:kern w:val="2"/>
          <w:sz w:val="24"/>
          <w:highlight w:val="none"/>
          <w:u w:val="none"/>
        </w:rPr>
        <w:t>项目</w:t>
      </w:r>
      <w:r>
        <w:rPr>
          <w:rFonts w:hint="eastAsia" w:ascii="仿宋" w:hAnsi="仿宋" w:eastAsia="仿宋" w:cs="仿宋"/>
          <w:color w:val="auto"/>
          <w:sz w:val="24"/>
          <w:szCs w:val="24"/>
          <w:highlight w:val="none"/>
          <w:lang w:val="en-US" w:eastAsia="zh-CN"/>
        </w:rPr>
        <w:t>实施</w:t>
      </w:r>
      <w:r>
        <w:rPr>
          <w:rFonts w:hint="eastAsia" w:ascii="仿宋" w:hAnsi="仿宋" w:eastAsia="仿宋" w:cs="仿宋"/>
          <w:color w:val="auto"/>
          <w:kern w:val="2"/>
          <w:sz w:val="24"/>
          <w:highlight w:val="none"/>
          <w:u w:val="none"/>
        </w:rPr>
        <w:t>指令单结算总价的2%为上限。</w:t>
      </w:r>
    </w:p>
    <w:p w14:paraId="654D91C2">
      <w:pPr>
        <w:pageBreakBefore w:val="0"/>
        <w:kinsoku/>
        <w:wordWrap/>
        <w:overflowPunct/>
        <w:topLinePunct w:val="0"/>
        <w:autoSpaceDE/>
        <w:autoSpaceDN/>
        <w:bidi w:val="0"/>
        <w:adjustRightInd/>
        <w:snapToGrid w:val="0"/>
        <w:spacing w:beforeAutospacing="0" w:afterAutospacing="0" w:line="400" w:lineRule="exact"/>
        <w:ind w:left="0" w:right="0" w:rightChars="0" w:firstLine="241" w:firstLineChars="100"/>
        <w:jc w:val="left"/>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rPr>
        <w:t>、安全责任</w:t>
      </w:r>
    </w:p>
    <w:p w14:paraId="79FBDE81">
      <w:pPr>
        <w:pStyle w:val="59"/>
        <w:pageBreakBefore w:val="0"/>
        <w:kinsoku/>
        <w:wordWrap/>
        <w:overflowPunct/>
        <w:topLinePunct w:val="0"/>
        <w:autoSpaceDE/>
        <w:autoSpaceDN/>
        <w:bidi w:val="0"/>
        <w:adjustRightInd/>
        <w:snapToGrid w:val="0"/>
        <w:spacing w:before="0" w:beforeAutospacing="0" w:afterAutospacing="0" w:line="400" w:lineRule="exact"/>
        <w:ind w:left="0" w:right="0"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0"/>
          <w:sz w:val="24"/>
          <w:szCs w:val="24"/>
          <w:highlight w:val="none"/>
          <w:lang w:eastAsia="zh-CN"/>
        </w:rPr>
        <w:t>1、乙方在实施作业期间，必须做好安全生产工作。实施过程中，必须严格按照安全程序进行，</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0"/>
          <w:sz w:val="24"/>
          <w:szCs w:val="24"/>
          <w:highlight w:val="none"/>
          <w:lang w:eastAsia="zh-CN"/>
        </w:rPr>
        <w:t>同时应做好加强安全教育和安全监督，确保不出现各类安全事故。接受行业监督人员依法实施的 检查和监督，乙方在所属现场在施工期间，所发生的一切安全问题和治安问题由乙方负责。</w:t>
      </w:r>
    </w:p>
    <w:p w14:paraId="49AE46DE">
      <w:pPr>
        <w:pStyle w:val="59"/>
        <w:pageBreakBefore w:val="0"/>
        <w:kinsoku/>
        <w:wordWrap/>
        <w:overflowPunct/>
        <w:topLinePunct w:val="0"/>
        <w:autoSpaceDE/>
        <w:autoSpaceDN/>
        <w:bidi w:val="0"/>
        <w:adjustRightInd/>
        <w:snapToGrid w:val="0"/>
        <w:spacing w:before="0" w:beforeAutospacing="0" w:afterAutospacing="0" w:line="400" w:lineRule="exact"/>
        <w:ind w:left="0" w:right="0"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0"/>
          <w:sz w:val="24"/>
          <w:szCs w:val="24"/>
          <w:highlight w:val="none"/>
          <w:lang w:eastAsia="zh-CN"/>
        </w:rPr>
        <w:t>2、乙方在实施过程中应采取必要的安全防护和消防措施，保障作业人员及出入施工现场人员</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0"/>
          <w:sz w:val="24"/>
          <w:szCs w:val="24"/>
          <w:highlight w:val="none"/>
          <w:lang w:eastAsia="zh-CN"/>
        </w:rPr>
        <w:t>的安全。乙方应为施工人员办理所需的工伤等保险，费用由乙方自行负责。</w:t>
      </w:r>
    </w:p>
    <w:p w14:paraId="179F3E9B">
      <w:pPr>
        <w:pStyle w:val="59"/>
        <w:pageBreakBefore w:val="0"/>
        <w:kinsoku/>
        <w:wordWrap/>
        <w:overflowPunct/>
        <w:topLinePunct w:val="0"/>
        <w:autoSpaceDE/>
        <w:autoSpaceDN/>
        <w:bidi w:val="0"/>
        <w:adjustRightInd/>
        <w:snapToGrid w:val="0"/>
        <w:spacing w:before="0" w:beforeAutospacing="0" w:afterAutospacing="0" w:line="400" w:lineRule="exact"/>
        <w:ind w:left="0" w:right="0"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eastAsia="zh-CN"/>
        </w:rPr>
        <w:t>3、乙方在实施过程中如发生质量事故责任全部自行承担，及时报告甲方。</w:t>
      </w:r>
      <w:r>
        <w:rPr>
          <w:rFonts w:hint="eastAsia" w:ascii="仿宋" w:hAnsi="仿宋" w:eastAsia="仿宋" w:cs="仿宋"/>
          <w:color w:val="auto"/>
          <w:spacing w:val="0"/>
          <w:sz w:val="24"/>
          <w:szCs w:val="24"/>
          <w:highlight w:val="none"/>
          <w:lang w:val="en-US" w:eastAsia="zh-CN"/>
        </w:rPr>
        <w:t>经消防等部门出具的</w:t>
      </w:r>
      <w:r>
        <w:rPr>
          <w:rFonts w:hint="eastAsia" w:ascii="仿宋" w:hAnsi="仿宋" w:eastAsia="仿宋" w:cs="仿宋"/>
          <w:color w:val="auto"/>
          <w:spacing w:val="0"/>
          <w:sz w:val="24"/>
          <w:szCs w:val="24"/>
          <w:highlight w:val="none"/>
          <w:lang w:eastAsia="zh-CN"/>
        </w:rPr>
        <w:t>事故原因，</w:t>
      </w:r>
      <w:r>
        <w:rPr>
          <w:rFonts w:hint="eastAsia" w:ascii="仿宋" w:hAnsi="仿宋" w:eastAsia="仿宋" w:cs="仿宋"/>
          <w:color w:val="auto"/>
          <w:spacing w:val="0"/>
          <w:sz w:val="24"/>
          <w:szCs w:val="24"/>
          <w:highlight w:val="none"/>
          <w:lang w:val="en-US" w:eastAsia="zh-CN"/>
        </w:rPr>
        <w:t>明确</w:t>
      </w:r>
      <w:r>
        <w:rPr>
          <w:rFonts w:hint="eastAsia" w:ascii="仿宋" w:hAnsi="仿宋" w:eastAsia="仿宋" w:cs="仿宋"/>
          <w:color w:val="auto"/>
          <w:spacing w:val="0"/>
          <w:sz w:val="24"/>
          <w:szCs w:val="24"/>
          <w:highlight w:val="none"/>
          <w:lang w:eastAsia="zh-CN"/>
        </w:rPr>
        <w:t>事故责任，</w:t>
      </w:r>
      <w:r>
        <w:rPr>
          <w:rFonts w:hint="eastAsia" w:ascii="仿宋" w:hAnsi="仿宋" w:eastAsia="仿宋" w:cs="仿宋"/>
          <w:color w:val="auto"/>
          <w:spacing w:val="0"/>
          <w:sz w:val="24"/>
          <w:szCs w:val="24"/>
          <w:highlight w:val="none"/>
          <w:lang w:val="en-US" w:eastAsia="zh-CN"/>
        </w:rPr>
        <w:t>而后</w:t>
      </w:r>
      <w:r>
        <w:rPr>
          <w:rFonts w:hint="eastAsia" w:ascii="仿宋" w:hAnsi="仿宋" w:eastAsia="仿宋" w:cs="仿宋"/>
          <w:color w:val="auto"/>
          <w:spacing w:val="0"/>
          <w:sz w:val="24"/>
          <w:szCs w:val="24"/>
          <w:highlight w:val="none"/>
          <w:lang w:eastAsia="zh-CN"/>
        </w:rPr>
        <w:t>采取有效的补救措施。一般质量事故的处理方案应送招标人共同研究实施；重大质量事故的处理按国家相关条例执行。</w:t>
      </w:r>
    </w:p>
    <w:p w14:paraId="4BCCE206">
      <w:pPr>
        <w:pStyle w:val="59"/>
        <w:pageBreakBefore w:val="0"/>
        <w:kinsoku/>
        <w:wordWrap/>
        <w:overflowPunct/>
        <w:topLinePunct w:val="0"/>
        <w:autoSpaceDE/>
        <w:autoSpaceDN/>
        <w:bidi w:val="0"/>
        <w:adjustRightInd/>
        <w:snapToGrid w:val="0"/>
        <w:spacing w:before="0" w:beforeAutospacing="0" w:afterAutospacing="0" w:line="400" w:lineRule="exact"/>
        <w:ind w:left="0" w:right="0"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0"/>
          <w:sz w:val="24"/>
          <w:szCs w:val="24"/>
          <w:highlight w:val="none"/>
          <w:lang w:eastAsia="zh-CN"/>
        </w:rPr>
        <w:t>4、本项目合同期内出现的作业人员或因承包人原因引起的第三方人员、财务损失，造成的责</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0"/>
          <w:sz w:val="24"/>
          <w:szCs w:val="24"/>
          <w:highlight w:val="none"/>
          <w:lang w:eastAsia="zh-CN"/>
        </w:rPr>
        <w:t>任和因此发生的费用，由乙方承担。</w:t>
      </w:r>
    </w:p>
    <w:p w14:paraId="3D08B383">
      <w:pPr>
        <w:pStyle w:val="59"/>
        <w:pageBreakBefore w:val="0"/>
        <w:kinsoku/>
        <w:wordWrap/>
        <w:overflowPunct/>
        <w:topLinePunct w:val="0"/>
        <w:autoSpaceDE/>
        <w:autoSpaceDN/>
        <w:bidi w:val="0"/>
        <w:adjustRightInd/>
        <w:snapToGrid w:val="0"/>
        <w:spacing w:before="0" w:beforeAutospacing="0" w:afterAutospacing="0" w:line="400" w:lineRule="exact"/>
        <w:ind w:left="0" w:right="0"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0"/>
          <w:sz w:val="24"/>
          <w:szCs w:val="24"/>
          <w:highlight w:val="none"/>
          <w:lang w:eastAsia="zh-CN"/>
        </w:rPr>
        <w:t>5、本项目实施过程中，由乙方引起的管线、线路等损坏由乙方承担相应的责任和损失。</w:t>
      </w:r>
    </w:p>
    <w:p w14:paraId="1A5A525B">
      <w:pPr>
        <w:pStyle w:val="59"/>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rPr>
        <w:t>6、</w:t>
      </w:r>
      <w:r>
        <w:rPr>
          <w:rFonts w:hint="eastAsia" w:ascii="仿宋" w:hAnsi="仿宋" w:eastAsia="仿宋" w:cs="仿宋"/>
          <w:color w:val="auto"/>
          <w:kern w:val="2"/>
          <w:sz w:val="24"/>
          <w:szCs w:val="24"/>
          <w:highlight w:val="none"/>
        </w:rPr>
        <w:t>乙方</w:t>
      </w:r>
      <w:r>
        <w:rPr>
          <w:rFonts w:hint="eastAsia" w:ascii="仿宋" w:hAnsi="仿宋" w:eastAsia="仿宋" w:cs="仿宋"/>
          <w:color w:val="auto"/>
          <w:sz w:val="24"/>
          <w:szCs w:val="24"/>
          <w:highlight w:val="none"/>
        </w:rPr>
        <w:t>须自行承担货物运输、安装、调试、质保期内等全过程中因货物质量问题或安装施工所引起的一切安全责任。</w:t>
      </w:r>
    </w:p>
    <w:p w14:paraId="2EC4095A">
      <w:pPr>
        <w:pStyle w:val="59"/>
        <w:pageBreakBefore w:val="0"/>
        <w:kinsoku/>
        <w:wordWrap/>
        <w:overflowPunct/>
        <w:topLinePunct w:val="0"/>
        <w:autoSpaceDE/>
        <w:autoSpaceDN/>
        <w:bidi w:val="0"/>
        <w:adjustRightInd/>
        <w:snapToGrid w:val="0"/>
        <w:spacing w:before="0" w:beforeAutospacing="0" w:after="0" w:afterAutospacing="0" w:line="400" w:lineRule="exact"/>
        <w:ind w:left="0" w:right="0" w:rightChars="0" w:firstLine="241" w:firstLineChars="100"/>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rPr>
        <w:t xml:space="preserve">、合同纠纷解决方式  </w:t>
      </w:r>
    </w:p>
    <w:p w14:paraId="7C7C6B71">
      <w:pPr>
        <w:pStyle w:val="59"/>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t>1.本合同的签订、解释及其在履行过程中出现的或与本合同有关的纠纷之解决，受中华人民共和国现行有效的法律约束。</w:t>
      </w:r>
    </w:p>
    <w:p w14:paraId="4EDE32D1">
      <w:pPr>
        <w:pStyle w:val="59"/>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2.凡有关本合同或履行本合同中发生的争端，甲乙双方应通过友好协商，妥善解决。如协商不成的，</w:t>
      </w:r>
      <w:r>
        <w:rPr>
          <w:rFonts w:hint="eastAsia" w:ascii="仿宋" w:hAnsi="仿宋" w:eastAsia="仿宋" w:cs="仿宋"/>
          <w:color w:val="auto"/>
          <w:sz w:val="24"/>
          <w:szCs w:val="24"/>
          <w:highlight w:val="none"/>
          <w:lang w:val="en-US" w:eastAsia="zh-CN"/>
        </w:rPr>
        <w:t>将争议提交绍兴仲裁委员会仲裁</w:t>
      </w:r>
      <w:r>
        <w:rPr>
          <w:rFonts w:hint="eastAsia" w:ascii="仿宋" w:hAnsi="仿宋" w:eastAsia="仿宋" w:cs="仿宋"/>
          <w:color w:val="auto"/>
          <w:sz w:val="24"/>
          <w:szCs w:val="24"/>
          <w:highlight w:val="none"/>
        </w:rPr>
        <w:t>。</w:t>
      </w:r>
    </w:p>
    <w:p w14:paraId="32DB9115">
      <w:pPr>
        <w:pStyle w:val="59"/>
        <w:pageBreakBefore w:val="0"/>
        <w:kinsoku/>
        <w:wordWrap/>
        <w:overflowPunct/>
        <w:topLinePunct w:val="0"/>
        <w:autoSpaceDE/>
        <w:autoSpaceDN/>
        <w:bidi w:val="0"/>
        <w:adjustRightInd/>
        <w:snapToGrid w:val="0"/>
        <w:spacing w:before="0" w:beforeAutospacing="0" w:after="0" w:afterAutospacing="0" w:line="400" w:lineRule="exact"/>
        <w:ind w:left="0" w:right="0" w:rightChars="0" w:firstLine="241" w:firstLineChars="100"/>
        <w:jc w:val="both"/>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五</w:t>
      </w:r>
      <w:r>
        <w:rPr>
          <w:rFonts w:hint="eastAsia" w:ascii="仿宋" w:hAnsi="仿宋" w:eastAsia="仿宋" w:cs="仿宋"/>
          <w:b/>
          <w:bCs/>
          <w:color w:val="auto"/>
          <w:sz w:val="24"/>
          <w:szCs w:val="24"/>
          <w:highlight w:val="none"/>
        </w:rPr>
        <w:t>、适用法律</w:t>
      </w:r>
    </w:p>
    <w:p w14:paraId="6B44ECBE">
      <w:pPr>
        <w:pStyle w:val="59"/>
        <w:pageBreakBefore w:val="0"/>
        <w:kinsoku/>
        <w:wordWrap/>
        <w:overflowPunct/>
        <w:topLinePunct w:val="0"/>
        <w:autoSpaceDE/>
        <w:autoSpaceDN/>
        <w:bidi w:val="0"/>
        <w:adjustRightInd/>
        <w:snapToGrid w:val="0"/>
        <w:spacing w:before="0" w:beforeAutospacing="0" w:after="0" w:afterAutospacing="0" w:line="400" w:lineRule="exact"/>
        <w:ind w:left="0" w:leftChars="0" w:right="0" w:rightChars="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按照中华人民共和国、浙江省及项目所在地现行有关法律法规及规定等进行解释。</w:t>
      </w:r>
    </w:p>
    <w:p w14:paraId="05B49609">
      <w:pPr>
        <w:pStyle w:val="59"/>
        <w:pageBreakBefore w:val="0"/>
        <w:kinsoku/>
        <w:wordWrap/>
        <w:overflowPunct/>
        <w:topLinePunct w:val="0"/>
        <w:autoSpaceDE/>
        <w:autoSpaceDN/>
        <w:bidi w:val="0"/>
        <w:adjustRightInd/>
        <w:snapToGrid w:val="0"/>
        <w:spacing w:before="0" w:beforeAutospacing="0" w:after="0" w:afterAutospacing="0" w:line="400" w:lineRule="exact"/>
        <w:ind w:left="0" w:right="0" w:rightChars="0" w:firstLine="241" w:firstLineChars="100"/>
        <w:outlineLvl w:val="1"/>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val="en-US" w:eastAsia="zh-CN"/>
        </w:rPr>
        <w:t>六</w:t>
      </w:r>
      <w:r>
        <w:rPr>
          <w:rFonts w:hint="eastAsia" w:ascii="仿宋" w:hAnsi="仿宋" w:eastAsia="仿宋" w:cs="仿宋"/>
          <w:b/>
          <w:bCs/>
          <w:color w:val="auto"/>
          <w:sz w:val="24"/>
          <w:szCs w:val="24"/>
          <w:highlight w:val="none"/>
        </w:rPr>
        <w:t>、其他</w:t>
      </w:r>
    </w:p>
    <w:p w14:paraId="69771F3C">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1．本工程中标后，</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不得转让转包或变相转包。工程专业若确实需要分包，须分包给具备相应资质的专业</w:t>
      </w:r>
      <w:r>
        <w:rPr>
          <w:rFonts w:hint="eastAsia" w:ascii="仿宋" w:hAnsi="仿宋" w:eastAsia="仿宋" w:cs="仿宋"/>
          <w:color w:val="auto"/>
          <w:kern w:val="0"/>
          <w:sz w:val="24"/>
          <w:highlight w:val="none"/>
          <w:u w:val="none"/>
          <w:lang w:eastAsia="zh-CN"/>
        </w:rPr>
        <w:t>安装单位</w:t>
      </w:r>
      <w:r>
        <w:rPr>
          <w:rFonts w:hint="eastAsia" w:ascii="仿宋" w:hAnsi="仿宋" w:eastAsia="仿宋" w:cs="仿宋"/>
          <w:color w:val="auto"/>
          <w:kern w:val="0"/>
          <w:sz w:val="24"/>
          <w:highlight w:val="none"/>
          <w:u w:val="none"/>
        </w:rPr>
        <w:t>，分包前经</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同意，具体分包人需经</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认可。</w:t>
      </w:r>
    </w:p>
    <w:p w14:paraId="27C465F8">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2</w:t>
      </w:r>
      <w:r>
        <w:rPr>
          <w:rFonts w:hint="eastAsia" w:ascii="仿宋" w:hAnsi="仿宋" w:eastAsia="仿宋" w:cs="仿宋"/>
          <w:color w:val="auto"/>
          <w:kern w:val="0"/>
          <w:sz w:val="24"/>
          <w:highlight w:val="none"/>
          <w:u w:val="none"/>
        </w:rPr>
        <w:t>．本工程质量要求不低于国家相关验收的合格标准。</w:t>
      </w:r>
    </w:p>
    <w:p w14:paraId="22EEDD8E">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3</w:t>
      </w:r>
      <w:r>
        <w:rPr>
          <w:rFonts w:hint="eastAsia" w:ascii="仿宋" w:hAnsi="仿宋" w:eastAsia="仿宋" w:cs="仿宋"/>
          <w:color w:val="auto"/>
          <w:kern w:val="0"/>
          <w:sz w:val="24"/>
          <w:highlight w:val="none"/>
          <w:u w:val="none"/>
        </w:rPr>
        <w:t>．</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必须严格按照图纸和国家颁发的规范、规程和标准进行施工，并接受</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的监督。</w:t>
      </w:r>
    </w:p>
    <w:p w14:paraId="7E638BE5">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4</w:t>
      </w:r>
      <w:r>
        <w:rPr>
          <w:rFonts w:hint="eastAsia" w:ascii="仿宋" w:hAnsi="仿宋" w:eastAsia="仿宋" w:cs="仿宋"/>
          <w:color w:val="auto"/>
          <w:kern w:val="0"/>
          <w:sz w:val="24"/>
          <w:highlight w:val="none"/>
          <w:u w:val="none"/>
        </w:rPr>
        <w:t>．工程质量验收必须按规范进行，所有工程资料须与工程施工同步进行，随时供有关部门及人员查阅，不合格资料及时修正。</w:t>
      </w:r>
    </w:p>
    <w:p w14:paraId="092C21D7">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5</w:t>
      </w:r>
      <w:r>
        <w:rPr>
          <w:rFonts w:hint="eastAsia" w:ascii="仿宋" w:hAnsi="仿宋" w:eastAsia="仿宋" w:cs="仿宋"/>
          <w:color w:val="auto"/>
          <w:kern w:val="0"/>
          <w:sz w:val="24"/>
          <w:highlight w:val="none"/>
          <w:u w:val="none"/>
        </w:rPr>
        <w:t>．分项工序验收，以及隐蔽工程验收，必须经</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及监理签字验收后方可进行下道工序施工。</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在接到</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隐蔽工程验收申请后，必须及时办理验收签证手续。</w:t>
      </w:r>
    </w:p>
    <w:p w14:paraId="3FE16BEC">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6</w:t>
      </w:r>
      <w:r>
        <w:rPr>
          <w:rFonts w:hint="eastAsia" w:ascii="仿宋" w:hAnsi="仿宋" w:eastAsia="仿宋" w:cs="仿宋"/>
          <w:color w:val="auto"/>
          <w:kern w:val="0"/>
          <w:sz w:val="24"/>
          <w:highlight w:val="none"/>
          <w:u w:val="none"/>
        </w:rPr>
        <w:t>．</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及监理应在收到</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请验报告后，必须及时验收并出具书面验收意见。平时</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或监理定期或不定期抽查，发现质量问题时，出具限期书面整改意见，</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必须按</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要求限期整改。若多次发现质量问题，或经两次整改仍不符合要求，</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有权根据情况要求支付违约金，</w:t>
      </w:r>
      <w:r>
        <w:rPr>
          <w:rFonts w:hint="eastAsia" w:ascii="仿宋" w:hAnsi="仿宋" w:eastAsia="仿宋" w:cs="仿宋"/>
          <w:color w:val="auto"/>
          <w:kern w:val="0"/>
          <w:sz w:val="24"/>
          <w:highlight w:val="none"/>
          <w:u w:val="none"/>
          <w:lang w:val="en-US" w:eastAsia="zh-CN"/>
        </w:rPr>
        <w:t>每发现一次扣除30000元违约金，违约金上限为</w:t>
      </w:r>
      <w:r>
        <w:rPr>
          <w:rFonts w:hint="eastAsia" w:ascii="仿宋" w:hAnsi="仿宋" w:eastAsia="仿宋" w:cs="仿宋"/>
          <w:color w:val="auto"/>
          <w:kern w:val="0"/>
          <w:sz w:val="24"/>
          <w:highlight w:val="none"/>
          <w:u w:val="none"/>
        </w:rPr>
        <w:t>单个</w:t>
      </w:r>
      <w:r>
        <w:rPr>
          <w:rFonts w:hint="eastAsia" w:ascii="仿宋" w:hAnsi="仿宋" w:eastAsia="仿宋" w:cs="仿宋"/>
          <w:color w:val="auto"/>
          <w:sz w:val="24"/>
          <w:szCs w:val="24"/>
          <w:highlight w:val="none"/>
          <w:lang w:val="en-US" w:eastAsia="zh-CN"/>
        </w:rPr>
        <w:t>项目实施</w:t>
      </w:r>
      <w:r>
        <w:rPr>
          <w:rFonts w:hint="eastAsia" w:ascii="仿宋" w:hAnsi="仿宋" w:eastAsia="仿宋" w:cs="仿宋"/>
          <w:color w:val="auto"/>
          <w:kern w:val="0"/>
          <w:sz w:val="24"/>
          <w:highlight w:val="none"/>
          <w:u w:val="none"/>
          <w:lang w:eastAsia="zh-CN"/>
        </w:rPr>
        <w:t>指令单</w:t>
      </w:r>
      <w:r>
        <w:rPr>
          <w:rFonts w:hint="eastAsia" w:ascii="仿宋" w:hAnsi="仿宋" w:eastAsia="仿宋" w:cs="仿宋"/>
          <w:color w:val="auto"/>
          <w:kern w:val="0"/>
          <w:sz w:val="24"/>
          <w:highlight w:val="none"/>
          <w:u w:val="none"/>
        </w:rPr>
        <w:t>造价</w:t>
      </w:r>
      <w:r>
        <w:rPr>
          <w:rFonts w:hint="eastAsia" w:ascii="仿宋" w:hAnsi="仿宋" w:eastAsia="仿宋" w:cs="仿宋"/>
          <w:color w:val="auto"/>
          <w:kern w:val="0"/>
          <w:sz w:val="24"/>
          <w:highlight w:val="none"/>
          <w:u w:val="none"/>
          <w:lang w:val="en-US" w:eastAsia="zh-CN"/>
        </w:rPr>
        <w:t>的30%；</w:t>
      </w:r>
      <w:r>
        <w:rPr>
          <w:rFonts w:hint="eastAsia" w:ascii="仿宋" w:hAnsi="仿宋" w:eastAsia="仿宋" w:cs="仿宋"/>
          <w:color w:val="auto"/>
          <w:kern w:val="0"/>
          <w:sz w:val="24"/>
          <w:highlight w:val="none"/>
          <w:u w:val="none"/>
        </w:rPr>
        <w:t>严重的责令退场，一切损失由</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负责。</w:t>
      </w:r>
    </w:p>
    <w:p w14:paraId="315A3B8F">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7</w:t>
      </w:r>
      <w:r>
        <w:rPr>
          <w:rFonts w:hint="eastAsia" w:ascii="仿宋" w:hAnsi="仿宋" w:eastAsia="仿宋" w:cs="仿宋"/>
          <w:color w:val="auto"/>
          <w:kern w:val="0"/>
          <w:sz w:val="24"/>
          <w:highlight w:val="none"/>
          <w:u w:val="none"/>
        </w:rPr>
        <w:t>．各项材料必须符合国家建材标准，并按有关规定提供材料合格证书。材料进场须经</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验收并提供样品经</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确定，材料验收合格后运输至施工场地的费用由</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自行负责。不合格材料不得进入施工场地。由第三方材料检验的费用由</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负责。</w:t>
      </w:r>
    </w:p>
    <w:p w14:paraId="0F237785">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8</w:t>
      </w:r>
      <w:r>
        <w:rPr>
          <w:rFonts w:hint="eastAsia" w:ascii="仿宋" w:hAnsi="仿宋" w:eastAsia="仿宋" w:cs="仿宋"/>
          <w:color w:val="auto"/>
          <w:kern w:val="0"/>
          <w:sz w:val="24"/>
          <w:highlight w:val="none"/>
          <w:u w:val="none"/>
        </w:rPr>
        <w:t>．在</w:t>
      </w:r>
      <w:r>
        <w:rPr>
          <w:rFonts w:hint="eastAsia" w:ascii="仿宋" w:hAnsi="仿宋" w:eastAsia="仿宋" w:cs="仿宋"/>
          <w:color w:val="auto"/>
          <w:kern w:val="0"/>
          <w:sz w:val="24"/>
          <w:highlight w:val="none"/>
          <w:u w:val="none"/>
          <w:lang w:eastAsia="zh-CN"/>
        </w:rPr>
        <w:t>安装过程</w:t>
      </w:r>
      <w:r>
        <w:rPr>
          <w:rFonts w:hint="eastAsia" w:ascii="仿宋" w:hAnsi="仿宋" w:eastAsia="仿宋" w:cs="仿宋"/>
          <w:color w:val="auto"/>
          <w:kern w:val="0"/>
          <w:sz w:val="24"/>
          <w:highlight w:val="none"/>
          <w:u w:val="none"/>
        </w:rPr>
        <w:t>中，由于</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原因造成</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财物损毁由</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负责赔偿。</w:t>
      </w:r>
    </w:p>
    <w:p w14:paraId="5B6D38A6">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9</w:t>
      </w:r>
      <w:r>
        <w:rPr>
          <w:rFonts w:hint="eastAsia" w:ascii="仿宋" w:hAnsi="仿宋" w:eastAsia="仿宋" w:cs="仿宋"/>
          <w:color w:val="auto"/>
          <w:kern w:val="0"/>
          <w:sz w:val="24"/>
          <w:highlight w:val="none"/>
          <w:u w:val="none"/>
        </w:rPr>
        <w:t>．在</w:t>
      </w:r>
      <w:r>
        <w:rPr>
          <w:rFonts w:hint="eastAsia" w:ascii="仿宋" w:hAnsi="仿宋" w:eastAsia="仿宋" w:cs="仿宋"/>
          <w:color w:val="auto"/>
          <w:kern w:val="0"/>
          <w:sz w:val="24"/>
          <w:highlight w:val="none"/>
          <w:u w:val="none"/>
          <w:lang w:eastAsia="zh-CN"/>
        </w:rPr>
        <w:t>安装过程</w:t>
      </w:r>
      <w:r>
        <w:rPr>
          <w:rFonts w:hint="eastAsia" w:ascii="仿宋" w:hAnsi="仿宋" w:eastAsia="仿宋" w:cs="仿宋"/>
          <w:color w:val="auto"/>
          <w:kern w:val="0"/>
          <w:sz w:val="24"/>
          <w:highlight w:val="none"/>
          <w:u w:val="none"/>
        </w:rPr>
        <w:t>中，人行道路两侧的草坪及路面不得损坏。拆除原人行道路时，原有电力管线管道及雨水管道不得损坏，否则，由</w:t>
      </w:r>
      <w:r>
        <w:rPr>
          <w:rFonts w:hint="eastAsia" w:ascii="仿宋" w:hAnsi="仿宋" w:eastAsia="仿宋" w:cs="仿宋"/>
          <w:color w:val="auto"/>
          <w:kern w:val="0"/>
          <w:sz w:val="24"/>
          <w:highlight w:val="none"/>
          <w:u w:val="none"/>
          <w:lang w:eastAsia="zh-CN"/>
        </w:rPr>
        <w:t>乙方</w:t>
      </w:r>
      <w:r>
        <w:rPr>
          <w:rFonts w:hint="eastAsia" w:ascii="仿宋" w:hAnsi="仿宋" w:eastAsia="仿宋" w:cs="仿宋"/>
          <w:color w:val="auto"/>
          <w:kern w:val="0"/>
          <w:sz w:val="24"/>
          <w:highlight w:val="none"/>
          <w:u w:val="none"/>
        </w:rPr>
        <w:t>负责赔偿。</w:t>
      </w:r>
    </w:p>
    <w:p w14:paraId="69BD5F74">
      <w:pPr>
        <w:widowControl/>
        <w:snapToGrid w:val="0"/>
        <w:spacing w:line="400" w:lineRule="exact"/>
        <w:ind w:left="0" w:firstLine="480" w:firstLineChars="200"/>
        <w:rPr>
          <w:rFonts w:hint="eastAsia" w:ascii="仿宋" w:hAnsi="仿宋" w:eastAsia="仿宋" w:cs="仿宋"/>
          <w:color w:val="auto"/>
          <w:kern w:val="0"/>
          <w:sz w:val="24"/>
          <w:highlight w:val="none"/>
          <w:u w:val="none"/>
          <w:lang w:val="en-US"/>
        </w:rPr>
      </w:pPr>
      <w:r>
        <w:rPr>
          <w:rFonts w:hint="eastAsia" w:ascii="仿宋" w:hAnsi="仿宋" w:eastAsia="仿宋" w:cs="仿宋"/>
          <w:color w:val="auto"/>
          <w:kern w:val="0"/>
          <w:sz w:val="24"/>
          <w:highlight w:val="none"/>
          <w:u w:val="none"/>
          <w:lang w:val="en-US" w:eastAsia="zh-CN"/>
        </w:rPr>
        <w:t>10.</w:t>
      </w:r>
      <w:r>
        <w:rPr>
          <w:rFonts w:hint="eastAsia" w:ascii="仿宋" w:hAnsi="仿宋" w:eastAsia="仿宋" w:cs="仿宋"/>
          <w:color w:val="auto"/>
          <w:kern w:val="0"/>
          <w:sz w:val="24"/>
          <w:highlight w:val="none"/>
          <w:u w:val="none"/>
          <w:lang w:val="en-US"/>
        </w:rPr>
        <w:t>甲方或监理单位应在收到乙方提交的竣工资料后 10个工作日 内进行审查，并以书面形式一次性提出修改或补充意见。乙方应根据该意见在 5个工作日 内完成修改并重新提交。</w:t>
      </w:r>
    </w:p>
    <w:p w14:paraId="46EA33E8">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lang w:val="en-US" w:eastAsia="zh-CN"/>
        </w:rPr>
        <w:t>11</w:t>
      </w:r>
      <w:r>
        <w:rPr>
          <w:rFonts w:hint="eastAsia" w:ascii="仿宋" w:hAnsi="仿宋" w:eastAsia="仿宋" w:cs="仿宋"/>
          <w:color w:val="auto"/>
          <w:kern w:val="0"/>
          <w:sz w:val="24"/>
          <w:highlight w:val="none"/>
          <w:u w:val="none"/>
        </w:rPr>
        <w:t>．由于自身原因拒绝</w:t>
      </w:r>
      <w:r>
        <w:rPr>
          <w:rFonts w:hint="eastAsia" w:ascii="仿宋" w:hAnsi="仿宋" w:eastAsia="仿宋" w:cs="仿宋"/>
          <w:color w:val="auto"/>
          <w:kern w:val="0"/>
          <w:sz w:val="24"/>
          <w:highlight w:val="none"/>
          <w:u w:val="none"/>
          <w:lang w:eastAsia="zh-CN"/>
        </w:rPr>
        <w:t>甲方</w:t>
      </w:r>
      <w:r>
        <w:rPr>
          <w:rFonts w:hint="eastAsia" w:ascii="仿宋" w:hAnsi="仿宋" w:eastAsia="仿宋" w:cs="仿宋"/>
          <w:color w:val="auto"/>
          <w:kern w:val="0"/>
          <w:sz w:val="24"/>
          <w:highlight w:val="none"/>
          <w:u w:val="none"/>
        </w:rPr>
        <w:t>项目施工工作的，取消本年度的中标资格，并没收年度履约保证金。</w:t>
      </w:r>
    </w:p>
    <w:p w14:paraId="377098FC">
      <w:pPr>
        <w:pageBreakBefore w:val="0"/>
        <w:widowControl/>
        <w:kinsoku/>
        <w:wordWrap/>
        <w:overflowPunct/>
        <w:topLinePunct w:val="0"/>
        <w:autoSpaceDE/>
        <w:autoSpaceDN/>
        <w:bidi w:val="0"/>
        <w:snapToGrid w:val="0"/>
        <w:spacing w:beforeAutospacing="0" w:afterAutospacing="0" w:line="400" w:lineRule="exact"/>
        <w:ind w:left="0" w:right="0" w:firstLine="480" w:firstLineChars="200"/>
        <w:rPr>
          <w:rFonts w:hint="eastAsia" w:ascii="仿宋" w:hAnsi="仿宋" w:eastAsia="仿宋" w:cs="仿宋"/>
          <w:color w:val="auto"/>
          <w:kern w:val="0"/>
          <w:sz w:val="24"/>
          <w:szCs w:val="24"/>
          <w:highlight w:val="none"/>
          <w:u w:val="none"/>
          <w:lang w:eastAsia="zh-CN"/>
        </w:rPr>
      </w:pPr>
      <w:r>
        <w:rPr>
          <w:rFonts w:hint="eastAsia" w:ascii="仿宋" w:hAnsi="仿宋" w:eastAsia="仿宋" w:cs="仿宋"/>
          <w:color w:val="auto"/>
          <w:kern w:val="0"/>
          <w:sz w:val="24"/>
          <w:highlight w:val="none"/>
          <w:u w:val="none"/>
          <w:lang w:val="en-US" w:eastAsia="zh-CN"/>
        </w:rPr>
        <w:t>12、</w:t>
      </w:r>
      <w:r>
        <w:rPr>
          <w:rFonts w:hint="eastAsia" w:ascii="仿宋" w:hAnsi="仿宋" w:eastAsia="仿宋" w:cs="仿宋"/>
          <w:color w:val="auto"/>
          <w:spacing w:val="0"/>
          <w:kern w:val="0"/>
          <w:sz w:val="24"/>
          <w:szCs w:val="24"/>
          <w:highlight w:val="none"/>
          <w:u w:val="none"/>
          <w:lang w:eastAsia="zh-CN"/>
        </w:rPr>
        <w:t>没有甲方事先书面同意，乙方不得将由甲方提供的有关合同或任何</w:t>
      </w:r>
      <w:r>
        <w:rPr>
          <w:rFonts w:hint="eastAsia" w:ascii="仿宋" w:hAnsi="仿宋" w:eastAsia="仿宋" w:cs="仿宋"/>
          <w:color w:val="auto"/>
          <w:kern w:val="0"/>
          <w:sz w:val="24"/>
          <w:szCs w:val="24"/>
          <w:highlight w:val="none"/>
          <w:u w:val="none"/>
          <w:lang w:eastAsia="zh-CN"/>
        </w:rPr>
        <w:t xml:space="preserve">合同条文、 </w:t>
      </w:r>
      <w:r>
        <w:rPr>
          <w:rFonts w:hint="eastAsia" w:ascii="仿宋" w:hAnsi="仿宋" w:eastAsia="仿宋" w:cs="仿宋"/>
          <w:color w:val="auto"/>
          <w:spacing w:val="0"/>
          <w:kern w:val="0"/>
          <w:sz w:val="24"/>
          <w:szCs w:val="24"/>
          <w:highlight w:val="none"/>
          <w:u w:val="none"/>
          <w:lang w:eastAsia="zh-CN"/>
        </w:rPr>
        <w:t>规格、计划、图纸、样品或资料提供给与履行本合同无关的任何其他人。即使向履行</w:t>
      </w:r>
      <w:r>
        <w:rPr>
          <w:rFonts w:hint="eastAsia" w:ascii="仿宋" w:hAnsi="仿宋" w:eastAsia="仿宋" w:cs="仿宋"/>
          <w:color w:val="auto"/>
          <w:kern w:val="0"/>
          <w:sz w:val="24"/>
          <w:szCs w:val="24"/>
          <w:highlight w:val="none"/>
          <w:u w:val="none"/>
          <w:lang w:eastAsia="zh-CN"/>
        </w:rPr>
        <w:t xml:space="preserve"> </w:t>
      </w:r>
      <w:r>
        <w:rPr>
          <w:rFonts w:hint="eastAsia" w:ascii="仿宋" w:hAnsi="仿宋" w:eastAsia="仿宋" w:cs="仿宋"/>
          <w:color w:val="auto"/>
          <w:spacing w:val="0"/>
          <w:kern w:val="0"/>
          <w:sz w:val="24"/>
          <w:szCs w:val="24"/>
          <w:highlight w:val="none"/>
          <w:u w:val="none"/>
          <w:lang w:eastAsia="zh-CN"/>
        </w:rPr>
        <w:t>本合同有关的人员提供，也应注意保密并限于履行合同的必需范围。</w:t>
      </w:r>
    </w:p>
    <w:p w14:paraId="46C19DA6">
      <w:pPr>
        <w:widowControl/>
        <w:snapToGrid/>
        <w:spacing w:line="400" w:lineRule="exact"/>
        <w:ind w:firstLine="0" w:firstLineChars="0"/>
        <w:rPr>
          <w:rFonts w:hint="eastAsia" w:ascii="仿宋" w:hAnsi="仿宋" w:eastAsia="仿宋" w:cs="仿宋"/>
          <w:color w:val="auto"/>
          <w:kern w:val="0"/>
          <w:sz w:val="24"/>
          <w:highlight w:val="none"/>
          <w:u w:val="none"/>
          <w:lang w:val="en-US" w:eastAsia="zh-CN"/>
        </w:rPr>
      </w:pPr>
      <w:r>
        <w:rPr>
          <w:rFonts w:hint="eastAsia" w:ascii="仿宋" w:hAnsi="仿宋" w:eastAsia="仿宋" w:cs="仿宋"/>
          <w:color w:val="auto"/>
          <w:kern w:val="0"/>
          <w:sz w:val="24"/>
          <w:highlight w:val="none"/>
          <w:u w:val="none"/>
          <w:lang w:val="en-US" w:eastAsia="zh-CN"/>
        </w:rPr>
        <w:t xml:space="preserve">    13、乙方应遵守甲方的考核制度。甲方将依据细则，定期对乙方进行综合评估，考核结果将作为衡量乙方履约能力的重要依据。</w:t>
      </w:r>
    </w:p>
    <w:p w14:paraId="021FE52C">
      <w:pPr>
        <w:widowControl/>
        <w:snapToGrid/>
        <w:spacing w:line="400" w:lineRule="exact"/>
        <w:ind w:firstLine="0" w:firstLineChars="0"/>
        <w:rPr>
          <w:rFonts w:hint="eastAsia" w:ascii="仿宋" w:hAnsi="仿宋" w:eastAsia="仿宋" w:cs="仿宋"/>
          <w:color w:val="auto"/>
          <w:kern w:val="0"/>
          <w:sz w:val="24"/>
          <w:highlight w:val="none"/>
          <w:u w:val="none"/>
          <w:lang w:val="en-US" w:eastAsia="zh-CN"/>
        </w:rPr>
      </w:pPr>
    </w:p>
    <w:p w14:paraId="56AF4D66">
      <w:pPr>
        <w:widowControl/>
        <w:snapToGrid/>
        <w:spacing w:line="40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 xml:space="preserve">甲方（盖章）：                                   </w:t>
      </w:r>
    </w:p>
    <w:p w14:paraId="3C9E3812">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 xml:space="preserve">地址：                                   </w:t>
      </w:r>
    </w:p>
    <w:p w14:paraId="4438B3AB">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 xml:space="preserve">法定（授权）代表人：                   </w:t>
      </w:r>
    </w:p>
    <w:p w14:paraId="2FF5A026">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 xml:space="preserve">签名日期：     年   月   日           </w:t>
      </w:r>
    </w:p>
    <w:p w14:paraId="27ACBAB2">
      <w:pPr>
        <w:widowControl/>
        <w:snapToGrid w:val="0"/>
        <w:spacing w:line="380" w:lineRule="exact"/>
        <w:ind w:firstLine="480" w:firstLineChars="200"/>
        <w:rPr>
          <w:rFonts w:hint="eastAsia" w:ascii="仿宋" w:hAnsi="仿宋" w:eastAsia="仿宋" w:cs="仿宋"/>
          <w:color w:val="auto"/>
          <w:kern w:val="0"/>
          <w:sz w:val="24"/>
          <w:highlight w:val="none"/>
          <w:u w:val="none"/>
        </w:rPr>
      </w:pPr>
    </w:p>
    <w:p w14:paraId="7B63F9E8">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乙方（盖章）：</w:t>
      </w:r>
    </w:p>
    <w:p w14:paraId="4555D0FA">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 xml:space="preserve">地址： </w:t>
      </w:r>
    </w:p>
    <w:p w14:paraId="7B07F812">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开户行：</w:t>
      </w:r>
    </w:p>
    <w:p w14:paraId="5C4D1278">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开户账号：</w:t>
      </w:r>
    </w:p>
    <w:p w14:paraId="1A265720">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法定（授权）代表人：</w:t>
      </w:r>
    </w:p>
    <w:p w14:paraId="517B214C">
      <w:pPr>
        <w:widowControl/>
        <w:snapToGrid w:val="0"/>
        <w:spacing w:line="380" w:lineRule="exact"/>
        <w:ind w:firstLine="480" w:firstLineChars="200"/>
        <w:rPr>
          <w:rFonts w:hint="eastAsia" w:ascii="仿宋" w:hAnsi="仿宋" w:eastAsia="仿宋" w:cs="仿宋"/>
          <w:color w:val="auto"/>
          <w:kern w:val="0"/>
          <w:sz w:val="24"/>
          <w:highlight w:val="none"/>
          <w:u w:val="none"/>
        </w:rPr>
      </w:pPr>
      <w:r>
        <w:rPr>
          <w:rFonts w:hint="eastAsia" w:ascii="仿宋" w:hAnsi="仿宋" w:eastAsia="仿宋" w:cs="仿宋"/>
          <w:color w:val="auto"/>
          <w:kern w:val="0"/>
          <w:sz w:val="24"/>
          <w:highlight w:val="none"/>
          <w:u w:val="none"/>
        </w:rPr>
        <w:t>签名日期：      年   月   日</w:t>
      </w:r>
    </w:p>
    <w:p w14:paraId="0FBE61AD">
      <w:pPr>
        <w:widowControl/>
        <w:jc w:val="left"/>
        <w:rPr>
          <w:rFonts w:hint="eastAsia" w:ascii="仿宋" w:hAnsi="仿宋" w:eastAsia="仿宋" w:cs="仿宋"/>
          <w:i w:val="0"/>
          <w:iCs w:val="0"/>
          <w:color w:val="auto"/>
          <w:kern w:val="0"/>
          <w:sz w:val="24"/>
          <w:highlight w:val="none"/>
        </w:rPr>
      </w:pPr>
    </w:p>
    <w:p w14:paraId="4DD483E9">
      <w:pPr>
        <w:widowControl/>
        <w:jc w:val="left"/>
        <w:rPr>
          <w:rFonts w:hint="eastAsia" w:ascii="仿宋" w:hAnsi="仿宋" w:eastAsia="仿宋" w:cs="仿宋"/>
          <w:i w:val="0"/>
          <w:iCs w:val="0"/>
          <w:color w:val="auto"/>
          <w:kern w:val="0"/>
          <w:sz w:val="24"/>
          <w:highlight w:val="none"/>
        </w:rPr>
        <w:sectPr>
          <w:footerReference r:id="rId14" w:type="first"/>
          <w:footerReference r:id="rId13" w:type="default"/>
          <w:pgSz w:w="11905"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0" w:charSpace="0"/>
        </w:sectPr>
      </w:pPr>
    </w:p>
    <w:p w14:paraId="7624753F">
      <w:pPr>
        <w:numPr>
          <w:ilvl w:val="0"/>
          <w:numId w:val="10"/>
        </w:numPr>
        <w:spacing w:line="36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 xml:space="preserve"> 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6345F19D">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b w:val="0"/>
          <w:bCs/>
          <w:i w:val="0"/>
          <w:iCs w:val="0"/>
          <w:color w:val="auto"/>
          <w:sz w:val="24"/>
          <w:highlight w:val="none"/>
          <w:lang w:eastAsia="zh-CN"/>
        </w:rPr>
      </w:pPr>
      <w:r>
        <w:rPr>
          <w:rFonts w:hint="eastAsia"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hint="eastAsia"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hint="eastAsia" w:ascii="仿宋" w:hAnsi="仿宋" w:eastAsia="仿宋" w:cs="仿宋"/>
          <w:b/>
          <w:i w:val="0"/>
          <w:iCs w:val="0"/>
          <w:color w:val="auto"/>
          <w:sz w:val="24"/>
          <w:highlight w:val="none"/>
        </w:rPr>
        <w:t>方法：</w:t>
      </w:r>
    </w:p>
    <w:p w14:paraId="42AB2DE3">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本次评标采用综合评分法，评标结果按评审后得分由高到低顺序排列。得分相同的，按</w:t>
      </w:r>
      <w:r>
        <w:rPr>
          <w:rFonts w:hint="eastAsia" w:ascii="仿宋" w:hAnsi="仿宋" w:eastAsia="仿宋" w:cs="仿宋"/>
          <w:i w:val="0"/>
          <w:iCs w:val="0"/>
          <w:color w:val="auto"/>
          <w:sz w:val="24"/>
          <w:highlight w:val="none"/>
          <w:lang w:val="en-US" w:eastAsia="zh-CN"/>
        </w:rPr>
        <w:t>单张实际面额</w:t>
      </w:r>
      <w:r>
        <w:rPr>
          <w:rFonts w:hint="eastAsia" w:ascii="仿宋" w:hAnsi="仿宋" w:eastAsia="仿宋" w:cs="仿宋"/>
          <w:i w:val="0"/>
          <w:iCs w:val="0"/>
          <w:color w:val="auto"/>
          <w:sz w:val="24"/>
          <w:highlight w:val="none"/>
        </w:rPr>
        <w:t>投标报价由</w:t>
      </w:r>
      <w:r>
        <w:rPr>
          <w:rFonts w:hint="eastAsia" w:ascii="仿宋" w:hAnsi="仿宋" w:eastAsia="仿宋" w:cs="仿宋"/>
          <w:i w:val="0"/>
          <w:iCs w:val="0"/>
          <w:color w:val="auto"/>
          <w:sz w:val="24"/>
          <w:highlight w:val="none"/>
          <w:lang w:val="en-US" w:eastAsia="zh-CN"/>
        </w:rPr>
        <w:t>高</w:t>
      </w:r>
      <w:r>
        <w:rPr>
          <w:rFonts w:hint="eastAsia" w:ascii="仿宋" w:hAnsi="仿宋" w:eastAsia="仿宋" w:cs="仿宋"/>
          <w:i w:val="0"/>
          <w:iCs w:val="0"/>
          <w:color w:val="auto"/>
          <w:sz w:val="24"/>
          <w:highlight w:val="none"/>
        </w:rPr>
        <w:t>到</w:t>
      </w:r>
      <w:r>
        <w:rPr>
          <w:rFonts w:hint="eastAsia" w:ascii="仿宋" w:hAnsi="仿宋" w:eastAsia="仿宋" w:cs="仿宋"/>
          <w:i w:val="0"/>
          <w:iCs w:val="0"/>
          <w:color w:val="auto"/>
          <w:sz w:val="24"/>
          <w:highlight w:val="none"/>
          <w:lang w:val="en-US" w:eastAsia="zh-CN"/>
        </w:rPr>
        <w:t>低</w:t>
      </w:r>
      <w:r>
        <w:rPr>
          <w:rFonts w:hint="eastAsia" w:ascii="仿宋" w:hAnsi="仿宋" w:eastAsia="仿宋" w:cs="仿宋"/>
          <w:i w:val="0"/>
          <w:iCs w:val="0"/>
          <w:color w:val="auto"/>
          <w:sz w:val="24"/>
          <w:highlight w:val="none"/>
        </w:rPr>
        <w:t>顺序排列。得分且投标报价相同的并列。投标文件满足招标文件全部实质性要求，且按照评审因素的量化指标评审得分最高的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val="en-US" w:eastAsia="zh-CN"/>
        </w:rPr>
        <w:t>3家</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由招标人代表</w:t>
      </w:r>
      <w:r>
        <w:rPr>
          <w:rFonts w:hint="eastAsia" w:ascii="仿宋" w:hAnsi="仿宋" w:eastAsia="仿宋" w:cs="仿宋"/>
          <w:i w:val="0"/>
          <w:iCs w:val="0"/>
          <w:color w:val="auto"/>
          <w:sz w:val="24"/>
          <w:highlight w:val="none"/>
        </w:rPr>
        <w:t>采用随机抽取的方式确定。</w:t>
      </w:r>
    </w:p>
    <w:p w14:paraId="03A8EB0B">
      <w:pPr>
        <w:spacing w:line="440" w:lineRule="exact"/>
        <w:jc w:val="left"/>
        <w:rPr>
          <w:rFonts w:hint="eastAsia"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2.评分标准：</w:t>
      </w:r>
      <w:r>
        <w:rPr>
          <w:rFonts w:hint="eastAsia" w:ascii="仿宋" w:hAnsi="仿宋" w:eastAsia="仿宋" w:cs="仿宋"/>
          <w:i w:val="0"/>
          <w:iCs w:val="0"/>
          <w:color w:val="auto"/>
          <w:sz w:val="24"/>
          <w:highlight w:val="none"/>
        </w:rPr>
        <w:t>共100分，其中</w:t>
      </w:r>
      <w:r>
        <w:rPr>
          <w:rFonts w:hint="eastAsia" w:ascii="仿宋" w:hAnsi="仿宋" w:eastAsia="仿宋" w:cs="仿宋"/>
          <w:i w:val="0"/>
          <w:iCs w:val="0"/>
          <w:color w:val="auto"/>
          <w:sz w:val="24"/>
          <w:highlight w:val="none"/>
          <w:lang w:eastAsia="zh-CN"/>
        </w:rPr>
        <w:t>商务技术（</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分</w:t>
      </w:r>
      <w:r>
        <w:rPr>
          <w:rFonts w:hint="eastAsia" w:ascii="仿宋" w:hAnsi="仿宋" w:eastAsia="仿宋" w:cs="仿宋"/>
          <w:i w:val="0"/>
          <w:iCs w:val="0"/>
          <w:color w:val="auto"/>
          <w:sz w:val="24"/>
          <w:highlight w:val="none"/>
          <w:u w:val="single"/>
          <w:lang w:val="en-US" w:eastAsia="zh-CN"/>
        </w:rPr>
        <w:t>70</w:t>
      </w:r>
      <w:r>
        <w:rPr>
          <w:rFonts w:hint="eastAsia" w:ascii="仿宋" w:hAnsi="仿宋" w:eastAsia="仿宋" w:cs="仿宋"/>
          <w:i w:val="0"/>
          <w:iCs w:val="0"/>
          <w:color w:val="auto"/>
          <w:sz w:val="24"/>
          <w:highlight w:val="none"/>
        </w:rPr>
        <w:t>分，价格分</w:t>
      </w:r>
      <w:r>
        <w:rPr>
          <w:rFonts w:hint="eastAsia" w:ascii="仿宋" w:hAnsi="仿宋" w:eastAsia="仿宋" w:cs="仿宋"/>
          <w:i w:val="0"/>
          <w:iCs w:val="0"/>
          <w:color w:val="auto"/>
          <w:sz w:val="24"/>
          <w:highlight w:val="none"/>
          <w:u w:val="single"/>
          <w:lang w:val="en-US" w:eastAsia="zh-CN"/>
        </w:rPr>
        <w:t>30</w:t>
      </w:r>
      <w:r>
        <w:rPr>
          <w:rFonts w:hint="eastAsia" w:ascii="仿宋" w:hAnsi="仿宋" w:eastAsia="仿宋" w:cs="仿宋"/>
          <w:i w:val="0"/>
          <w:iCs w:val="0"/>
          <w:color w:val="auto"/>
          <w:sz w:val="24"/>
          <w:highlight w:val="none"/>
        </w:rPr>
        <w:t>分。评分依下述所列为评标打分依据，分值如下（计算分值时，按其算术平均值保留小数2位）。</w:t>
      </w:r>
    </w:p>
    <w:p w14:paraId="6319D28B">
      <w:pPr>
        <w:spacing w:line="440" w:lineRule="exact"/>
        <w:rPr>
          <w:rFonts w:hint="eastAsia"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2.1商务技术（资信）</w:t>
      </w:r>
      <w:r>
        <w:rPr>
          <w:rFonts w:hint="eastAsia" w:ascii="仿宋" w:hAnsi="仿宋" w:eastAsia="仿宋" w:cs="仿宋"/>
          <w:b/>
          <w:bCs/>
          <w:i w:val="0"/>
          <w:iCs w:val="0"/>
          <w:color w:val="auto"/>
          <w:sz w:val="24"/>
          <w:highlight w:val="none"/>
          <w:lang w:val="en-US" w:eastAsia="zh-CN"/>
        </w:rPr>
        <w:t>分</w:t>
      </w:r>
      <w:r>
        <w:rPr>
          <w:rFonts w:hint="eastAsia" w:ascii="仿宋" w:hAnsi="仿宋" w:eastAsia="仿宋" w:cs="仿宋"/>
          <w:b/>
          <w:bCs/>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70</w:t>
      </w:r>
      <w:r>
        <w:rPr>
          <w:rFonts w:hint="eastAsia" w:ascii="仿宋" w:hAnsi="仿宋" w:eastAsia="仿宋" w:cs="仿宋"/>
          <w:b/>
          <w:bCs/>
          <w:i w:val="0"/>
          <w:iCs w:val="0"/>
          <w:color w:val="auto"/>
          <w:sz w:val="24"/>
          <w:highlight w:val="none"/>
        </w:rPr>
        <w:t>分）</w:t>
      </w:r>
    </w:p>
    <w:tbl>
      <w:tblPr>
        <w:tblStyle w:val="64"/>
        <w:tblW w:w="9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695"/>
        <w:gridCol w:w="5604"/>
        <w:gridCol w:w="895"/>
      </w:tblGrid>
      <w:tr w14:paraId="69E4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jc w:val="center"/>
        </w:trPr>
        <w:tc>
          <w:tcPr>
            <w:tcW w:w="895" w:type="dxa"/>
            <w:noWrap w:val="0"/>
            <w:vAlign w:val="center"/>
          </w:tcPr>
          <w:p w14:paraId="33C553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b/>
                <w:bCs/>
                <w:i w:val="0"/>
                <w:iCs w:val="0"/>
                <w:color w:val="auto"/>
                <w:sz w:val="24"/>
                <w:highlight w:val="none"/>
                <w:lang w:val="en-US" w:eastAsia="zh-CN"/>
              </w:rPr>
            </w:pPr>
            <w:r>
              <w:rPr>
                <w:rFonts w:hint="eastAsia" w:ascii="仿宋" w:hAnsi="仿宋" w:eastAsia="仿宋" w:cs="仿宋"/>
                <w:b/>
                <w:bCs/>
                <w:i w:val="0"/>
                <w:iCs w:val="0"/>
                <w:color w:val="auto"/>
                <w:sz w:val="24"/>
                <w:highlight w:val="none"/>
                <w:lang w:val="en-US" w:eastAsia="zh-CN"/>
              </w:rPr>
              <w:t>序号</w:t>
            </w:r>
          </w:p>
        </w:tc>
        <w:tc>
          <w:tcPr>
            <w:tcW w:w="1695" w:type="dxa"/>
            <w:noWrap w:val="0"/>
            <w:vAlign w:val="center"/>
          </w:tcPr>
          <w:p w14:paraId="213DE8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b/>
                <w:bCs/>
                <w:i w:val="0"/>
                <w:iCs w:val="0"/>
                <w:color w:val="auto"/>
                <w:sz w:val="24"/>
                <w:highlight w:val="none"/>
                <w:lang w:val="en-US" w:eastAsia="zh-CN"/>
              </w:rPr>
            </w:pPr>
            <w:r>
              <w:rPr>
                <w:rFonts w:hint="eastAsia" w:ascii="仿宋" w:hAnsi="仿宋" w:eastAsia="仿宋" w:cs="仿宋"/>
                <w:b/>
                <w:bCs/>
                <w:i w:val="0"/>
                <w:iCs w:val="0"/>
                <w:color w:val="auto"/>
                <w:sz w:val="24"/>
                <w:highlight w:val="none"/>
                <w:lang w:val="en-US" w:eastAsia="zh-CN"/>
              </w:rPr>
              <w:t>评分项</w:t>
            </w:r>
          </w:p>
        </w:tc>
        <w:tc>
          <w:tcPr>
            <w:tcW w:w="5604" w:type="dxa"/>
            <w:noWrap w:val="0"/>
            <w:vAlign w:val="center"/>
          </w:tcPr>
          <w:p w14:paraId="0B7F98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b/>
                <w:bCs/>
                <w:i w:val="0"/>
                <w:iCs w:val="0"/>
                <w:color w:val="auto"/>
                <w:sz w:val="24"/>
                <w:highlight w:val="none"/>
                <w:lang w:val="en-US" w:eastAsia="zh-CN"/>
              </w:rPr>
            </w:pPr>
            <w:r>
              <w:rPr>
                <w:rFonts w:hint="eastAsia" w:ascii="仿宋" w:hAnsi="仿宋" w:eastAsia="仿宋" w:cs="仿宋"/>
                <w:b/>
                <w:bCs/>
                <w:i w:val="0"/>
                <w:iCs w:val="0"/>
                <w:color w:val="auto"/>
                <w:sz w:val="24"/>
                <w:highlight w:val="none"/>
                <w:lang w:val="en-US" w:eastAsia="zh-CN"/>
              </w:rPr>
              <w:t>评审依据及标准</w:t>
            </w:r>
          </w:p>
        </w:tc>
        <w:tc>
          <w:tcPr>
            <w:tcW w:w="895" w:type="dxa"/>
            <w:noWrap w:val="0"/>
            <w:vAlign w:val="center"/>
          </w:tcPr>
          <w:p w14:paraId="7DA72B2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b/>
                <w:bCs/>
                <w:i w:val="0"/>
                <w:iCs w:val="0"/>
                <w:color w:val="auto"/>
                <w:sz w:val="24"/>
                <w:highlight w:val="none"/>
                <w:lang w:val="en-US" w:eastAsia="zh-CN"/>
              </w:rPr>
            </w:pPr>
            <w:r>
              <w:rPr>
                <w:rFonts w:hint="eastAsia" w:ascii="仿宋" w:hAnsi="仿宋" w:eastAsia="仿宋" w:cs="仿宋"/>
                <w:b/>
                <w:bCs/>
                <w:i w:val="0"/>
                <w:iCs w:val="0"/>
                <w:color w:val="auto"/>
                <w:sz w:val="24"/>
                <w:highlight w:val="none"/>
                <w:lang w:val="en-US" w:eastAsia="zh-CN"/>
              </w:rPr>
              <w:t>分值</w:t>
            </w:r>
          </w:p>
        </w:tc>
      </w:tr>
      <w:tr w14:paraId="5074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74183B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w:t>
            </w:r>
          </w:p>
        </w:tc>
        <w:tc>
          <w:tcPr>
            <w:tcW w:w="1695" w:type="dxa"/>
            <w:noWrap w:val="0"/>
            <w:vAlign w:val="center"/>
          </w:tcPr>
          <w:p w14:paraId="50A0BB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企业认证</w:t>
            </w:r>
          </w:p>
        </w:tc>
        <w:tc>
          <w:tcPr>
            <w:tcW w:w="5604" w:type="dxa"/>
            <w:noWrap w:val="0"/>
            <w:vAlign w:val="center"/>
          </w:tcPr>
          <w:p w14:paraId="50B4A9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投标人ISO9001质量管理体系认证、ISO14001环境管理体系认证、ISO45001职业健康安全管理体系认证证书，有一个的得1分,最多得3分。</w:t>
            </w:r>
          </w:p>
          <w:p w14:paraId="6FA573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注：提供证书复印件加盖投标人公章，并同时提供国家认证认可监督管理委员会官方网站上相关证书有效的网页截图或网站打印页，否则不得分。若联合体投标的，任意一方提供均可。</w:t>
            </w:r>
          </w:p>
        </w:tc>
        <w:tc>
          <w:tcPr>
            <w:tcW w:w="895" w:type="dxa"/>
            <w:noWrap w:val="0"/>
            <w:vAlign w:val="center"/>
          </w:tcPr>
          <w:p w14:paraId="67383E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p>
        </w:tc>
      </w:tr>
      <w:tr w14:paraId="5147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203C285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c>
          <w:tcPr>
            <w:tcW w:w="1695" w:type="dxa"/>
            <w:noWrap w:val="0"/>
            <w:vAlign w:val="center"/>
          </w:tcPr>
          <w:p w14:paraId="4899B3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企业业绩</w:t>
            </w:r>
          </w:p>
        </w:tc>
        <w:tc>
          <w:tcPr>
            <w:tcW w:w="5604" w:type="dxa"/>
            <w:noWrap w:val="0"/>
            <w:vAlign w:val="center"/>
          </w:tcPr>
          <w:p w14:paraId="282298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投标人2022年7月1日以来承接过充电桩供货安装项目，得1分。</w:t>
            </w:r>
          </w:p>
          <w:p w14:paraId="6023FF3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投标人2022年7月1日以来承接过10kv以下（含）的电力工程安装项目，每个得1分，最多得2分。</w:t>
            </w:r>
          </w:p>
          <w:p w14:paraId="3073EE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投标文件中必须提供合同或其他可证明承接业务的相关资料。若业绩证明材料无法提现项目规模的，除上述材料外还应提供业主证明复印件加盖投标人公章。</w:t>
            </w:r>
          </w:p>
          <w:p w14:paraId="3A235CF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若联合体投标的，任意一方提供均可。</w:t>
            </w:r>
          </w:p>
        </w:tc>
        <w:tc>
          <w:tcPr>
            <w:tcW w:w="895" w:type="dxa"/>
            <w:noWrap w:val="0"/>
            <w:vAlign w:val="center"/>
          </w:tcPr>
          <w:p w14:paraId="275D2CF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p>
        </w:tc>
      </w:tr>
      <w:tr w14:paraId="3C7C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4B1A94E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p>
        </w:tc>
        <w:tc>
          <w:tcPr>
            <w:tcW w:w="1695" w:type="dxa"/>
            <w:noWrap w:val="0"/>
            <w:vAlign w:val="center"/>
          </w:tcPr>
          <w:p w14:paraId="3AFC0B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加工能力、制造水平</w:t>
            </w:r>
          </w:p>
        </w:tc>
        <w:tc>
          <w:tcPr>
            <w:tcW w:w="5604" w:type="dxa"/>
            <w:noWrap w:val="0"/>
            <w:vAlign w:val="center"/>
          </w:tcPr>
          <w:p w14:paraId="10C0D4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根据投标人拟投产品的品牌技术响应度、充电桩产品的关键部位设计、是否分仓、生产工艺、制造试验能力等核心生产能力进行评分，生产能力描述包括但不限于：产品设计方案、产品生产工艺描述、产品制造和试验能力等方面进行评分。优秀（3.6-4.0]分，良好（3.2-3.6]分，一般[2.8-3.2]分，未提供不得分。</w:t>
            </w:r>
          </w:p>
        </w:tc>
        <w:tc>
          <w:tcPr>
            <w:tcW w:w="895" w:type="dxa"/>
            <w:noWrap w:val="0"/>
            <w:vAlign w:val="center"/>
          </w:tcPr>
          <w:p w14:paraId="0F64E1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6417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restart"/>
            <w:noWrap w:val="0"/>
            <w:vAlign w:val="center"/>
          </w:tcPr>
          <w:p w14:paraId="4DEB0F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c>
          <w:tcPr>
            <w:tcW w:w="1695" w:type="dxa"/>
            <w:vMerge w:val="restart"/>
            <w:noWrap w:val="0"/>
            <w:vAlign w:val="center"/>
          </w:tcPr>
          <w:p w14:paraId="058FB8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投标货物技术指标的符合性、优越性</w:t>
            </w:r>
          </w:p>
        </w:tc>
        <w:tc>
          <w:tcPr>
            <w:tcW w:w="5604" w:type="dxa"/>
            <w:noWrap w:val="0"/>
            <w:vAlign w:val="center"/>
          </w:tcPr>
          <w:p w14:paraId="2A4672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根据招标文件招标内容和技术要求，投标的设备技术参数、商务条款是否符合招标文件的要求及符合程度进行评价，技术参数及商务条款满足或高于要求得满分；打“▲”为主要性能指标，每有一项负偏离扣1分；其他指标，每有一项负偏离扣0.5分，扣完为止。（涉及到需提供相关证明材料的内容，需提供相应的证明材料复印件加盖投标人公章，不提供视为不响应）</w:t>
            </w:r>
          </w:p>
        </w:tc>
        <w:tc>
          <w:tcPr>
            <w:tcW w:w="895" w:type="dxa"/>
            <w:noWrap w:val="0"/>
            <w:vAlign w:val="center"/>
          </w:tcPr>
          <w:p w14:paraId="61C9756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15</w:t>
            </w:r>
          </w:p>
        </w:tc>
      </w:tr>
      <w:tr w14:paraId="575D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1CEF3B1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372936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5D183B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2、投标产品安全性、可靠性：</w:t>
            </w:r>
          </w:p>
          <w:p w14:paraId="6C1C0DB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投标人所投充电产品具备主动防护、断电自检、故障录波等功能是否能按照招标文件的要求进行响应，且满足招标要求等方面进行综合评分。优秀（3.6-4.0]分，良好（3.2-3.6]分，一般[2.8-3.2]分，未提供不得分。</w:t>
            </w:r>
          </w:p>
        </w:tc>
        <w:tc>
          <w:tcPr>
            <w:tcW w:w="895" w:type="dxa"/>
            <w:noWrap w:val="0"/>
            <w:vAlign w:val="center"/>
          </w:tcPr>
          <w:p w14:paraId="607F82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449D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0AD5DC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16FA01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6FD513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3、投标产品的防漏电保护性、阻燃耐腐蚀性：</w:t>
            </w:r>
          </w:p>
          <w:p w14:paraId="74CA8F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所投充电产品需满足以下条件：柜门打开时充电机应立即切断输出；充电终端（桩）在待机状态下的输入电源电压应不高于人体安全电压；充电机内导线需具备阻燃和耐腐蚀一级能力。每项满足招标要求者得1分，共计3分，若不符合要求或不提供则不得分。</w:t>
            </w:r>
          </w:p>
        </w:tc>
        <w:tc>
          <w:tcPr>
            <w:tcW w:w="895" w:type="dxa"/>
            <w:noWrap w:val="0"/>
            <w:vAlign w:val="center"/>
          </w:tcPr>
          <w:p w14:paraId="064C9D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w:t>
            </w:r>
          </w:p>
        </w:tc>
      </w:tr>
      <w:tr w14:paraId="54D7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4B7D77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305C16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620C46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4、投标产品的实用性、综合防护性：</w:t>
            </w:r>
          </w:p>
          <w:p w14:paraId="3BEB80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4.1充电设备所用充电模块具有功率变换控制软件，可实现告警及保护、稳压限流、通信功能等功能，提供功率变换控制软件报告（封面具有CNAS和CMA认证）证明其功能，相应的知识产权（软著或专利）证明其自研能力，满足得2分，不满足不得分。</w:t>
            </w:r>
          </w:p>
          <w:p w14:paraId="2F1423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4.2充电设备所用充电模块具有功率管理软件，可实现故障管理、主辅识别等功能，提供功率管理软件报告（封面具有CNAS和CMA认证）证明其功能，相应的知识产权（软著或专利）证明其自研能力，满足得2分，不满足不得分。</w:t>
            </w:r>
          </w:p>
        </w:tc>
        <w:tc>
          <w:tcPr>
            <w:tcW w:w="895" w:type="dxa"/>
            <w:noWrap w:val="0"/>
            <w:vAlign w:val="center"/>
          </w:tcPr>
          <w:p w14:paraId="704045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52F8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752F89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3A5DB5A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5D566E5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5、投标产品的预警安全性、全面性：</w:t>
            </w:r>
          </w:p>
          <w:p w14:paraId="6470778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所投产品中安全预警设备至少具备1个Type-C端口、1个LAN端口、1个AUDIO接口，全面满足日常使用需求。在监测到人员倒地等预警情况时，能够及时发送通知至平台，并触发充电桩断电控制，从而进行综合评分。优秀（3.6-4.0]分，良好（3.2-3.6]分，一般[2.8-3.2]分，若不符合要求或未提供不得分。</w:t>
            </w:r>
          </w:p>
        </w:tc>
        <w:tc>
          <w:tcPr>
            <w:tcW w:w="895" w:type="dxa"/>
            <w:noWrap w:val="0"/>
            <w:vAlign w:val="center"/>
          </w:tcPr>
          <w:p w14:paraId="254F6F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4335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restart"/>
            <w:noWrap w:val="0"/>
            <w:vAlign w:val="center"/>
          </w:tcPr>
          <w:p w14:paraId="68E2E8F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5</w:t>
            </w:r>
          </w:p>
        </w:tc>
        <w:tc>
          <w:tcPr>
            <w:tcW w:w="1695" w:type="dxa"/>
            <w:vMerge w:val="restart"/>
            <w:noWrap w:val="0"/>
            <w:vAlign w:val="center"/>
          </w:tcPr>
          <w:p w14:paraId="470DEC2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组织实施方案</w:t>
            </w:r>
          </w:p>
        </w:tc>
        <w:tc>
          <w:tcPr>
            <w:tcW w:w="5604" w:type="dxa"/>
            <w:noWrap w:val="0"/>
            <w:vAlign w:val="center"/>
          </w:tcPr>
          <w:p w14:paraId="5F440F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进度计划和保证的可行性、合理性：</w:t>
            </w:r>
          </w:p>
          <w:p w14:paraId="7EAD527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根据投标人提供的安装进度计划、保证措施、劳动力及材料供应计划以及安装方案内容完整性、科学合理性、实施性等进行综合评议。优秀（3.6-4.0]分，良好（3.2-3.6]分，一般[2.8-3.2]分，若不符合要求或未提供不得分。</w:t>
            </w:r>
          </w:p>
        </w:tc>
        <w:tc>
          <w:tcPr>
            <w:tcW w:w="895" w:type="dxa"/>
            <w:noWrap w:val="0"/>
            <w:vAlign w:val="center"/>
          </w:tcPr>
          <w:p w14:paraId="3CB93B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6B69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744DC4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138FA79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01B2AB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2、安全生产、文明安装、环保措施：</w:t>
            </w:r>
          </w:p>
          <w:p w14:paraId="2A9FAC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根据投标人提供的关于充电桩安装以及接电过程中的安全生产措施、文明安装措施、环境保护措施以及安全文明安装方案内容完整性、科学合理性、实施性等进行综合评议。优秀（3.6-4.0]分，良好（3.2-3.6]分，一般[2.8-3.2]分，若不符合要求或未提供不得分。</w:t>
            </w:r>
          </w:p>
        </w:tc>
        <w:tc>
          <w:tcPr>
            <w:tcW w:w="895" w:type="dxa"/>
            <w:noWrap w:val="0"/>
            <w:vAlign w:val="center"/>
          </w:tcPr>
          <w:p w14:paraId="01A115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5FBF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13EDC07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4AFD01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1586F9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3、安装组织调试验收方案：</w:t>
            </w:r>
          </w:p>
          <w:p w14:paraId="6F4260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根据投标人对项目理解实际情况，编制整体设备安装组织方案，包括但不限于安装方案、安装工艺、调试方案、验收方案，评委根据投标人提供的设备安装组织方案等进行综合评分。优秀（3.6-4.0]分，良好（3.2-3.6]分，一般[2.8-3.2]分，若不符合要求或未提供不得分。</w:t>
            </w:r>
          </w:p>
        </w:tc>
        <w:tc>
          <w:tcPr>
            <w:tcW w:w="895" w:type="dxa"/>
            <w:noWrap w:val="0"/>
            <w:vAlign w:val="center"/>
          </w:tcPr>
          <w:p w14:paraId="2DD7DE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w:t>
            </w:r>
          </w:p>
        </w:tc>
      </w:tr>
      <w:tr w14:paraId="71A8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3CA2D4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7D2702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4602D7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4、通电方案：</w:t>
            </w:r>
          </w:p>
          <w:p w14:paraId="27871ED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根据投标人对接入上级电源的实施方案、通电实施方案及保障措施等内容进行综合评分。优秀（5.2-6.0]分，良好（4.4-5.2]分，一般[3.6-4.4]分，若不符合要求或未提供不得分。</w:t>
            </w:r>
          </w:p>
        </w:tc>
        <w:tc>
          <w:tcPr>
            <w:tcW w:w="895" w:type="dxa"/>
            <w:noWrap w:val="0"/>
            <w:vAlign w:val="center"/>
          </w:tcPr>
          <w:p w14:paraId="3C3E142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6</w:t>
            </w:r>
          </w:p>
        </w:tc>
      </w:tr>
      <w:tr w14:paraId="14FE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64BDDBA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6</w:t>
            </w:r>
          </w:p>
        </w:tc>
        <w:tc>
          <w:tcPr>
            <w:tcW w:w="1695" w:type="dxa"/>
            <w:noWrap w:val="0"/>
            <w:vAlign w:val="center"/>
          </w:tcPr>
          <w:p w14:paraId="63F625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项目负责人</w:t>
            </w:r>
          </w:p>
          <w:p w14:paraId="634A2E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要求</w:t>
            </w:r>
          </w:p>
        </w:tc>
        <w:tc>
          <w:tcPr>
            <w:tcW w:w="5604" w:type="dxa"/>
            <w:noWrap w:val="0"/>
            <w:vAlign w:val="center"/>
          </w:tcPr>
          <w:p w14:paraId="094167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项目负责人具有机电工程一级建造师注册证书得1分，机电工程相关专业高级工程师及以上职称证书得1分；本项最多得2分。</w:t>
            </w:r>
          </w:p>
          <w:p w14:paraId="4D954B5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投标文件中须提供上述人员注册证书复印件及投标人为其缴纳的2025年10月-2025年12月的社保证明复印件加盖投标人公章。</w:t>
            </w:r>
          </w:p>
        </w:tc>
        <w:tc>
          <w:tcPr>
            <w:tcW w:w="895" w:type="dxa"/>
            <w:noWrap w:val="0"/>
            <w:vAlign w:val="center"/>
          </w:tcPr>
          <w:p w14:paraId="4A99062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r>
      <w:tr w14:paraId="0DF1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3A3C80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7</w:t>
            </w:r>
          </w:p>
        </w:tc>
        <w:tc>
          <w:tcPr>
            <w:tcW w:w="1695" w:type="dxa"/>
            <w:noWrap w:val="0"/>
            <w:vAlign w:val="center"/>
          </w:tcPr>
          <w:p w14:paraId="1D77CA6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技术负责人</w:t>
            </w:r>
          </w:p>
          <w:p w14:paraId="48C8615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要求</w:t>
            </w:r>
          </w:p>
        </w:tc>
        <w:tc>
          <w:tcPr>
            <w:tcW w:w="5604" w:type="dxa"/>
            <w:noWrap w:val="0"/>
            <w:vAlign w:val="center"/>
          </w:tcPr>
          <w:p w14:paraId="7B31D80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技术负责人具有注册电气工程师证书(供配电)证书得1分，工程类高级工程师以上职称证书得1分；本项最多得2分。投标文件中须提供上述人员注册证书复印件及投标人为其缴纳的2025年10月-2025年12月的社保证明复印件加盖投标人公章。</w:t>
            </w:r>
          </w:p>
        </w:tc>
        <w:tc>
          <w:tcPr>
            <w:tcW w:w="895" w:type="dxa"/>
            <w:noWrap w:val="0"/>
            <w:vAlign w:val="center"/>
          </w:tcPr>
          <w:p w14:paraId="309196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r>
      <w:tr w14:paraId="3D1D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restart"/>
            <w:noWrap w:val="0"/>
            <w:vAlign w:val="center"/>
          </w:tcPr>
          <w:p w14:paraId="5136DB1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1695" w:type="dxa"/>
            <w:vMerge w:val="restart"/>
            <w:noWrap w:val="0"/>
            <w:vAlign w:val="center"/>
          </w:tcPr>
          <w:p w14:paraId="32582F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投标人是否具有较强的本地化服务能力、售后服务承诺、提供的售后服务方案的可行性、完整性以及服务承诺落实的保障措施，质保期内外的后续技术支持和维护能力情况等。</w:t>
            </w:r>
          </w:p>
        </w:tc>
        <w:tc>
          <w:tcPr>
            <w:tcW w:w="5604" w:type="dxa"/>
            <w:noWrap w:val="0"/>
            <w:vAlign w:val="center"/>
          </w:tcPr>
          <w:p w14:paraId="2DE7A2F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1、根据投标人提供质保期内上门巡检的时间及内容，技术支持方案实施可行性及响应时间及处理时间等进行综合评议。优秀（1.8-2.0]分，良好（1.6-1.8]分，一般[1.4-1.6]分，若不符合要求或未提供不得分。</w:t>
            </w:r>
          </w:p>
        </w:tc>
        <w:tc>
          <w:tcPr>
            <w:tcW w:w="895" w:type="dxa"/>
            <w:noWrap w:val="0"/>
            <w:vAlign w:val="center"/>
          </w:tcPr>
          <w:p w14:paraId="662987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r>
      <w:tr w14:paraId="7DA2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17FD935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43223BE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2A11C1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2、售后服务方案：</w:t>
            </w:r>
          </w:p>
          <w:p w14:paraId="4E761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针对本项目提供全面具体的售后服务方案，包括售后服务人员组织体系、质量保证措施、售后服务承诺、技术支持人员、故障处理时限、培训方案等。评委根据售后服务方案内容进行评审。优秀（1.8-2.0]分，良好（1.6-1.8]分，一般[1.4-1.6]分，若不符合要求或未提供不得分。</w:t>
            </w:r>
          </w:p>
        </w:tc>
        <w:tc>
          <w:tcPr>
            <w:tcW w:w="895" w:type="dxa"/>
            <w:noWrap w:val="0"/>
            <w:vAlign w:val="center"/>
          </w:tcPr>
          <w:p w14:paraId="38E58E0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r>
      <w:tr w14:paraId="1AB6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7E8B3F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56BB2C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5848577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3、售后质保期：</w:t>
            </w:r>
          </w:p>
          <w:p w14:paraId="0331DFF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根据投标人提供的质保期限进行评审，在满足本项目质保期限的基础上，每增加一年，得1分，本项最高得2分。</w:t>
            </w:r>
          </w:p>
        </w:tc>
        <w:tc>
          <w:tcPr>
            <w:tcW w:w="895" w:type="dxa"/>
            <w:noWrap w:val="0"/>
            <w:vAlign w:val="center"/>
          </w:tcPr>
          <w:p w14:paraId="6A7E66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r>
      <w:tr w14:paraId="45B0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vMerge w:val="continue"/>
            <w:noWrap w:val="0"/>
            <w:vAlign w:val="center"/>
          </w:tcPr>
          <w:p w14:paraId="00F3D1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p>
        </w:tc>
        <w:tc>
          <w:tcPr>
            <w:tcW w:w="1695" w:type="dxa"/>
            <w:vMerge w:val="continue"/>
            <w:noWrap w:val="0"/>
            <w:vAlign w:val="center"/>
          </w:tcPr>
          <w:p w14:paraId="29B937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p>
        </w:tc>
        <w:tc>
          <w:tcPr>
            <w:tcW w:w="5604" w:type="dxa"/>
            <w:noWrap w:val="0"/>
            <w:vAlign w:val="center"/>
          </w:tcPr>
          <w:p w14:paraId="27E688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4、应急方案：</w:t>
            </w:r>
          </w:p>
          <w:p w14:paraId="343B3CC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 xml:space="preserve">根据投标人提供的应急相应措施方案（包括但不限于设备配送、设备安装、场站突发状况等处置）以及应急方案内容齐全、科学合理性进行综合评议。优秀（1.8-2.0]分，良好（1.6-1.8]分， </w:t>
            </w:r>
          </w:p>
          <w:p w14:paraId="68C19E2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一般[1.4-1.6]分，若不符合要求或未提供不得分。</w:t>
            </w:r>
          </w:p>
        </w:tc>
        <w:tc>
          <w:tcPr>
            <w:tcW w:w="895" w:type="dxa"/>
            <w:noWrap w:val="0"/>
            <w:vAlign w:val="center"/>
          </w:tcPr>
          <w:p w14:paraId="2F0725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2</w:t>
            </w:r>
          </w:p>
        </w:tc>
      </w:tr>
    </w:tbl>
    <w:p w14:paraId="79854721">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备注：</w:t>
      </w:r>
    </w:p>
    <w:p w14:paraId="18DE13E9">
      <w:pPr>
        <w:keepNext w:val="0"/>
        <w:keepLines w:val="0"/>
        <w:pageBreakBefore w:val="0"/>
        <w:widowControl w:val="0"/>
        <w:kinsoku/>
        <w:wordWrap/>
        <w:overflowPunct/>
        <w:topLinePunct w:val="0"/>
        <w:autoSpaceDE/>
        <w:autoSpaceDN/>
        <w:bidi w:val="0"/>
        <w:spacing w:line="360" w:lineRule="exact"/>
        <w:ind w:firstLine="482" w:firstLineChars="200"/>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上限值包含本数，下限值不包含本数。</w:t>
      </w:r>
    </w:p>
    <w:p w14:paraId="2183F705">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 xml:space="preserve">1、所有证书都应在有效期内，逾期不得分。 </w:t>
      </w:r>
    </w:p>
    <w:p w14:paraId="3E8F8647">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 xml:space="preserve">2、供应商编制投标文件（商务技术（资信）文件部分）时，建议按此目录（序号和内容）提供评标标准相应的商务技术（资信）资料。 </w:t>
      </w:r>
    </w:p>
    <w:p w14:paraId="42803499">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3、若是联合体投标，联合体成员单位只要任何一方有相应的业绩、资质或人员等均予以认可，都将按上述评分细则进行计分、得分。</w:t>
      </w:r>
    </w:p>
    <w:p w14:paraId="5FEE6CCF">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4、商务技术（资信）评分项序号4中的评分内容，投标文件中应提供充电产品的制造商或厂商的产品授权书，否则该项内容不予得分。</w:t>
      </w:r>
    </w:p>
    <w:p w14:paraId="7FD87A1D">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5、如投标人未如实披露关联关系，一经查实，不论处于招标过程的任何阶段，其投标均将被视为无效，投标保证金不予退还，并列入我方黑名单。同时采购人将保留追究其法律责任的权利。</w:t>
      </w:r>
    </w:p>
    <w:p w14:paraId="2A81F0E7">
      <w:pPr>
        <w:keepNext w:val="0"/>
        <w:keepLines w:val="0"/>
        <w:pageBreakBefore w:val="0"/>
        <w:widowControl/>
        <w:kinsoku/>
        <w:wordWrap/>
        <w:overflowPunct/>
        <w:topLinePunct w:val="0"/>
        <w:autoSpaceDE/>
        <w:autoSpaceDN/>
        <w:bidi w:val="0"/>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bCs/>
          <w:i w:val="0"/>
          <w:iCs w:val="0"/>
          <w:color w:val="auto"/>
          <w:sz w:val="24"/>
          <w:highlight w:val="none"/>
          <w:lang w:val="en-US" w:eastAsia="zh-CN"/>
        </w:rPr>
        <w:t>2.2</w:t>
      </w:r>
      <w:r>
        <w:rPr>
          <w:rFonts w:hint="eastAsia" w:ascii="仿宋" w:hAnsi="仿宋" w:eastAsia="仿宋" w:cs="仿宋"/>
          <w:b/>
          <w:color w:val="auto"/>
          <w:sz w:val="24"/>
          <w:szCs w:val="24"/>
          <w:highlight w:val="none"/>
          <w:lang w:val="en-US" w:eastAsia="zh-CN"/>
        </w:rPr>
        <w:t>价格分30</w:t>
      </w:r>
      <w:r>
        <w:rPr>
          <w:rFonts w:hint="eastAsia" w:ascii="仿宋" w:hAnsi="仿宋" w:eastAsia="仿宋" w:cs="仿宋"/>
          <w:b/>
          <w:color w:val="auto"/>
          <w:sz w:val="24"/>
          <w:szCs w:val="24"/>
          <w:highlight w:val="none"/>
        </w:rPr>
        <w:t>分，评标办法</w:t>
      </w:r>
      <w:r>
        <w:rPr>
          <w:rFonts w:hint="eastAsia" w:ascii="仿宋" w:hAnsi="仿宋" w:eastAsia="仿宋" w:cs="仿宋"/>
          <w:b/>
          <w:color w:val="auto"/>
          <w:sz w:val="24"/>
          <w:szCs w:val="24"/>
          <w:highlight w:val="none"/>
          <w:lang w:val="en-US" w:eastAsia="zh-CN"/>
        </w:rPr>
        <w:t>分别</w:t>
      </w:r>
      <w:r>
        <w:rPr>
          <w:rFonts w:hint="eastAsia" w:ascii="仿宋" w:hAnsi="仿宋" w:eastAsia="仿宋" w:cs="仿宋"/>
          <w:b/>
          <w:color w:val="auto"/>
          <w:sz w:val="24"/>
          <w:szCs w:val="24"/>
          <w:highlight w:val="none"/>
        </w:rPr>
        <w:t>如下：</w:t>
      </w:r>
    </w:p>
    <w:p w14:paraId="6B42C5E1">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设备价格分10分：</w:t>
      </w:r>
    </w:p>
    <w:p w14:paraId="0E683D47">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评标基准价：即满足</w:t>
      </w:r>
      <w:r>
        <w:rPr>
          <w:rFonts w:hint="eastAsia" w:ascii="仿宋" w:hAnsi="仿宋" w:eastAsia="仿宋" w:cs="仿宋"/>
          <w:b w:val="0"/>
          <w:bCs/>
          <w:color w:val="auto"/>
          <w:sz w:val="24"/>
          <w:szCs w:val="24"/>
          <w:highlight w:val="none"/>
          <w:lang w:val="en-US" w:eastAsia="zh-CN"/>
        </w:rPr>
        <w:t>招标</w:t>
      </w:r>
      <w:r>
        <w:rPr>
          <w:rFonts w:hint="eastAsia" w:ascii="仿宋" w:hAnsi="仿宋" w:eastAsia="仿宋" w:cs="仿宋"/>
          <w:b w:val="0"/>
          <w:bCs/>
          <w:color w:val="auto"/>
          <w:sz w:val="24"/>
          <w:szCs w:val="24"/>
          <w:highlight w:val="none"/>
        </w:rPr>
        <w:t>文件要求且报价最低的</w:t>
      </w:r>
      <w:r>
        <w:rPr>
          <w:rFonts w:hint="eastAsia" w:ascii="仿宋" w:hAnsi="仿宋" w:eastAsia="仿宋" w:cs="仿宋"/>
          <w:b w:val="0"/>
          <w:bCs/>
          <w:color w:val="auto"/>
          <w:sz w:val="24"/>
          <w:szCs w:val="24"/>
          <w:highlight w:val="none"/>
          <w:lang w:val="en-US" w:eastAsia="zh-CN"/>
        </w:rPr>
        <w:t>投标</w:t>
      </w:r>
      <w:r>
        <w:rPr>
          <w:rFonts w:hint="eastAsia" w:ascii="仿宋" w:hAnsi="仿宋" w:eastAsia="仿宋" w:cs="仿宋"/>
          <w:b w:val="0"/>
          <w:bCs/>
          <w:color w:val="auto"/>
          <w:sz w:val="24"/>
          <w:szCs w:val="24"/>
          <w:highlight w:val="none"/>
        </w:rPr>
        <w:t>报价为评标基准价，其价格分为满分。</w:t>
      </w:r>
    </w:p>
    <w:p w14:paraId="5AE799CC">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其他</w:t>
      </w:r>
      <w:r>
        <w:rPr>
          <w:rFonts w:hint="eastAsia" w:ascii="仿宋" w:hAnsi="仿宋" w:eastAsia="仿宋" w:cs="仿宋"/>
          <w:b w:val="0"/>
          <w:bCs/>
          <w:color w:val="auto"/>
          <w:sz w:val="24"/>
          <w:szCs w:val="24"/>
          <w:highlight w:val="none"/>
          <w:lang w:eastAsia="zh-CN"/>
        </w:rPr>
        <w:t>投标人</w:t>
      </w:r>
      <w:r>
        <w:rPr>
          <w:rFonts w:hint="eastAsia" w:ascii="仿宋" w:hAnsi="仿宋" w:eastAsia="仿宋" w:cs="仿宋"/>
          <w:b w:val="0"/>
          <w:bCs/>
          <w:color w:val="auto"/>
          <w:sz w:val="24"/>
          <w:szCs w:val="24"/>
          <w:highlight w:val="none"/>
        </w:rPr>
        <w:t>的价格分统一按照下列公式计算：</w:t>
      </w:r>
    </w:p>
    <w:p w14:paraId="143CB49D">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设备部分</w:t>
      </w:r>
      <w:r>
        <w:rPr>
          <w:rFonts w:hint="eastAsia" w:ascii="仿宋" w:hAnsi="仿宋" w:eastAsia="仿宋" w:cs="仿宋"/>
          <w:b w:val="0"/>
          <w:bCs/>
          <w:color w:val="auto"/>
          <w:sz w:val="24"/>
          <w:szCs w:val="24"/>
          <w:highlight w:val="none"/>
        </w:rPr>
        <w:t>报价得分=(</w:t>
      </w:r>
      <w:r>
        <w:rPr>
          <w:rFonts w:hint="eastAsia" w:ascii="仿宋" w:hAnsi="仿宋" w:eastAsia="仿宋" w:cs="仿宋"/>
          <w:b w:val="0"/>
          <w:bCs/>
          <w:color w:val="auto"/>
          <w:sz w:val="24"/>
          <w:szCs w:val="24"/>
          <w:highlight w:val="none"/>
          <w:lang w:val="en-US" w:eastAsia="zh-CN"/>
        </w:rPr>
        <w:t>设备部分</w:t>
      </w:r>
      <w:r>
        <w:rPr>
          <w:rFonts w:hint="eastAsia" w:ascii="仿宋" w:hAnsi="仿宋" w:eastAsia="仿宋" w:cs="仿宋"/>
          <w:b w:val="0"/>
          <w:bCs/>
          <w:color w:val="auto"/>
          <w:sz w:val="24"/>
          <w:szCs w:val="24"/>
          <w:highlight w:val="none"/>
        </w:rPr>
        <w:t>评标基准价／</w:t>
      </w:r>
      <w:r>
        <w:rPr>
          <w:rFonts w:hint="eastAsia" w:ascii="仿宋" w:hAnsi="仿宋" w:eastAsia="仿宋" w:cs="仿宋"/>
          <w:b w:val="0"/>
          <w:bCs/>
          <w:color w:val="auto"/>
          <w:sz w:val="24"/>
          <w:szCs w:val="24"/>
          <w:highlight w:val="none"/>
          <w:lang w:val="en-US" w:eastAsia="zh-CN"/>
        </w:rPr>
        <w:t>设备部分投标</w:t>
      </w:r>
      <w:r>
        <w:rPr>
          <w:rFonts w:hint="eastAsia" w:ascii="仿宋" w:hAnsi="仿宋" w:eastAsia="仿宋" w:cs="仿宋"/>
          <w:b w:val="0"/>
          <w:bCs/>
          <w:color w:val="auto"/>
          <w:sz w:val="24"/>
          <w:szCs w:val="24"/>
          <w:highlight w:val="none"/>
        </w:rPr>
        <w:t>报价)×价格权值×100</w:t>
      </w:r>
    </w:p>
    <w:p w14:paraId="415D27D5">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rPr>
        <w:t>即：</w:t>
      </w:r>
      <w:r>
        <w:rPr>
          <w:rFonts w:hint="eastAsia" w:ascii="仿宋" w:hAnsi="仿宋" w:eastAsia="仿宋" w:cs="仿宋"/>
          <w:b w:val="0"/>
          <w:bCs/>
          <w:color w:val="auto"/>
          <w:sz w:val="24"/>
          <w:szCs w:val="24"/>
          <w:highlight w:val="none"/>
          <w:lang w:val="en-US" w:eastAsia="zh-CN"/>
        </w:rPr>
        <w:t>设备部分</w:t>
      </w:r>
      <w:r>
        <w:rPr>
          <w:rFonts w:hint="eastAsia" w:ascii="仿宋" w:hAnsi="仿宋" w:eastAsia="仿宋" w:cs="仿宋"/>
          <w:b w:val="0"/>
          <w:bCs/>
          <w:color w:val="auto"/>
          <w:sz w:val="24"/>
          <w:szCs w:val="24"/>
          <w:highlight w:val="none"/>
        </w:rPr>
        <w:t>报价得分=(</w:t>
      </w:r>
      <w:r>
        <w:rPr>
          <w:rFonts w:hint="eastAsia" w:ascii="仿宋" w:hAnsi="仿宋" w:eastAsia="仿宋" w:cs="仿宋"/>
          <w:b w:val="0"/>
          <w:bCs/>
          <w:color w:val="auto"/>
          <w:sz w:val="24"/>
          <w:szCs w:val="24"/>
          <w:highlight w:val="none"/>
          <w:lang w:val="en-US" w:eastAsia="zh-CN"/>
        </w:rPr>
        <w:t>设备部分</w:t>
      </w:r>
      <w:r>
        <w:rPr>
          <w:rFonts w:hint="eastAsia" w:ascii="仿宋" w:hAnsi="仿宋" w:eastAsia="仿宋" w:cs="仿宋"/>
          <w:b w:val="0"/>
          <w:bCs/>
          <w:color w:val="auto"/>
          <w:sz w:val="24"/>
          <w:szCs w:val="24"/>
          <w:highlight w:val="none"/>
        </w:rPr>
        <w:t>评标基准价／</w:t>
      </w:r>
      <w:r>
        <w:rPr>
          <w:rFonts w:hint="eastAsia" w:ascii="仿宋" w:hAnsi="仿宋" w:eastAsia="仿宋" w:cs="仿宋"/>
          <w:b w:val="0"/>
          <w:bCs/>
          <w:color w:val="auto"/>
          <w:sz w:val="24"/>
          <w:szCs w:val="24"/>
          <w:highlight w:val="none"/>
          <w:lang w:val="en-US" w:eastAsia="zh-CN"/>
        </w:rPr>
        <w:t>设备部分投标</w:t>
      </w:r>
      <w:r>
        <w:rPr>
          <w:rFonts w:hint="eastAsia" w:ascii="仿宋" w:hAnsi="仿宋" w:eastAsia="仿宋" w:cs="仿宋"/>
          <w:b w:val="0"/>
          <w:bCs/>
          <w:color w:val="auto"/>
          <w:sz w:val="24"/>
          <w:szCs w:val="24"/>
          <w:highlight w:val="none"/>
        </w:rPr>
        <w:t>报价)×</w:t>
      </w:r>
      <w:r>
        <w:rPr>
          <w:rFonts w:hint="eastAsia" w:ascii="仿宋" w:hAnsi="仿宋" w:eastAsia="仿宋" w:cs="仿宋"/>
          <w:b w:val="0"/>
          <w:bCs/>
          <w:color w:val="auto"/>
          <w:sz w:val="24"/>
          <w:szCs w:val="24"/>
          <w:highlight w:val="none"/>
          <w:lang w:val="en-US" w:eastAsia="zh-CN"/>
        </w:rPr>
        <w:t>10</w:t>
      </w:r>
    </w:p>
    <w:p w14:paraId="75D89037">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（2）安装价格分20分：</w:t>
      </w:r>
    </w:p>
    <w:p w14:paraId="05424AB9">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设投标人投标下浮率为Xi（下浮率报价最多保留小数点后</w:t>
      </w:r>
      <w:r>
        <w:rPr>
          <w:rFonts w:hint="eastAsia" w:ascii="仿宋" w:hAnsi="仿宋" w:eastAsia="仿宋" w:cs="仿宋"/>
          <w:b w:val="0"/>
          <w:bCs/>
          <w:color w:val="auto"/>
          <w:sz w:val="24"/>
          <w:szCs w:val="24"/>
          <w:highlight w:val="none"/>
          <w:lang w:val="en-US" w:eastAsia="zh-CN"/>
        </w:rPr>
        <w:t>两</w:t>
      </w:r>
      <w:r>
        <w:rPr>
          <w:rFonts w:hint="eastAsia" w:ascii="仿宋" w:hAnsi="仿宋" w:eastAsia="仿宋" w:cs="仿宋"/>
          <w:b w:val="0"/>
          <w:bCs/>
          <w:color w:val="auto"/>
          <w:sz w:val="24"/>
          <w:szCs w:val="24"/>
          <w:highlight w:val="none"/>
        </w:rPr>
        <w:t>位</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小数点后第三位</w:t>
      </w:r>
      <w:r>
        <w:rPr>
          <w:rFonts w:hint="eastAsia" w:ascii="仿宋" w:hAnsi="仿宋" w:eastAsia="仿宋" w:cs="仿宋"/>
          <w:b w:val="0"/>
          <w:bCs/>
          <w:color w:val="auto"/>
          <w:sz w:val="24"/>
          <w:szCs w:val="24"/>
          <w:highlight w:val="none"/>
          <w:lang w:val="en-US" w:eastAsia="zh-CN"/>
        </w:rPr>
        <w:t>四舍五入计算</w:t>
      </w:r>
      <w:r>
        <w:rPr>
          <w:rFonts w:hint="eastAsia" w:ascii="仿宋" w:hAnsi="仿宋" w:eastAsia="仿宋" w:cs="仿宋"/>
          <w:b w:val="0"/>
          <w:bCs/>
          <w:color w:val="auto"/>
          <w:sz w:val="24"/>
          <w:szCs w:val="24"/>
          <w:highlight w:val="none"/>
        </w:rPr>
        <w:t>）。</w:t>
      </w:r>
    </w:p>
    <w:p w14:paraId="542AC8B5">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下浮率抽取由</w:t>
      </w:r>
      <w:r>
        <w:rPr>
          <w:rFonts w:hint="eastAsia" w:ascii="仿宋" w:hAnsi="仿宋" w:eastAsia="仿宋" w:cs="仿宋"/>
          <w:b w:val="0"/>
          <w:bCs/>
          <w:color w:val="auto"/>
          <w:sz w:val="24"/>
          <w:szCs w:val="24"/>
          <w:highlight w:val="none"/>
          <w:lang w:eastAsia="zh-CN"/>
        </w:rPr>
        <w:t>招标人</w:t>
      </w:r>
      <w:r>
        <w:rPr>
          <w:rFonts w:hint="eastAsia" w:ascii="仿宋" w:hAnsi="仿宋" w:eastAsia="仿宋" w:cs="仿宋"/>
          <w:b w:val="0"/>
          <w:bCs/>
          <w:color w:val="auto"/>
          <w:sz w:val="24"/>
          <w:szCs w:val="24"/>
          <w:highlight w:val="none"/>
        </w:rPr>
        <w:t>代表在</w:t>
      </w:r>
      <w:r>
        <w:rPr>
          <w:rFonts w:hint="eastAsia" w:ascii="仿宋" w:hAnsi="仿宋" w:eastAsia="仿宋" w:cs="仿宋"/>
          <w:b w:val="0"/>
          <w:bCs/>
          <w:color w:val="auto"/>
          <w:sz w:val="24"/>
          <w:szCs w:val="24"/>
          <w:highlight w:val="none"/>
          <w:lang w:val="en-US" w:eastAsia="zh-CN"/>
        </w:rPr>
        <w:t>8%-15%</w:t>
      </w:r>
      <w:r>
        <w:rPr>
          <w:rFonts w:hint="eastAsia" w:ascii="仿宋" w:hAnsi="仿宋" w:eastAsia="仿宋" w:cs="仿宋"/>
          <w:b w:val="0"/>
          <w:bCs/>
          <w:color w:val="auto"/>
          <w:sz w:val="24"/>
          <w:szCs w:val="24"/>
          <w:highlight w:val="none"/>
        </w:rPr>
        <w:t>（含上、下限）范围内（各档之间的步长为0.5%）随机抽取两次，其算术平均值作为基准造价评估下浮率，设为Y。</w:t>
      </w:r>
    </w:p>
    <w:p w14:paraId="073EAA15">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各投标人分值评估计算如下：</w:t>
      </w:r>
    </w:p>
    <w:p w14:paraId="22542E1F">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当Xi＝Y时，得分=</w:t>
      </w:r>
      <w:r>
        <w:rPr>
          <w:rFonts w:hint="eastAsia" w:ascii="仿宋" w:hAnsi="仿宋" w:eastAsia="仿宋" w:cs="仿宋"/>
          <w:b w:val="0"/>
          <w:bCs/>
          <w:color w:val="auto"/>
          <w:sz w:val="24"/>
          <w:szCs w:val="24"/>
          <w:highlight w:val="none"/>
          <w:lang w:val="en-US" w:eastAsia="zh-CN"/>
        </w:rPr>
        <w:t>20</w:t>
      </w:r>
      <w:r>
        <w:rPr>
          <w:rFonts w:hint="eastAsia" w:ascii="仿宋" w:hAnsi="仿宋" w:eastAsia="仿宋" w:cs="仿宋"/>
          <w:b w:val="0"/>
          <w:bCs/>
          <w:color w:val="auto"/>
          <w:sz w:val="24"/>
          <w:szCs w:val="24"/>
          <w:highlight w:val="none"/>
        </w:rPr>
        <w:t>分；</w:t>
      </w:r>
    </w:p>
    <w:p w14:paraId="7E64C856">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当Xi＞Y时，得分=</w:t>
      </w:r>
      <w:r>
        <w:rPr>
          <w:rFonts w:hint="eastAsia" w:ascii="仿宋" w:hAnsi="仿宋" w:eastAsia="仿宋" w:cs="仿宋"/>
          <w:b w:val="0"/>
          <w:bCs/>
          <w:color w:val="auto"/>
          <w:sz w:val="24"/>
          <w:szCs w:val="24"/>
          <w:highlight w:val="none"/>
          <w:lang w:val="en-US" w:eastAsia="zh-CN"/>
        </w:rPr>
        <w:t>20</w:t>
      </w:r>
      <w:r>
        <w:rPr>
          <w:rFonts w:hint="eastAsia" w:ascii="仿宋" w:hAnsi="仿宋" w:eastAsia="仿宋" w:cs="仿宋"/>
          <w:b w:val="0"/>
          <w:bCs/>
          <w:color w:val="auto"/>
          <w:sz w:val="24"/>
          <w:szCs w:val="24"/>
          <w:highlight w:val="none"/>
        </w:rPr>
        <w:t>-（Xi－Y）×100×</w:t>
      </w: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rPr>
        <w:t>；</w:t>
      </w:r>
    </w:p>
    <w:p w14:paraId="4C2F7802">
      <w:pPr>
        <w:keepNext w:val="0"/>
        <w:keepLines w:val="0"/>
        <w:pageBreakBefore w:val="0"/>
        <w:widowControl w:val="0"/>
        <w:kinsoku/>
        <w:wordWrap/>
        <w:overflowPunct/>
        <w:topLinePunct w:val="0"/>
        <w:autoSpaceDE/>
        <w:autoSpaceDN/>
        <w:bidi w:val="0"/>
        <w:spacing w:line="360" w:lineRule="exact"/>
        <w:ind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当Xi＜Y时，得分=</w:t>
      </w:r>
      <w:r>
        <w:rPr>
          <w:rFonts w:hint="eastAsia" w:ascii="仿宋" w:hAnsi="仿宋" w:eastAsia="仿宋" w:cs="仿宋"/>
          <w:b w:val="0"/>
          <w:bCs/>
          <w:color w:val="auto"/>
          <w:sz w:val="24"/>
          <w:szCs w:val="24"/>
          <w:highlight w:val="none"/>
          <w:lang w:val="en-US" w:eastAsia="zh-CN"/>
        </w:rPr>
        <w:t>20</w:t>
      </w:r>
      <w:r>
        <w:rPr>
          <w:rFonts w:hint="eastAsia" w:ascii="仿宋" w:hAnsi="仿宋" w:eastAsia="仿宋" w:cs="仿宋"/>
          <w:b w:val="0"/>
          <w:bCs/>
          <w:color w:val="auto"/>
          <w:sz w:val="24"/>
          <w:szCs w:val="24"/>
          <w:highlight w:val="none"/>
        </w:rPr>
        <w:t>-（Y－Xi）×100×</w:t>
      </w:r>
      <w:r>
        <w:rPr>
          <w:rFonts w:hint="eastAsia" w:ascii="仿宋" w:hAnsi="仿宋" w:eastAsia="仿宋" w:cs="仿宋"/>
          <w:b w:val="0"/>
          <w:bCs/>
          <w:color w:val="auto"/>
          <w:sz w:val="24"/>
          <w:szCs w:val="24"/>
          <w:highlight w:val="none"/>
          <w:lang w:val="en-US" w:eastAsia="zh-CN"/>
        </w:rPr>
        <w:t>2</w:t>
      </w:r>
      <w:r>
        <w:rPr>
          <w:rFonts w:hint="eastAsia" w:ascii="仿宋" w:hAnsi="仿宋" w:eastAsia="仿宋" w:cs="仿宋"/>
          <w:b w:val="0"/>
          <w:bCs/>
          <w:color w:val="auto"/>
          <w:sz w:val="24"/>
          <w:szCs w:val="24"/>
          <w:highlight w:val="none"/>
        </w:rPr>
        <w:t>。</w:t>
      </w:r>
    </w:p>
    <w:p w14:paraId="62A2BA26">
      <w:pPr>
        <w:spacing w:line="440" w:lineRule="exact"/>
        <w:ind w:firstLine="480" w:firstLineChars="200"/>
        <w:rPr>
          <w:rFonts w:hint="eastAsia" w:ascii="仿宋" w:hAnsi="仿宋" w:eastAsia="仿宋" w:cs="仿宋"/>
          <w:b/>
          <w:bCs/>
          <w:i w:val="0"/>
          <w:iCs w:val="0"/>
          <w:color w:val="auto"/>
          <w:sz w:val="24"/>
          <w:highlight w:val="none"/>
          <w:lang w:val="en-US" w:eastAsia="zh-CN"/>
        </w:rPr>
      </w:pPr>
      <w:r>
        <w:rPr>
          <w:rFonts w:hint="eastAsia" w:ascii="仿宋" w:hAnsi="仿宋" w:eastAsia="仿宋" w:cs="仿宋"/>
          <w:b w:val="0"/>
          <w:bCs/>
          <w:color w:val="auto"/>
          <w:sz w:val="24"/>
          <w:szCs w:val="24"/>
          <w:highlight w:val="none"/>
          <w:lang w:val="en-US" w:eastAsia="zh-CN"/>
        </w:rPr>
        <w:t>（3）价格分=设备价格分+安装价格分</w:t>
      </w:r>
    </w:p>
    <w:bookmarkEnd w:id="36"/>
    <w:bookmarkEnd w:id="37"/>
    <w:p w14:paraId="5DB36F00">
      <w:pPr>
        <w:spacing w:line="440" w:lineRule="exact"/>
        <w:jc w:val="left"/>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对投标人进行排序，推荐中标候选人</w:t>
      </w:r>
    </w:p>
    <w:p w14:paraId="4C91B706">
      <w:pPr>
        <w:keepNext w:val="0"/>
        <w:keepLines w:val="0"/>
        <w:pageBreakBefore w:val="0"/>
        <w:widowControl w:val="0"/>
        <w:kinsoku/>
        <w:wordWrap/>
        <w:overflowPunct/>
        <w:topLinePunct w:val="0"/>
        <w:autoSpaceDE/>
        <w:autoSpaceDN/>
        <w:bidi w:val="0"/>
        <w:adjustRightInd w:val="0"/>
        <w:snapToGrid/>
        <w:spacing w:line="360" w:lineRule="exact"/>
        <w:ind w:left="0" w:right="0" w:firstLine="498"/>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根据综合评分对进入评分范围的投标文件按最终得分由高到低进行排序，</w:t>
      </w:r>
      <w:r>
        <w:rPr>
          <w:rFonts w:hint="eastAsia" w:ascii="仿宋" w:hAnsi="仿宋" w:eastAsia="仿宋" w:cs="仿宋"/>
          <w:color w:val="auto"/>
          <w:sz w:val="24"/>
          <w:szCs w:val="24"/>
          <w:highlight w:val="none"/>
          <w:lang w:val="en-US" w:eastAsia="zh-CN"/>
        </w:rPr>
        <w:t>总得分最高者为中标候选人。</w:t>
      </w:r>
    </w:p>
    <w:p w14:paraId="344146BA">
      <w:pPr>
        <w:keepNext w:val="0"/>
        <w:keepLines w:val="0"/>
        <w:pageBreakBefore w:val="0"/>
        <w:widowControl w:val="0"/>
        <w:kinsoku/>
        <w:wordWrap/>
        <w:overflowPunct/>
        <w:topLinePunct w:val="0"/>
        <w:autoSpaceDE/>
        <w:autoSpaceDN/>
        <w:bidi w:val="0"/>
        <w:adjustRightInd w:val="0"/>
        <w:snapToGrid/>
        <w:spacing w:line="360" w:lineRule="exact"/>
        <w:ind w:left="0" w:right="0" w:firstLine="498"/>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评分相同时，报价低者优先；评分、报价均相同时，技术得分高优先；评分、报价、技术得分均相同时，由</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通过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抽签(或□记名投票表决)方式排序。</w:t>
      </w:r>
    </w:p>
    <w:p w14:paraId="6F0CC3D9">
      <w:pPr>
        <w:spacing w:line="440" w:lineRule="exact"/>
        <w:jc w:val="left"/>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lang w:val="en-US" w:eastAsia="zh-CN"/>
        </w:rPr>
        <w:t>4.完成评标报告</w:t>
      </w:r>
    </w:p>
    <w:p w14:paraId="68396354">
      <w:pPr>
        <w:keepNext w:val="0"/>
        <w:keepLines w:val="0"/>
        <w:pageBreakBefore w:val="0"/>
        <w:widowControl w:val="0"/>
        <w:kinsoku/>
        <w:wordWrap/>
        <w:overflowPunct/>
        <w:topLinePunct w:val="0"/>
        <w:autoSpaceDE/>
        <w:autoSpaceDN/>
        <w:bidi w:val="0"/>
        <w:adjustRightInd w:val="0"/>
        <w:snapToGrid/>
        <w:spacing w:line="360" w:lineRule="exact"/>
        <w:ind w:left="0" w:right="0" w:firstLine="498"/>
        <w:jc w:val="both"/>
        <w:textAlignment w:val="auto"/>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lang w:val="en-US" w:eastAsia="zh-CN" w:bidi="ar-SA"/>
        </w:rPr>
        <w:t>(一)评审小组应当向招标人提交书面评标报告。评标报告由评审小组全体成员签字。对评标结果有不同意见的评审小组成员应当以书面形式说明其不同意见和理由，评标报告应</w:t>
      </w:r>
      <w:r>
        <w:rPr>
          <w:rFonts w:hint="eastAsia" w:ascii="仿宋" w:hAnsi="仿宋" w:eastAsia="仿宋" w:cs="仿宋"/>
          <w:color w:val="auto"/>
          <w:sz w:val="24"/>
          <w:szCs w:val="24"/>
          <w:highlight w:val="none"/>
        </w:rPr>
        <w:t>当注明该不同意见。</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成员拒绝在评标报告上签字又不书面说明其不同意见和理由的，视为同意评标结果。</w:t>
      </w:r>
    </w:p>
    <w:p w14:paraId="5F94A708">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14:textOutline w14:w="4356" w14:cap="sq" w14:cmpd="sng" w14:algn="ctr">
            <w14:solidFill>
              <w14:srgbClr w14:val="000000"/>
            </w14:solidFill>
            <w14:prstDash w14:val="solid"/>
            <w14:bevel/>
          </w14:textOutline>
        </w:rPr>
        <w:t>（</w:t>
      </w:r>
      <w:r>
        <w:rPr>
          <w:rFonts w:hint="eastAsia" w:ascii="仿宋" w:hAnsi="仿宋" w:eastAsia="仿宋" w:cs="仿宋"/>
          <w:color w:val="auto"/>
          <w:sz w:val="24"/>
          <w:szCs w:val="24"/>
          <w:highlight w:val="none"/>
          <w:lang w:val="en-US" w:eastAsia="zh-CN"/>
          <w14:textOutline w14:w="4356" w14:cap="sq" w14:cmpd="sng" w14:algn="ctr">
            <w14:solidFill>
              <w14:srgbClr w14:val="000000"/>
            </w14:solidFill>
            <w14:prstDash w14:val="solid"/>
            <w14:bevel/>
          </w14:textOutline>
        </w:rPr>
        <w:t>二</w:t>
      </w:r>
      <w:r>
        <w:rPr>
          <w:rFonts w:hint="eastAsia" w:ascii="仿宋" w:hAnsi="仿宋" w:eastAsia="仿宋" w:cs="仿宋"/>
          <w:color w:val="auto"/>
          <w:sz w:val="24"/>
          <w:szCs w:val="24"/>
          <w:highlight w:val="none"/>
          <w:lang w:eastAsia="zh-CN"/>
          <w14:textOutline w14:w="4356" w14:cap="sq" w14:cmpd="sng" w14:algn="ctr">
            <w14:solidFill>
              <w14:srgbClr w14:val="000000"/>
            </w14:solidFill>
            <w14:prstDash w14:val="solid"/>
            <w14:bevel/>
          </w14:textOutline>
        </w:rPr>
        <w:t>）</w:t>
      </w:r>
      <w:r>
        <w:rPr>
          <w:rFonts w:hint="eastAsia" w:ascii="仿宋" w:hAnsi="仿宋" w:eastAsia="仿宋" w:cs="仿宋"/>
          <w:color w:val="auto"/>
          <w:sz w:val="24"/>
          <w:szCs w:val="24"/>
          <w:highlight w:val="none"/>
          <w14:textOutline w14:w="4356" w14:cap="sq" w14:cmpd="sng" w14:algn="ctr">
            <w14:solidFill>
              <w14:srgbClr w14:val="000000"/>
            </w14:solidFill>
            <w14:prstDash w14:val="solid"/>
            <w14:bevel/>
          </w14:textOutline>
        </w:rPr>
        <w:t>评标报告应包括以下内容：</w:t>
      </w:r>
    </w:p>
    <w:p w14:paraId="61949B76">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2.1开标记录；</w:t>
      </w:r>
    </w:p>
    <w:p w14:paraId="30E1AAC8">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2.2评标内容、过程和结果；</w:t>
      </w:r>
    </w:p>
    <w:p w14:paraId="3CC4CBF2">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2.3询标澄清纪要；</w:t>
      </w:r>
    </w:p>
    <w:p w14:paraId="0AF45AFE">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2.4否决投标情况说明及依据；</w:t>
      </w:r>
    </w:p>
    <w:p w14:paraId="42003708">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2.5推荐中标候选人；</w:t>
      </w:r>
    </w:p>
    <w:p w14:paraId="2FB562BE">
      <w:pPr>
        <w:keepNext w:val="0"/>
        <w:keepLines w:val="0"/>
        <w:pageBreakBefore w:val="0"/>
        <w:widowControl w:val="0"/>
        <w:kinsoku/>
        <w:wordWrap/>
        <w:overflowPunct/>
        <w:topLinePunct w:val="0"/>
        <w:autoSpaceDE/>
        <w:autoSpaceDN/>
        <w:bidi w:val="0"/>
        <w:adjustRightInd w:val="0"/>
        <w:snapToGrid/>
        <w:spacing w:line="360" w:lineRule="exact"/>
        <w:ind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2.6中标候选人投标资格条件业绩和评分业绩(招标文件对投标资格或评分有业绩要求的)；</w:t>
      </w:r>
    </w:p>
    <w:p w14:paraId="71F93DE6">
      <w:pPr>
        <w:keepNext w:val="0"/>
        <w:keepLines w:val="0"/>
        <w:pageBreakBefore w:val="0"/>
        <w:widowControl w:val="0"/>
        <w:kinsoku/>
        <w:wordWrap/>
        <w:overflowPunct/>
        <w:topLinePunct w:val="0"/>
        <w:autoSpaceDE/>
        <w:autoSpaceDN/>
        <w:bidi w:val="0"/>
        <w:adjustRightInd w:val="0"/>
        <w:snapToGrid/>
        <w:spacing w:line="360" w:lineRule="exact"/>
        <w:ind w:left="0" w:right="0" w:firstLine="480" w:firstLineChars="200"/>
        <w:jc w:val="both"/>
        <w:textAlignment w:val="auto"/>
        <w:rPr>
          <w:rFonts w:hint="eastAsia" w:ascii="仿宋" w:hAnsi="仿宋" w:eastAsia="仿宋" w:cs="仿宋"/>
          <w:snapToGrid/>
          <w:color w:val="auto"/>
          <w:kern w:val="2"/>
          <w:sz w:val="24"/>
          <w:szCs w:val="24"/>
          <w:highlight w:val="none"/>
          <w:lang w:val="en-US" w:eastAsia="zh-CN" w:bidi="ar-SA"/>
        </w:rPr>
      </w:pPr>
      <w:r>
        <w:rPr>
          <w:rFonts w:hint="eastAsia" w:ascii="仿宋" w:hAnsi="仿宋" w:eastAsia="仿宋" w:cs="仿宋"/>
          <w:snapToGrid/>
          <w:color w:val="auto"/>
          <w:kern w:val="2"/>
          <w:sz w:val="24"/>
          <w:szCs w:val="24"/>
          <w:highlight w:val="none"/>
          <w:lang w:val="en-US" w:eastAsia="zh-CN" w:bidi="ar-SA"/>
        </w:rPr>
        <w:t>2.7其他建议。</w:t>
      </w:r>
    </w:p>
    <w:p w14:paraId="7F1A83F6">
      <w:pPr>
        <w:keepNext w:val="0"/>
        <w:keepLines w:val="0"/>
        <w:pageBreakBefore w:val="0"/>
        <w:widowControl w:val="0"/>
        <w:kinsoku/>
        <w:wordWrap/>
        <w:overflowPunct/>
        <w:topLinePunct w:val="0"/>
        <w:autoSpaceDE/>
        <w:autoSpaceDN/>
        <w:bidi w:val="0"/>
        <w:adjustRightInd w:val="0"/>
        <w:snapToGrid/>
        <w:spacing w:line="360" w:lineRule="exact"/>
        <w:ind w:left="0" w:right="0"/>
        <w:jc w:val="both"/>
        <w:textAlignment w:val="auto"/>
        <w:rPr>
          <w:rFonts w:hint="eastAsia" w:ascii="仿宋" w:hAnsi="仿宋" w:eastAsia="仿宋" w:cs="仿宋"/>
          <w:color w:val="auto"/>
          <w:sz w:val="24"/>
          <w:szCs w:val="24"/>
          <w:highlight w:val="none"/>
        </w:rPr>
        <w:sectPr>
          <w:headerReference r:id="rId15" w:type="default"/>
          <w:footerReference r:id="rId16" w:type="default"/>
          <w:pgSz w:w="11907" w:h="16840"/>
          <w:pgMar w:top="1418" w:right="1559" w:bottom="1418" w:left="1474" w:header="0" w:footer="723" w:gutter="0"/>
          <w:pgBorders>
            <w:top w:val="none" w:sz="0" w:space="0"/>
            <w:left w:val="none" w:sz="0" w:space="0"/>
            <w:bottom w:val="none" w:sz="0" w:space="0"/>
            <w:right w:val="none" w:sz="0" w:space="0"/>
          </w:pgBorders>
          <w:pgNumType w:fmt="decimal"/>
          <w:cols w:space="720" w:num="1"/>
        </w:sectPr>
      </w:pPr>
    </w:p>
    <w:p w14:paraId="455BA273">
      <w:pPr>
        <w:spacing w:line="360" w:lineRule="auto"/>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第六部分 投标文件及其附件格式</w:t>
      </w:r>
    </w:p>
    <w:p w14:paraId="36FB95E1">
      <w:pPr>
        <w:spacing w:line="360" w:lineRule="auto"/>
        <w:jc w:val="center"/>
        <w:rPr>
          <w:rFonts w:hint="eastAsia" w:ascii="仿宋" w:hAnsi="仿宋" w:eastAsia="仿宋" w:cs="仿宋"/>
          <w:b/>
          <w:i w:val="0"/>
          <w:iCs w:val="0"/>
          <w:color w:val="auto"/>
          <w:sz w:val="36"/>
          <w:szCs w:val="36"/>
          <w:highlight w:val="none"/>
          <w:lang w:eastAsia="zh-CN"/>
        </w:rPr>
      </w:pPr>
    </w:p>
    <w:p w14:paraId="5AAD3EB4">
      <w:pPr>
        <w:widowControl/>
        <w:adjustRightInd/>
        <w:jc w:val="center"/>
        <w:rPr>
          <w:rFonts w:hint="eastAsia" w:ascii="仿宋" w:hAnsi="仿宋" w:eastAsia="仿宋" w:cs="仿宋"/>
          <w:b/>
          <w:i w:val="0"/>
          <w:iCs w:val="0"/>
          <w:color w:val="auto"/>
          <w:sz w:val="36"/>
          <w:szCs w:val="20"/>
          <w:highlight w:val="none"/>
        </w:rPr>
      </w:pPr>
    </w:p>
    <w:p w14:paraId="3823B500">
      <w:pPr>
        <w:spacing w:line="360" w:lineRule="auto"/>
        <w:jc w:val="center"/>
        <w:outlineLvl w:val="0"/>
        <w:rPr>
          <w:rFonts w:hint="eastAsia" w:ascii="仿宋" w:hAnsi="仿宋" w:eastAsia="仿宋" w:cs="仿宋"/>
          <w:b/>
          <w:i w:val="0"/>
          <w:iCs w:val="0"/>
          <w:color w:val="auto"/>
          <w:kern w:val="0"/>
          <w:sz w:val="36"/>
          <w:szCs w:val="36"/>
          <w:highlight w:val="none"/>
        </w:rPr>
      </w:pPr>
    </w:p>
    <w:p w14:paraId="104C9200">
      <w:pPr>
        <w:spacing w:line="360" w:lineRule="auto"/>
        <w:jc w:val="center"/>
        <w:outlineLvl w:val="0"/>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39098975">
      <w:pPr>
        <w:spacing w:line="360" w:lineRule="auto"/>
        <w:jc w:val="center"/>
        <w:outlineLvl w:val="0"/>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7B0BA8E2">
      <w:pPr>
        <w:spacing w:line="360" w:lineRule="auto"/>
        <w:jc w:val="center"/>
        <w:outlineLvl w:val="0"/>
        <w:rPr>
          <w:rFonts w:hint="eastAsia" w:ascii="仿宋" w:hAnsi="仿宋" w:eastAsia="仿宋" w:cs="仿宋"/>
          <w:b/>
          <w:i w:val="0"/>
          <w:iCs w:val="0"/>
          <w:color w:val="auto"/>
          <w:kern w:val="0"/>
          <w:sz w:val="36"/>
          <w:szCs w:val="36"/>
          <w:highlight w:val="none"/>
        </w:rPr>
      </w:pPr>
    </w:p>
    <w:p w14:paraId="4660D688">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符合参加采购活动应当具备的一般条件的承诺函…………………（页码）</w:t>
      </w:r>
    </w:p>
    <w:p w14:paraId="27D9A3BE">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hint="eastAsia" w:ascii="仿宋" w:hAnsi="仿宋" w:eastAsia="仿宋" w:cs="仿宋"/>
          <w:strike w:val="0"/>
          <w:dstrike w:val="0"/>
          <w:color w:val="auto"/>
          <w:highlight w:val="none"/>
        </w:rPr>
      </w:pPr>
      <w:r>
        <w:rPr>
          <w:rFonts w:hint="eastAsia" w:ascii="仿宋" w:hAnsi="仿宋" w:eastAsia="仿宋" w:cs="仿宋"/>
          <w:i w:val="0"/>
          <w:iCs w:val="0"/>
          <w:strike w:val="0"/>
          <w:dstrike w:val="0"/>
          <w:color w:val="auto"/>
          <w:sz w:val="24"/>
          <w:highlight w:val="none"/>
          <w:lang w:val="en-US" w:eastAsia="zh-CN"/>
        </w:rPr>
        <w:t>（2）营业执照</w:t>
      </w:r>
      <w:r>
        <w:rPr>
          <w:rFonts w:hint="eastAsia" w:ascii="仿宋" w:hAnsi="仿宋" w:eastAsia="仿宋" w:cs="仿宋"/>
          <w:i w:val="0"/>
          <w:iCs w:val="0"/>
          <w:strike w:val="0"/>
          <w:dstrike w:val="0"/>
          <w:color w:val="auto"/>
          <w:sz w:val="24"/>
          <w:highlight w:val="none"/>
        </w:rPr>
        <w:t>……………………………………………………………（页码）</w:t>
      </w:r>
    </w:p>
    <w:p w14:paraId="495BF763">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snapToGrid w:val="0"/>
          <w:color w:val="auto"/>
          <w:kern w:val="28"/>
          <w:sz w:val="24"/>
          <w:szCs w:val="20"/>
          <w:highlight w:val="none"/>
        </w:rPr>
        <w:t>（</w:t>
      </w:r>
      <w:r>
        <w:rPr>
          <w:rFonts w:hint="eastAsia" w:ascii="仿宋" w:hAnsi="仿宋" w:eastAsia="仿宋" w:cs="仿宋"/>
          <w:i w:val="0"/>
          <w:iCs w:val="0"/>
          <w:strike w:val="0"/>
          <w:snapToGrid w:val="0"/>
          <w:color w:val="auto"/>
          <w:kern w:val="28"/>
          <w:sz w:val="24"/>
          <w:szCs w:val="20"/>
          <w:highlight w:val="none"/>
          <w:lang w:val="en-US" w:eastAsia="zh-CN"/>
        </w:rPr>
        <w:t>3</w:t>
      </w:r>
      <w:r>
        <w:rPr>
          <w:rFonts w:hint="eastAsia" w:ascii="仿宋" w:hAnsi="仿宋" w:eastAsia="仿宋" w:cs="仿宋"/>
          <w:i w:val="0"/>
          <w:iCs w:val="0"/>
          <w:strike w:val="0"/>
          <w:snapToGrid w:val="0"/>
          <w:color w:val="auto"/>
          <w:kern w:val="28"/>
          <w:sz w:val="24"/>
          <w:szCs w:val="20"/>
          <w:highlight w:val="none"/>
        </w:rPr>
        <w:t>）联合协议</w:t>
      </w:r>
      <w:r>
        <w:rPr>
          <w:rFonts w:hint="eastAsia" w:ascii="仿宋" w:hAnsi="仿宋" w:eastAsia="仿宋" w:cs="仿宋"/>
          <w:i w:val="0"/>
          <w:iCs w:val="0"/>
          <w:strike w:val="0"/>
          <w:color w:val="auto"/>
          <w:sz w:val="24"/>
          <w:highlight w:val="none"/>
        </w:rPr>
        <w:t>………………………………………………………………（页码）</w:t>
      </w:r>
    </w:p>
    <w:p w14:paraId="502711B3">
      <w:pPr>
        <w:pStyle w:val="23"/>
        <w:keepNext w:val="0"/>
        <w:keepLines w:val="0"/>
        <w:pageBreakBefore w:val="0"/>
        <w:widowControl w:val="0"/>
        <w:kinsoku/>
        <w:wordWrap/>
        <w:overflowPunct/>
        <w:topLinePunct w:val="0"/>
        <w:bidi w:val="0"/>
        <w:adjustRightInd w:val="0"/>
        <w:spacing w:line="480" w:lineRule="auto"/>
        <w:ind w:left="0" w:leftChars="0" w:firstLine="420" w:firstLineChars="175"/>
        <w:textAlignment w:val="auto"/>
        <w:rPr>
          <w:rFonts w:hint="eastAsia" w:ascii="仿宋" w:hAnsi="仿宋" w:eastAsia="仿宋" w:cs="仿宋"/>
          <w:i w:val="0"/>
          <w:iCs w:val="0"/>
          <w:strike w:val="0"/>
          <w:color w:val="auto"/>
          <w:highlight w:val="none"/>
        </w:rPr>
      </w:pPr>
      <w:r>
        <w:rPr>
          <w:rFonts w:hint="eastAsia" w:ascii="仿宋" w:hAnsi="仿宋" w:eastAsia="仿宋" w:cs="仿宋"/>
          <w:i w:val="0"/>
          <w:iCs w:val="0"/>
          <w:strike w:val="0"/>
          <w:color w:val="auto"/>
          <w:highlight w:val="none"/>
        </w:rPr>
        <w:t>（</w:t>
      </w:r>
      <w:r>
        <w:rPr>
          <w:rFonts w:hint="eastAsia" w:ascii="仿宋" w:hAnsi="仿宋" w:eastAsia="仿宋" w:cs="仿宋"/>
          <w:i w:val="0"/>
          <w:iCs w:val="0"/>
          <w:strike w:val="0"/>
          <w:color w:val="auto"/>
          <w:highlight w:val="none"/>
          <w:lang w:val="en-US" w:eastAsia="zh-CN"/>
        </w:rPr>
        <w:t>4</w:t>
      </w:r>
      <w:r>
        <w:rPr>
          <w:rFonts w:hint="eastAsia" w:ascii="仿宋" w:hAnsi="仿宋" w:eastAsia="仿宋" w:cs="仿宋"/>
          <w:i w:val="0"/>
          <w:iCs w:val="0"/>
          <w:strike w:val="0"/>
          <w:color w:val="auto"/>
          <w:highlight w:val="none"/>
        </w:rPr>
        <w:t>）分包</w:t>
      </w:r>
      <w:r>
        <w:rPr>
          <w:rFonts w:hint="eastAsia" w:ascii="仿宋" w:hAnsi="仿宋" w:eastAsia="仿宋" w:cs="仿宋"/>
          <w:i w:val="0"/>
          <w:iCs w:val="0"/>
          <w:strike w:val="0"/>
          <w:color w:val="auto"/>
          <w:highlight w:val="none"/>
          <w:lang w:val="en-US" w:eastAsia="zh-CN"/>
        </w:rPr>
        <w:t>意向</w:t>
      </w:r>
      <w:r>
        <w:rPr>
          <w:rFonts w:hint="eastAsia" w:ascii="仿宋" w:hAnsi="仿宋" w:eastAsia="仿宋" w:cs="仿宋"/>
          <w:i w:val="0"/>
          <w:iCs w:val="0"/>
          <w:strike w:val="0"/>
          <w:color w:val="auto"/>
          <w:highlight w:val="none"/>
        </w:rPr>
        <w:t>协议…………………………………………………………（页码）</w:t>
      </w:r>
    </w:p>
    <w:p w14:paraId="3A742738">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i w:val="0"/>
          <w:iCs w:val="0"/>
          <w:strike/>
          <w:color w:val="auto"/>
          <w:sz w:val="24"/>
          <w:highlight w:val="none"/>
          <w:lang w:val="en-US" w:eastAsia="zh-CN"/>
        </w:rPr>
        <w:t>5</w:t>
      </w:r>
      <w:r>
        <w:rPr>
          <w:rFonts w:hint="eastAsia" w:ascii="仿宋" w:hAnsi="仿宋" w:eastAsia="仿宋" w:cs="仿宋"/>
          <w:i w:val="0"/>
          <w:iCs w:val="0"/>
          <w:strike/>
          <w:color w:val="auto"/>
          <w:sz w:val="24"/>
          <w:highlight w:val="none"/>
        </w:rPr>
        <w:t>）落实采购政策需满足的资格要求……………………………………（页码）</w:t>
      </w:r>
    </w:p>
    <w:p w14:paraId="6E0444C5">
      <w:pPr>
        <w:keepNext w:val="0"/>
        <w:keepLines w:val="0"/>
        <w:pageBreakBefore w:val="0"/>
        <w:widowControl w:val="0"/>
        <w:kinsoku/>
        <w:wordWrap/>
        <w:overflowPunct/>
        <w:topLinePunct w:val="0"/>
        <w:bidi w:val="0"/>
        <w:adjustRightInd w:val="0"/>
        <w:snapToGrid w:val="0"/>
        <w:spacing w:line="480" w:lineRule="auto"/>
        <w:ind w:left="0" w:leftChars="0" w:firstLine="420" w:firstLineChars="175"/>
        <w:textAlignment w:val="auto"/>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val="en-US" w:eastAsia="zh-CN"/>
        </w:rPr>
        <w:t>6</w:t>
      </w:r>
      <w:r>
        <w:rPr>
          <w:rFonts w:hint="eastAsia" w:ascii="仿宋" w:hAnsi="仿宋" w:eastAsia="仿宋" w:cs="仿宋"/>
          <w:i w:val="0"/>
          <w:iCs w:val="0"/>
          <w:strike/>
          <w:dstrike w:val="0"/>
          <w:color w:val="auto"/>
          <w:sz w:val="24"/>
          <w:highlight w:val="none"/>
        </w:rPr>
        <w:t>）本项目的特定资格要求………………………………………………（页码）</w:t>
      </w:r>
    </w:p>
    <w:p w14:paraId="06DF0839">
      <w:pPr>
        <w:snapToGrid w:val="0"/>
        <w:spacing w:line="360" w:lineRule="auto"/>
        <w:rPr>
          <w:rFonts w:hint="eastAsia" w:ascii="仿宋" w:hAnsi="仿宋" w:eastAsia="仿宋" w:cs="仿宋"/>
          <w:i w:val="0"/>
          <w:iCs w:val="0"/>
          <w:color w:val="auto"/>
          <w:sz w:val="24"/>
          <w:highlight w:val="none"/>
        </w:rPr>
      </w:pPr>
    </w:p>
    <w:p w14:paraId="2AB27783">
      <w:pPr>
        <w:snapToGrid w:val="0"/>
        <w:spacing w:line="360" w:lineRule="auto"/>
        <w:ind w:firstLine="480" w:firstLineChars="200"/>
        <w:rPr>
          <w:rFonts w:hint="eastAsia" w:ascii="仿宋" w:hAnsi="仿宋" w:eastAsia="仿宋" w:cs="仿宋"/>
          <w:i w:val="0"/>
          <w:iCs w:val="0"/>
          <w:color w:val="auto"/>
          <w:sz w:val="24"/>
          <w:highlight w:val="none"/>
        </w:rPr>
      </w:pPr>
    </w:p>
    <w:p w14:paraId="021D313B">
      <w:pPr>
        <w:spacing w:line="360" w:lineRule="auto"/>
        <w:ind w:firstLine="480" w:firstLineChars="200"/>
        <w:rPr>
          <w:rFonts w:hint="eastAsia" w:ascii="仿宋" w:hAnsi="仿宋" w:eastAsia="仿宋" w:cs="仿宋"/>
          <w:i w:val="0"/>
          <w:iCs w:val="0"/>
          <w:color w:val="auto"/>
          <w:sz w:val="24"/>
          <w:highlight w:val="none"/>
        </w:rPr>
      </w:pPr>
    </w:p>
    <w:p w14:paraId="34173D4D">
      <w:pPr>
        <w:snapToGrid w:val="0"/>
        <w:spacing w:line="360" w:lineRule="auto"/>
        <w:ind w:right="480"/>
        <w:jc w:val="center"/>
        <w:rPr>
          <w:rFonts w:hint="eastAsia" w:ascii="仿宋" w:hAnsi="仿宋" w:eastAsia="仿宋" w:cs="仿宋"/>
          <w:b/>
          <w:i w:val="0"/>
          <w:iCs w:val="0"/>
          <w:color w:val="auto"/>
          <w:kern w:val="0"/>
          <w:sz w:val="32"/>
          <w:szCs w:val="32"/>
          <w:highlight w:val="none"/>
        </w:rPr>
      </w:pPr>
      <w:r>
        <w:rPr>
          <w:rFonts w:hint="eastAsia" w:ascii="仿宋" w:hAnsi="仿宋" w:eastAsia="仿宋" w:cs="仿宋"/>
          <w:i w:val="0"/>
          <w:iCs w:val="0"/>
          <w:color w:val="auto"/>
          <w:kern w:val="0"/>
          <w:sz w:val="24"/>
          <w:highlight w:val="none"/>
        </w:rPr>
        <w:br w:type="page"/>
      </w:r>
      <w:r>
        <w:rPr>
          <w:rFonts w:hint="eastAsia" w:ascii="仿宋" w:hAnsi="仿宋" w:eastAsia="仿宋" w:cs="仿宋"/>
          <w:b/>
          <w:i w:val="0"/>
          <w:iCs w:val="0"/>
          <w:color w:val="auto"/>
          <w:kern w:val="0"/>
          <w:sz w:val="32"/>
          <w:szCs w:val="32"/>
          <w:highlight w:val="none"/>
        </w:rPr>
        <w:t xml:space="preserve">  一、符合参加</w:t>
      </w:r>
      <w:r>
        <w:rPr>
          <w:rFonts w:hint="eastAsia" w:ascii="仿宋" w:hAnsi="仿宋" w:eastAsia="仿宋" w:cs="仿宋"/>
          <w:b/>
          <w:i w:val="0"/>
          <w:iCs w:val="0"/>
          <w:color w:val="auto"/>
          <w:kern w:val="0"/>
          <w:sz w:val="32"/>
          <w:szCs w:val="32"/>
          <w:highlight w:val="none"/>
          <w:lang w:val="en-US" w:eastAsia="zh-CN"/>
        </w:rPr>
        <w:t>招标</w:t>
      </w:r>
      <w:r>
        <w:rPr>
          <w:rFonts w:hint="eastAsia" w:ascii="仿宋" w:hAnsi="仿宋" w:eastAsia="仿宋" w:cs="仿宋"/>
          <w:b/>
          <w:i w:val="0"/>
          <w:iCs w:val="0"/>
          <w:color w:val="auto"/>
          <w:kern w:val="0"/>
          <w:sz w:val="32"/>
          <w:szCs w:val="32"/>
          <w:highlight w:val="none"/>
        </w:rPr>
        <w:t>活动应当具备的一般条件的承诺函</w:t>
      </w:r>
    </w:p>
    <w:p w14:paraId="1D67CB59">
      <w:pPr>
        <w:snapToGrid w:val="0"/>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w:t>
      </w:r>
    </w:p>
    <w:p w14:paraId="05E24021">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w:t>
      </w:r>
      <w:r>
        <w:rPr>
          <w:rFonts w:hint="eastAsia" w:ascii="仿宋" w:hAnsi="仿宋" w:eastAsia="仿宋" w:cs="仿宋"/>
          <w:i w:val="0"/>
          <w:iCs w:val="0"/>
          <w:color w:val="auto"/>
          <w:sz w:val="24"/>
          <w:highlight w:val="none"/>
          <w:lang w:eastAsia="zh-CN"/>
        </w:rPr>
        <w:t>招标编号</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，郑重承诺：</w:t>
      </w:r>
    </w:p>
    <w:p w14:paraId="6CE451E3">
      <w:pPr>
        <w:snapToGrid w:val="0"/>
        <w:spacing w:line="360" w:lineRule="auto"/>
        <w:ind w:firstLine="360" w:firstLineChars="15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6B591B26">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1、具有独立承担民事责任的能力（如</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w:t>
      </w:r>
    </w:p>
    <w:p w14:paraId="41F9F0CE">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 xml:space="preserve">2、具有良好的商业信誉和健全的财务会计制度； </w:t>
      </w:r>
    </w:p>
    <w:p w14:paraId="37B620BC">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3、具有履行合同所必需的设备和专业技术能力；</w:t>
      </w:r>
    </w:p>
    <w:p w14:paraId="5ABCBC99">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4、有依法缴纳税收和社会保障资金的良好记录；</w:t>
      </w:r>
    </w:p>
    <w:p w14:paraId="52CB57E3">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5、参加</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前三年内，在经营活动中没有重大违法记录；</w:t>
      </w:r>
    </w:p>
    <w:p w14:paraId="7C05AFB2">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6、具有法律、行政法规规定的其他条件。</w:t>
      </w:r>
    </w:p>
    <w:p w14:paraId="2D1AF7A4">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（二）未被信用中国（www.creditchina.gov.cn)、中国政府采购网（www.ccgp.gov.cn）列入失信被执行人、</w:t>
      </w:r>
      <w:r>
        <w:rPr>
          <w:rFonts w:hint="eastAsia" w:ascii="仿宋" w:hAnsi="仿宋" w:eastAsia="仿宋" w:cs="仿宋"/>
          <w:snapToGrid/>
          <w:color w:val="auto"/>
          <w:kern w:val="2"/>
          <w:sz w:val="24"/>
          <w:szCs w:val="24"/>
          <w:highlight w:val="none"/>
        </w:rPr>
        <w:t>重大税收违法失信主体</w:t>
      </w:r>
      <w:r>
        <w:rPr>
          <w:rFonts w:hint="eastAsia" w:ascii="仿宋" w:hAnsi="仿宋" w:eastAsia="仿宋" w:cs="仿宋"/>
          <w:i w:val="0"/>
          <w:iCs w:val="0"/>
          <w:color w:val="auto"/>
          <w:sz w:val="24"/>
          <w:highlight w:val="none"/>
        </w:rPr>
        <w:t>、政府采购严重违法失信行为记录名单。</w:t>
      </w:r>
    </w:p>
    <w:p w14:paraId="566CD6E0">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62F979FC">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1、单位负责人为同一人或者存在直接控股、管理关系的不同</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参加同一合同项下的</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的；</w:t>
      </w:r>
    </w:p>
    <w:p w14:paraId="273F37A7">
      <w:pPr>
        <w:snapToGrid w:val="0"/>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2、为</w:t>
      </w:r>
      <w:r>
        <w:rPr>
          <w:rFonts w:hint="eastAsia" w:ascii="仿宋" w:hAnsi="仿宋" w:eastAsia="仿宋" w:cs="仿宋"/>
          <w:i w:val="0"/>
          <w:iCs w:val="0"/>
          <w:color w:val="auto"/>
          <w:sz w:val="24"/>
          <w:highlight w:val="none"/>
          <w:lang w:val="en-US" w:eastAsia="zh-CN"/>
        </w:rPr>
        <w:t>招标</w:t>
      </w:r>
      <w:r>
        <w:rPr>
          <w:rFonts w:hint="eastAsia" w:ascii="仿宋" w:hAnsi="仿宋" w:eastAsia="仿宋" w:cs="仿宋"/>
          <w:i w:val="0"/>
          <w:iCs w:val="0"/>
          <w:color w:val="auto"/>
          <w:sz w:val="24"/>
          <w:highlight w:val="none"/>
        </w:rPr>
        <w:t>项目提供整体设计、规范编制或者项目管理、监理、检测等服务后再参加该</w:t>
      </w:r>
      <w:r>
        <w:rPr>
          <w:rFonts w:hint="eastAsia" w:ascii="仿宋" w:hAnsi="仿宋" w:eastAsia="仿宋" w:cs="仿宋"/>
          <w:i w:val="0"/>
          <w:iCs w:val="0"/>
          <w:color w:val="auto"/>
          <w:sz w:val="24"/>
          <w:highlight w:val="none"/>
          <w:lang w:eastAsia="zh-CN"/>
        </w:rPr>
        <w:t>招标项目</w:t>
      </w:r>
      <w:r>
        <w:rPr>
          <w:rFonts w:hint="eastAsia" w:ascii="仿宋" w:hAnsi="仿宋" w:eastAsia="仿宋" w:cs="仿宋"/>
          <w:i w:val="0"/>
          <w:iCs w:val="0"/>
          <w:color w:val="auto"/>
          <w:sz w:val="24"/>
          <w:highlight w:val="none"/>
        </w:rPr>
        <w:t>的其他</w:t>
      </w:r>
      <w:r>
        <w:rPr>
          <w:rFonts w:hint="eastAsia" w:ascii="仿宋" w:hAnsi="仿宋" w:eastAsia="仿宋" w:cs="仿宋"/>
          <w:i w:val="0"/>
          <w:iCs w:val="0"/>
          <w:color w:val="auto"/>
          <w:sz w:val="24"/>
          <w:highlight w:val="none"/>
          <w:lang w:eastAsia="zh-CN"/>
        </w:rPr>
        <w:t>招标活动</w:t>
      </w:r>
      <w:r>
        <w:rPr>
          <w:rFonts w:hint="eastAsia" w:ascii="仿宋" w:hAnsi="仿宋" w:eastAsia="仿宋" w:cs="仿宋"/>
          <w:i w:val="0"/>
          <w:iCs w:val="0"/>
          <w:color w:val="auto"/>
          <w:sz w:val="24"/>
          <w:highlight w:val="none"/>
        </w:rPr>
        <w:t>的。</w:t>
      </w:r>
    </w:p>
    <w:p w14:paraId="3577928B">
      <w:pPr>
        <w:snapToGrid w:val="0"/>
        <w:spacing w:line="360" w:lineRule="auto"/>
        <w:ind w:firstLine="5520" w:firstLineChars="2300"/>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投标人名称(电子印章)：</w:t>
      </w:r>
    </w:p>
    <w:p w14:paraId="7E9F9396">
      <w:pPr>
        <w:pStyle w:val="25"/>
        <w:rPr>
          <w:rFonts w:hint="eastAsia" w:ascii="仿宋" w:hAnsi="仿宋" w:eastAsia="仿宋" w:cs="仿宋"/>
          <w:i w:val="0"/>
          <w:iCs w:val="0"/>
          <w:color w:val="auto"/>
          <w:highlight w:val="none"/>
        </w:rPr>
      </w:pPr>
    </w:p>
    <w:p w14:paraId="1D29D3F8">
      <w:pPr>
        <w:wordWrap w:val="0"/>
        <w:snapToGrid w:val="0"/>
        <w:spacing w:line="360" w:lineRule="auto"/>
        <w:jc w:val="right"/>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117005D6">
      <w:pPr>
        <w:snapToGrid w:val="0"/>
        <w:spacing w:line="360" w:lineRule="auto"/>
        <w:ind w:right="480"/>
        <w:jc w:val="center"/>
        <w:rPr>
          <w:rFonts w:hint="eastAsia" w:ascii="仿宋" w:hAnsi="仿宋" w:eastAsia="仿宋" w:cs="仿宋"/>
          <w:b/>
          <w:i w:val="0"/>
          <w:iCs w:val="0"/>
          <w:color w:val="auto"/>
          <w:kern w:val="0"/>
          <w:sz w:val="32"/>
          <w:szCs w:val="32"/>
          <w:highlight w:val="none"/>
        </w:rPr>
      </w:pPr>
    </w:p>
    <w:p w14:paraId="73DF6EFE">
      <w:pPr>
        <w:pStyle w:val="25"/>
        <w:rPr>
          <w:rFonts w:hint="eastAsia" w:ascii="仿宋" w:hAnsi="仿宋" w:eastAsia="仿宋" w:cs="仿宋"/>
          <w:i w:val="0"/>
          <w:iCs w:val="0"/>
          <w:color w:val="auto"/>
          <w:highlight w:val="none"/>
        </w:rPr>
      </w:pPr>
    </w:p>
    <w:p w14:paraId="543AE29C">
      <w:pPr>
        <w:pStyle w:val="81"/>
        <w:rPr>
          <w:rFonts w:hint="eastAsia" w:ascii="仿宋" w:hAnsi="仿宋" w:eastAsia="仿宋" w:cs="仿宋"/>
          <w:i w:val="0"/>
          <w:iCs w:val="0"/>
          <w:color w:val="auto"/>
          <w:highlight w:val="none"/>
        </w:rPr>
      </w:pPr>
    </w:p>
    <w:p w14:paraId="765F5136">
      <w:pPr>
        <w:rPr>
          <w:rFonts w:hint="eastAsia" w:ascii="仿宋" w:hAnsi="仿宋" w:eastAsia="仿宋" w:cs="仿宋"/>
          <w:i w:val="0"/>
          <w:iCs w:val="0"/>
          <w:color w:val="auto"/>
          <w:highlight w:val="none"/>
        </w:rPr>
      </w:pPr>
    </w:p>
    <w:p w14:paraId="42860ABA">
      <w:pPr>
        <w:widowControl/>
        <w:spacing w:line="360" w:lineRule="auto"/>
        <w:jc w:val="center"/>
        <w:rPr>
          <w:rFonts w:hint="eastAsia" w:ascii="仿宋" w:hAnsi="仿宋" w:eastAsia="仿宋" w:cs="仿宋"/>
          <w:b/>
          <w:i w:val="0"/>
          <w:iCs w:val="0"/>
          <w:strike w:val="0"/>
          <w:color w:val="auto"/>
          <w:kern w:val="0"/>
          <w:sz w:val="32"/>
          <w:szCs w:val="32"/>
          <w:highlight w:val="none"/>
          <w:lang w:val="en-US" w:eastAsia="zh-CN"/>
        </w:rPr>
      </w:pPr>
      <w:r>
        <w:rPr>
          <w:rFonts w:hint="eastAsia" w:ascii="仿宋" w:hAnsi="仿宋" w:eastAsia="仿宋" w:cs="仿宋"/>
          <w:b/>
          <w:i w:val="0"/>
          <w:iCs w:val="0"/>
          <w:strike w:val="0"/>
          <w:color w:val="auto"/>
          <w:kern w:val="0"/>
          <w:sz w:val="32"/>
          <w:szCs w:val="32"/>
          <w:highlight w:val="none"/>
          <w:lang w:val="en-US" w:eastAsia="zh-CN"/>
        </w:rPr>
        <w:t>二、营业执照</w:t>
      </w:r>
    </w:p>
    <w:p w14:paraId="36E342DE">
      <w:pPr>
        <w:widowControl/>
        <w:spacing w:line="360" w:lineRule="auto"/>
        <w:jc w:val="center"/>
        <w:rPr>
          <w:rFonts w:hint="eastAsia" w:ascii="仿宋" w:hAnsi="仿宋" w:eastAsia="仿宋" w:cs="仿宋"/>
          <w:b/>
          <w:i w:val="0"/>
          <w:iCs w:val="0"/>
          <w:strike w:val="0"/>
          <w:color w:val="auto"/>
          <w:kern w:val="0"/>
          <w:sz w:val="32"/>
          <w:szCs w:val="32"/>
          <w:highlight w:val="none"/>
          <w:lang w:val="en-US"/>
        </w:rPr>
      </w:pPr>
    </w:p>
    <w:p w14:paraId="242F22A2">
      <w:pPr>
        <w:widowControl/>
        <w:spacing w:line="360" w:lineRule="auto"/>
        <w:jc w:val="center"/>
        <w:rPr>
          <w:rFonts w:hint="eastAsia"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三</w:t>
      </w:r>
      <w:r>
        <w:rPr>
          <w:rFonts w:hint="eastAsia" w:ascii="仿宋" w:hAnsi="仿宋" w:eastAsia="仿宋" w:cs="仿宋"/>
          <w:b/>
          <w:i w:val="0"/>
          <w:iCs w:val="0"/>
          <w:strike w:val="0"/>
          <w:color w:val="auto"/>
          <w:kern w:val="0"/>
          <w:sz w:val="32"/>
          <w:szCs w:val="32"/>
          <w:highlight w:val="none"/>
        </w:rPr>
        <w:t>、联合协议（如果有）</w:t>
      </w:r>
    </w:p>
    <w:p w14:paraId="35113C40">
      <w:pPr>
        <w:widowControl/>
        <w:spacing w:line="360" w:lineRule="auto"/>
        <w:ind w:firstLine="482" w:firstLineChars="200"/>
        <w:jc w:val="left"/>
        <w:rPr>
          <w:rFonts w:hint="eastAsia"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[以联合体形式投标的，提供联合协议（附件</w:t>
      </w:r>
      <w:r>
        <w:rPr>
          <w:rFonts w:hint="eastAsia" w:ascii="仿宋" w:hAnsi="仿宋" w:eastAsia="仿宋" w:cs="仿宋"/>
          <w:b/>
          <w:i w:val="0"/>
          <w:iCs w:val="0"/>
          <w:strike w:val="0"/>
          <w:color w:val="auto"/>
          <w:sz w:val="24"/>
          <w:highlight w:val="none"/>
          <w:lang w:val="en-US" w:eastAsia="zh-CN"/>
        </w:rPr>
        <w:t>4</w:t>
      </w:r>
      <w:r>
        <w:rPr>
          <w:rFonts w:hint="eastAsia" w:ascii="仿宋" w:hAnsi="仿宋" w:eastAsia="仿宋" w:cs="仿宋"/>
          <w:b/>
          <w:i w:val="0"/>
          <w:iCs w:val="0"/>
          <w:strike w:val="0"/>
          <w:color w:val="auto"/>
          <w:sz w:val="24"/>
          <w:highlight w:val="none"/>
        </w:rPr>
        <w:t>）；本项目不接受联合体投标或者</w:t>
      </w:r>
      <w:r>
        <w:rPr>
          <w:rFonts w:hint="eastAsia" w:ascii="仿宋" w:hAnsi="仿宋" w:eastAsia="仿宋" w:cs="仿宋"/>
          <w:b/>
          <w:i w:val="0"/>
          <w:iCs w:val="0"/>
          <w:strike w:val="0"/>
          <w:color w:val="auto"/>
          <w:sz w:val="24"/>
          <w:highlight w:val="none"/>
          <w:lang w:eastAsia="zh-CN"/>
        </w:rPr>
        <w:t>投标人</w:t>
      </w:r>
      <w:r>
        <w:rPr>
          <w:rFonts w:hint="eastAsia" w:ascii="仿宋" w:hAnsi="仿宋" w:eastAsia="仿宋" w:cs="仿宋"/>
          <w:b/>
          <w:i w:val="0"/>
          <w:iCs w:val="0"/>
          <w:strike w:val="0"/>
          <w:color w:val="auto"/>
          <w:sz w:val="24"/>
          <w:highlight w:val="none"/>
        </w:rPr>
        <w:t>不以联合体形式投标的，则不需要提供]</w:t>
      </w:r>
    </w:p>
    <w:p w14:paraId="35E70B89">
      <w:pPr>
        <w:pStyle w:val="25"/>
        <w:rPr>
          <w:rFonts w:hint="eastAsia" w:ascii="仿宋" w:hAnsi="仿宋" w:eastAsia="仿宋" w:cs="仿宋"/>
          <w:i w:val="0"/>
          <w:iCs w:val="0"/>
          <w:strike w:val="0"/>
          <w:color w:val="auto"/>
          <w:highlight w:val="none"/>
        </w:rPr>
      </w:pPr>
    </w:p>
    <w:p w14:paraId="1A8DA2BB">
      <w:pPr>
        <w:snapToGrid w:val="0"/>
        <w:spacing w:line="360" w:lineRule="auto"/>
        <w:jc w:val="center"/>
        <w:rPr>
          <w:rFonts w:hint="eastAsia"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四</w:t>
      </w:r>
      <w:r>
        <w:rPr>
          <w:rFonts w:hint="eastAsia" w:ascii="仿宋" w:hAnsi="仿宋" w:eastAsia="仿宋" w:cs="仿宋"/>
          <w:b/>
          <w:i w:val="0"/>
          <w:iCs w:val="0"/>
          <w:strike w:val="0"/>
          <w:color w:val="auto"/>
          <w:kern w:val="0"/>
          <w:sz w:val="32"/>
          <w:szCs w:val="32"/>
          <w:highlight w:val="none"/>
        </w:rPr>
        <w:t>、分包意向协议（如果有）</w:t>
      </w:r>
    </w:p>
    <w:p w14:paraId="537776C3">
      <w:pPr>
        <w:widowControl/>
        <w:spacing w:line="360" w:lineRule="auto"/>
        <w:ind w:firstLine="361" w:firstLineChars="150"/>
        <w:jc w:val="left"/>
        <w:rPr>
          <w:rFonts w:hint="eastAsia"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[中标后以分包方式履行合同的，提供分包意向协议(附件</w:t>
      </w:r>
      <w:r>
        <w:rPr>
          <w:rFonts w:hint="eastAsia" w:ascii="仿宋" w:hAnsi="仿宋" w:eastAsia="仿宋" w:cs="仿宋"/>
          <w:b/>
          <w:i w:val="0"/>
          <w:iCs w:val="0"/>
          <w:strike w:val="0"/>
          <w:color w:val="auto"/>
          <w:sz w:val="24"/>
          <w:highlight w:val="none"/>
          <w:lang w:val="en-US" w:eastAsia="zh-CN"/>
        </w:rPr>
        <w:t>5</w:t>
      </w:r>
      <w:r>
        <w:rPr>
          <w:rFonts w:hint="eastAsia" w:ascii="仿宋" w:hAnsi="仿宋" w:eastAsia="仿宋" w:cs="仿宋"/>
          <w:b/>
          <w:i w:val="0"/>
          <w:iCs w:val="0"/>
          <w:strike w:val="0"/>
          <w:color w:val="auto"/>
          <w:sz w:val="24"/>
          <w:highlight w:val="none"/>
        </w:rPr>
        <w:t>)；</w:t>
      </w:r>
      <w:r>
        <w:rPr>
          <w:rFonts w:hint="eastAsia" w:ascii="仿宋" w:hAnsi="仿宋" w:eastAsia="仿宋" w:cs="仿宋"/>
          <w:b/>
          <w:i w:val="0"/>
          <w:iCs w:val="0"/>
          <w:strike w:val="0"/>
          <w:color w:val="auto"/>
          <w:sz w:val="24"/>
          <w:highlight w:val="none"/>
          <w:lang w:eastAsia="zh-CN"/>
        </w:rPr>
        <w:t>招标人</w:t>
      </w:r>
      <w:r>
        <w:rPr>
          <w:rFonts w:hint="eastAsia" w:ascii="仿宋" w:hAnsi="仿宋" w:eastAsia="仿宋" w:cs="仿宋"/>
          <w:b/>
          <w:i w:val="0"/>
          <w:iCs w:val="0"/>
          <w:strike w:val="0"/>
          <w:color w:val="auto"/>
          <w:sz w:val="24"/>
          <w:highlight w:val="none"/>
        </w:rPr>
        <w:t>不同意分包或者</w:t>
      </w:r>
      <w:r>
        <w:rPr>
          <w:rFonts w:hint="eastAsia" w:ascii="仿宋" w:hAnsi="仿宋" w:eastAsia="仿宋" w:cs="仿宋"/>
          <w:b/>
          <w:i w:val="0"/>
          <w:iCs w:val="0"/>
          <w:strike w:val="0"/>
          <w:color w:val="auto"/>
          <w:sz w:val="24"/>
          <w:highlight w:val="none"/>
          <w:lang w:eastAsia="zh-CN"/>
        </w:rPr>
        <w:t>投标人</w:t>
      </w:r>
      <w:r>
        <w:rPr>
          <w:rFonts w:hint="eastAsia" w:ascii="仿宋" w:hAnsi="仿宋" w:eastAsia="仿宋" w:cs="仿宋"/>
          <w:b/>
          <w:i w:val="0"/>
          <w:iCs w:val="0"/>
          <w:strike w:val="0"/>
          <w:color w:val="auto"/>
          <w:sz w:val="24"/>
          <w:highlight w:val="none"/>
        </w:rPr>
        <w:t>中标后不以分包方式履行合同的，则不需要提供。]</w:t>
      </w:r>
    </w:p>
    <w:p w14:paraId="0ECA7B4A">
      <w:pPr>
        <w:snapToGrid w:val="0"/>
        <w:spacing w:line="360" w:lineRule="auto"/>
        <w:ind w:right="480"/>
        <w:jc w:val="center"/>
        <w:rPr>
          <w:rFonts w:hint="eastAsia" w:ascii="仿宋" w:hAnsi="仿宋" w:eastAsia="仿宋" w:cs="仿宋"/>
          <w:b/>
          <w:i w:val="0"/>
          <w:iCs w:val="0"/>
          <w:color w:val="auto"/>
          <w:kern w:val="0"/>
          <w:sz w:val="32"/>
          <w:szCs w:val="32"/>
          <w:highlight w:val="none"/>
        </w:rPr>
      </w:pPr>
    </w:p>
    <w:p w14:paraId="4CFBFE65">
      <w:pPr>
        <w:snapToGrid w:val="0"/>
        <w:spacing w:line="360" w:lineRule="auto"/>
        <w:ind w:right="480"/>
        <w:jc w:val="center"/>
        <w:rPr>
          <w:rFonts w:hint="eastAsia"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五</w:t>
      </w:r>
      <w:r>
        <w:rPr>
          <w:rFonts w:hint="eastAsia" w:ascii="仿宋" w:hAnsi="仿宋" w:eastAsia="仿宋" w:cs="仿宋"/>
          <w:b/>
          <w:i w:val="0"/>
          <w:iCs w:val="0"/>
          <w:strike/>
          <w:color w:val="auto"/>
          <w:kern w:val="0"/>
          <w:sz w:val="32"/>
          <w:szCs w:val="32"/>
          <w:highlight w:val="none"/>
        </w:rPr>
        <w:t>、落实</w:t>
      </w:r>
      <w:r>
        <w:rPr>
          <w:rFonts w:hint="eastAsia" w:ascii="仿宋" w:hAnsi="仿宋" w:eastAsia="仿宋" w:cs="仿宋"/>
          <w:b/>
          <w:i w:val="0"/>
          <w:iCs w:val="0"/>
          <w:strike/>
          <w:color w:val="auto"/>
          <w:kern w:val="0"/>
          <w:sz w:val="32"/>
          <w:szCs w:val="32"/>
          <w:highlight w:val="none"/>
          <w:lang w:eastAsia="zh-CN"/>
        </w:rPr>
        <w:t>招标政策</w:t>
      </w:r>
      <w:r>
        <w:rPr>
          <w:rFonts w:hint="eastAsia" w:ascii="仿宋" w:hAnsi="仿宋" w:eastAsia="仿宋" w:cs="仿宋"/>
          <w:b/>
          <w:i w:val="0"/>
          <w:iCs w:val="0"/>
          <w:strike/>
          <w:color w:val="auto"/>
          <w:kern w:val="0"/>
          <w:sz w:val="32"/>
          <w:szCs w:val="32"/>
          <w:highlight w:val="none"/>
        </w:rPr>
        <w:t>需满足的资格要求（如果有）</w:t>
      </w:r>
    </w:p>
    <w:p w14:paraId="2CAFD0CE">
      <w:pPr>
        <w:spacing w:line="360" w:lineRule="auto"/>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（根据招标公告落实</w:t>
      </w:r>
      <w:r>
        <w:rPr>
          <w:rFonts w:hint="eastAsia" w:ascii="仿宋" w:hAnsi="仿宋" w:eastAsia="仿宋" w:cs="仿宋"/>
          <w:i w:val="0"/>
          <w:iCs w:val="0"/>
          <w:strike/>
          <w:color w:val="auto"/>
          <w:sz w:val="24"/>
          <w:highlight w:val="none"/>
          <w:lang w:eastAsia="zh-CN"/>
        </w:rPr>
        <w:t>招标政策</w:t>
      </w:r>
      <w:r>
        <w:rPr>
          <w:rFonts w:hint="eastAsia" w:ascii="仿宋" w:hAnsi="仿宋" w:eastAsia="仿宋" w:cs="仿宋"/>
          <w:i w:val="0"/>
          <w:iCs w:val="0"/>
          <w:strike/>
          <w:color w:val="auto"/>
          <w:sz w:val="24"/>
          <w:highlight w:val="none"/>
        </w:rPr>
        <w:t>需满足的资格要求选择提供相应的材料；未要求的，无需提供）</w:t>
      </w:r>
    </w:p>
    <w:p w14:paraId="09A5EBC6">
      <w:pPr>
        <w:widowControl/>
        <w:spacing w:line="360" w:lineRule="auto"/>
        <w:ind w:left="150"/>
        <w:jc w:val="center"/>
        <w:rPr>
          <w:rFonts w:hint="eastAsia" w:ascii="仿宋" w:hAnsi="仿宋" w:eastAsia="仿宋" w:cs="仿宋"/>
          <w:b/>
          <w:i w:val="0"/>
          <w:iCs w:val="0"/>
          <w:color w:val="auto"/>
          <w:kern w:val="0"/>
          <w:sz w:val="32"/>
          <w:szCs w:val="32"/>
          <w:highlight w:val="none"/>
        </w:rPr>
      </w:pPr>
    </w:p>
    <w:p w14:paraId="26D6AE6E">
      <w:pPr>
        <w:widowControl/>
        <w:spacing w:line="360" w:lineRule="auto"/>
        <w:ind w:left="150"/>
        <w:jc w:val="center"/>
        <w:rPr>
          <w:rFonts w:hint="eastAsia"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lang w:val="en-US" w:eastAsia="zh-CN"/>
        </w:rPr>
        <w:t>六</w:t>
      </w:r>
      <w:r>
        <w:rPr>
          <w:rFonts w:hint="eastAsia" w:ascii="仿宋" w:hAnsi="仿宋" w:eastAsia="仿宋" w:cs="仿宋"/>
          <w:b/>
          <w:i w:val="0"/>
          <w:iCs w:val="0"/>
          <w:strike/>
          <w:color w:val="auto"/>
          <w:kern w:val="0"/>
          <w:sz w:val="32"/>
          <w:szCs w:val="32"/>
          <w:highlight w:val="none"/>
        </w:rPr>
        <w:t>、本项目的特定资格要求</w:t>
      </w:r>
    </w:p>
    <w:p w14:paraId="04E92BF8">
      <w:pPr>
        <w:spacing w:line="360" w:lineRule="auto"/>
        <w:jc w:val="center"/>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（根据招标公告本项目的特定资格要求提供相应的材料；）</w:t>
      </w:r>
    </w:p>
    <w:p w14:paraId="47CD8E7C">
      <w:pPr>
        <w:spacing w:line="336" w:lineRule="auto"/>
        <w:jc w:val="center"/>
        <w:rPr>
          <w:rFonts w:hint="eastAsia" w:ascii="仿宋" w:hAnsi="仿宋" w:eastAsia="仿宋" w:cs="仿宋"/>
          <w:b/>
          <w:i w:val="0"/>
          <w:iCs w:val="0"/>
          <w:color w:val="auto"/>
          <w:kern w:val="0"/>
          <w:sz w:val="36"/>
          <w:szCs w:val="36"/>
          <w:highlight w:val="none"/>
        </w:rPr>
      </w:pPr>
    </w:p>
    <w:p w14:paraId="1D2913F6">
      <w:pPr>
        <w:spacing w:line="240" w:lineRule="auto"/>
        <w:jc w:val="left"/>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br w:type="page"/>
      </w:r>
    </w:p>
    <w:p w14:paraId="0DCCFB08">
      <w:pPr>
        <w:spacing w:line="336" w:lineRule="auto"/>
        <w:jc w:val="center"/>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lang w:eastAsia="zh-CN"/>
        </w:rPr>
        <w:t>商务技术（资信）文件</w:t>
      </w:r>
      <w:r>
        <w:rPr>
          <w:rFonts w:hint="eastAsia" w:ascii="仿宋" w:hAnsi="仿宋" w:eastAsia="仿宋" w:cs="仿宋"/>
          <w:b/>
          <w:i w:val="0"/>
          <w:iCs w:val="0"/>
          <w:color w:val="auto"/>
          <w:kern w:val="0"/>
          <w:sz w:val="36"/>
          <w:szCs w:val="36"/>
          <w:highlight w:val="none"/>
        </w:rPr>
        <w:t>部分</w:t>
      </w:r>
    </w:p>
    <w:p w14:paraId="08C5DE60">
      <w:pPr>
        <w:spacing w:line="336" w:lineRule="auto"/>
        <w:jc w:val="center"/>
        <w:outlineLvl w:val="0"/>
        <w:rPr>
          <w:rFonts w:hint="eastAsia" w:ascii="仿宋" w:hAnsi="仿宋" w:eastAsia="仿宋" w:cs="仿宋"/>
          <w:b/>
          <w:i w:val="0"/>
          <w:iCs w:val="0"/>
          <w:color w:val="auto"/>
          <w:kern w:val="0"/>
          <w:sz w:val="24"/>
          <w:highlight w:val="none"/>
        </w:rPr>
      </w:pPr>
    </w:p>
    <w:p w14:paraId="46113F21">
      <w:pPr>
        <w:spacing w:line="336" w:lineRule="auto"/>
        <w:jc w:val="center"/>
        <w:outlineLvl w:val="0"/>
        <w:rPr>
          <w:rFonts w:hint="eastAsia" w:ascii="仿宋" w:hAnsi="仿宋" w:eastAsia="仿宋" w:cs="仿宋"/>
          <w:b/>
          <w:i w:val="0"/>
          <w:iCs w:val="0"/>
          <w:color w:val="auto"/>
          <w:kern w:val="0"/>
          <w:sz w:val="28"/>
          <w:szCs w:val="28"/>
          <w:highlight w:val="none"/>
        </w:rPr>
      </w:pPr>
      <w:r>
        <w:rPr>
          <w:rFonts w:hint="eastAsia" w:ascii="仿宋" w:hAnsi="仿宋" w:eastAsia="仿宋" w:cs="仿宋"/>
          <w:b/>
          <w:i w:val="0"/>
          <w:iCs w:val="0"/>
          <w:color w:val="auto"/>
          <w:kern w:val="0"/>
          <w:sz w:val="28"/>
          <w:szCs w:val="28"/>
          <w:highlight w:val="none"/>
        </w:rPr>
        <w:t>目录</w:t>
      </w:r>
    </w:p>
    <w:p w14:paraId="14CDD706">
      <w:pPr>
        <w:pStyle w:val="905"/>
        <w:spacing w:line="336" w:lineRule="auto"/>
        <w:ind w:left="0" w:firstLine="0" w:firstLineChars="0"/>
        <w:rPr>
          <w:rFonts w:hint="eastAsia" w:ascii="仿宋" w:hAnsi="仿宋" w:eastAsia="仿宋" w:cs="仿宋"/>
          <w:i w:val="0"/>
          <w:iCs w:val="0"/>
          <w:color w:val="auto"/>
          <w:highlight w:val="none"/>
        </w:rPr>
      </w:pPr>
      <w:r>
        <w:rPr>
          <w:rFonts w:hint="eastAsia" w:ascii="仿宋" w:hAnsi="仿宋" w:eastAsia="仿宋" w:cs="仿宋"/>
          <w:i w:val="0"/>
          <w:iCs w:val="0"/>
          <w:color w:val="auto"/>
          <w:highlight w:val="none"/>
        </w:rPr>
        <w:t>（1）投标函…………………………………………………………………………（页码）</w:t>
      </w:r>
    </w:p>
    <w:p w14:paraId="56FBD175">
      <w:pPr>
        <w:pStyle w:val="905"/>
        <w:spacing w:line="336" w:lineRule="auto"/>
        <w:ind w:left="0" w:firstLine="0" w:firstLineChars="0"/>
        <w:rPr>
          <w:rFonts w:hint="eastAsia" w:ascii="仿宋" w:hAnsi="仿宋" w:eastAsia="仿宋" w:cs="仿宋"/>
          <w:i w:val="0"/>
          <w:iCs w:val="0"/>
          <w:color w:val="auto"/>
          <w:highlight w:val="none"/>
        </w:rPr>
      </w:pPr>
      <w:r>
        <w:rPr>
          <w:rFonts w:hint="eastAsia" w:ascii="仿宋" w:hAnsi="仿宋" w:eastAsia="仿宋" w:cs="仿宋"/>
          <w:i w:val="0"/>
          <w:iCs w:val="0"/>
          <w:color w:val="auto"/>
          <w:highlight w:val="none"/>
        </w:rPr>
        <w:t>（2）法定代表人授权</w:t>
      </w:r>
      <w:r>
        <w:rPr>
          <w:rFonts w:hint="eastAsia" w:ascii="仿宋" w:hAnsi="仿宋" w:eastAsia="仿宋" w:cs="仿宋"/>
          <w:i w:val="0"/>
          <w:iCs w:val="0"/>
          <w:color w:val="auto"/>
          <w:highlight w:val="none"/>
          <w:lang w:val="en-US" w:eastAsia="zh-CN"/>
        </w:rPr>
        <w:t>委托</w:t>
      </w:r>
      <w:r>
        <w:rPr>
          <w:rFonts w:hint="eastAsia" w:ascii="仿宋" w:hAnsi="仿宋" w:eastAsia="仿宋" w:cs="仿宋"/>
          <w:i w:val="0"/>
          <w:iCs w:val="0"/>
          <w:color w:val="auto"/>
          <w:highlight w:val="none"/>
        </w:rPr>
        <w:t>书 …………………………………………………… （页码）</w:t>
      </w:r>
      <w:r>
        <w:rPr>
          <w:rFonts w:hint="eastAsia" w:ascii="仿宋" w:hAnsi="仿宋" w:eastAsia="仿宋" w:cs="仿宋"/>
          <w:i w:val="0"/>
          <w:iCs w:val="0"/>
          <w:color w:val="auto"/>
          <w:highlight w:val="none"/>
          <w:lang w:val="zh-CN"/>
        </w:rPr>
        <w:t>）</w:t>
      </w:r>
    </w:p>
    <w:p w14:paraId="5242243D">
      <w:pPr>
        <w:pStyle w:val="905"/>
        <w:spacing w:line="336" w:lineRule="auto"/>
        <w:ind w:left="0" w:firstLine="0" w:firstLineChars="0"/>
        <w:rPr>
          <w:rFonts w:hint="eastAsia" w:ascii="仿宋" w:hAnsi="仿宋" w:eastAsia="仿宋" w:cs="仿宋"/>
          <w:i w:val="0"/>
          <w:iCs w:val="0"/>
          <w:color w:val="auto"/>
          <w:highlight w:val="none"/>
        </w:rPr>
      </w:pPr>
      <w:r>
        <w:rPr>
          <w:rFonts w:hint="eastAsia" w:ascii="仿宋" w:hAnsi="仿宋" w:eastAsia="仿宋" w:cs="仿宋"/>
          <w:i w:val="0"/>
          <w:iCs w:val="0"/>
          <w:color w:val="auto"/>
          <w:highlight w:val="none"/>
        </w:rPr>
        <w:t>（</w:t>
      </w:r>
      <w:r>
        <w:rPr>
          <w:rFonts w:hint="eastAsia" w:ascii="仿宋" w:hAnsi="仿宋" w:eastAsia="仿宋" w:cs="仿宋"/>
          <w:i w:val="0"/>
          <w:iCs w:val="0"/>
          <w:color w:val="auto"/>
          <w:highlight w:val="none"/>
          <w:lang w:val="en-US" w:eastAsia="zh-CN"/>
        </w:rPr>
        <w:t>3</w:t>
      </w:r>
      <w:r>
        <w:rPr>
          <w:rFonts w:hint="eastAsia" w:ascii="仿宋" w:hAnsi="仿宋" w:eastAsia="仿宋" w:cs="仿宋"/>
          <w:i w:val="0"/>
          <w:iCs w:val="0"/>
          <w:color w:val="auto"/>
          <w:highlight w:val="none"/>
        </w:rPr>
        <w:t>）法定代表人及其授权代表身份证</w:t>
      </w:r>
      <w:r>
        <w:rPr>
          <w:rFonts w:hint="eastAsia" w:ascii="仿宋" w:hAnsi="仿宋" w:eastAsia="仿宋" w:cs="仿宋"/>
          <w:i w:val="0"/>
          <w:iCs w:val="0"/>
          <w:color w:val="auto"/>
          <w:highlight w:val="none"/>
          <w:lang w:eastAsia="zh-CN"/>
        </w:rPr>
        <w:t>复制件</w:t>
      </w:r>
      <w:r>
        <w:rPr>
          <w:rFonts w:hint="eastAsia" w:ascii="仿宋" w:hAnsi="仿宋" w:eastAsia="仿宋" w:cs="仿宋"/>
          <w:i w:val="0"/>
          <w:iCs w:val="0"/>
          <w:color w:val="auto"/>
          <w:highlight w:val="none"/>
        </w:rPr>
        <w:t>……………………………………（页码）</w:t>
      </w:r>
    </w:p>
    <w:p w14:paraId="3A93BECA">
      <w:pPr>
        <w:pStyle w:val="905"/>
        <w:spacing w:line="336" w:lineRule="auto"/>
        <w:ind w:left="0" w:firstLine="0" w:firstLineChars="0"/>
        <w:rPr>
          <w:rFonts w:hint="eastAsia" w:ascii="仿宋" w:hAnsi="仿宋" w:eastAsia="仿宋" w:cs="仿宋"/>
          <w:i w:val="0"/>
          <w:iCs w:val="0"/>
          <w:color w:val="auto"/>
          <w:highlight w:val="none"/>
        </w:rPr>
      </w:pPr>
      <w:r>
        <w:rPr>
          <w:rFonts w:hint="eastAsia" w:ascii="仿宋" w:hAnsi="仿宋" w:eastAsia="仿宋" w:cs="仿宋"/>
          <w:i w:val="0"/>
          <w:iCs w:val="0"/>
          <w:color w:val="auto"/>
          <w:highlight w:val="none"/>
        </w:rPr>
        <w:t>（</w:t>
      </w:r>
      <w:r>
        <w:rPr>
          <w:rFonts w:hint="eastAsia" w:ascii="仿宋" w:hAnsi="仿宋" w:eastAsia="仿宋" w:cs="仿宋"/>
          <w:i w:val="0"/>
          <w:iCs w:val="0"/>
          <w:color w:val="auto"/>
          <w:highlight w:val="none"/>
          <w:lang w:val="en-US" w:eastAsia="zh-CN"/>
        </w:rPr>
        <w:t>4</w:t>
      </w:r>
      <w:r>
        <w:rPr>
          <w:rFonts w:hint="eastAsia" w:ascii="仿宋" w:hAnsi="仿宋" w:eastAsia="仿宋" w:cs="仿宋"/>
          <w:i w:val="0"/>
          <w:iCs w:val="0"/>
          <w:color w:val="auto"/>
          <w:highlight w:val="none"/>
        </w:rPr>
        <w:t>）法定代表人身份证明书……………………………………………………… （页码）</w:t>
      </w:r>
    </w:p>
    <w:p w14:paraId="71E42897">
      <w:pPr>
        <w:pStyle w:val="905"/>
        <w:spacing w:line="336" w:lineRule="auto"/>
        <w:ind w:left="0" w:firstLine="0" w:firstLineChars="0"/>
        <w:rPr>
          <w:rFonts w:hint="eastAsia" w:ascii="仿宋" w:hAnsi="仿宋" w:eastAsia="仿宋" w:cs="仿宋"/>
          <w:i w:val="0"/>
          <w:iCs w:val="0"/>
          <w:color w:val="auto"/>
          <w:highlight w:val="none"/>
        </w:rPr>
      </w:pPr>
      <w:r>
        <w:rPr>
          <w:rFonts w:hint="eastAsia" w:ascii="仿宋" w:hAnsi="仿宋" w:eastAsia="仿宋" w:cs="仿宋"/>
          <w:i w:val="0"/>
          <w:iCs w:val="0"/>
          <w:color w:val="auto"/>
          <w:highlight w:val="none"/>
        </w:rPr>
        <w:t>（</w:t>
      </w:r>
      <w:r>
        <w:rPr>
          <w:rFonts w:hint="eastAsia" w:ascii="仿宋" w:hAnsi="仿宋" w:eastAsia="仿宋" w:cs="仿宋"/>
          <w:i w:val="0"/>
          <w:iCs w:val="0"/>
          <w:color w:val="auto"/>
          <w:highlight w:val="none"/>
          <w:lang w:val="en-US" w:eastAsia="zh-CN"/>
        </w:rPr>
        <w:t>5</w:t>
      </w:r>
      <w:r>
        <w:rPr>
          <w:rFonts w:hint="eastAsia" w:ascii="仿宋" w:hAnsi="仿宋" w:eastAsia="仿宋" w:cs="仿宋"/>
          <w:i w:val="0"/>
          <w:iCs w:val="0"/>
          <w:color w:val="auto"/>
          <w:highlight w:val="none"/>
        </w:rPr>
        <w:t>）商务技术偏离表……………………………………………………………… （页码）</w:t>
      </w:r>
    </w:p>
    <w:p w14:paraId="1965E81D">
      <w:pPr>
        <w:pStyle w:val="905"/>
        <w:spacing w:line="336" w:lineRule="auto"/>
        <w:ind w:left="0" w:firstLine="0" w:firstLineChars="0"/>
        <w:rPr>
          <w:rFonts w:hint="eastAsia" w:ascii="仿宋" w:hAnsi="仿宋" w:eastAsia="仿宋" w:cs="仿宋"/>
          <w:i w:val="0"/>
          <w:iCs w:val="0"/>
          <w:color w:val="auto"/>
          <w:highlight w:val="none"/>
        </w:rPr>
      </w:pPr>
      <w:r>
        <w:rPr>
          <w:rFonts w:hint="eastAsia" w:ascii="仿宋" w:hAnsi="仿宋" w:eastAsia="仿宋" w:cs="仿宋"/>
          <w:i w:val="0"/>
          <w:iCs w:val="0"/>
          <w:color w:val="auto"/>
          <w:highlight w:val="none"/>
          <w:lang w:val="zh-CN"/>
        </w:rPr>
        <w:t>（</w:t>
      </w:r>
      <w:r>
        <w:rPr>
          <w:rFonts w:hint="eastAsia" w:ascii="仿宋" w:hAnsi="仿宋" w:eastAsia="仿宋" w:cs="仿宋"/>
          <w:i w:val="0"/>
          <w:iCs w:val="0"/>
          <w:color w:val="auto"/>
          <w:highlight w:val="none"/>
          <w:lang w:val="en-US" w:eastAsia="zh-CN"/>
        </w:rPr>
        <w:t>6</w:t>
      </w:r>
      <w:r>
        <w:rPr>
          <w:rFonts w:hint="eastAsia" w:ascii="仿宋" w:hAnsi="仿宋" w:eastAsia="仿宋" w:cs="仿宋"/>
          <w:i w:val="0"/>
          <w:iCs w:val="0"/>
          <w:color w:val="auto"/>
          <w:highlight w:val="none"/>
          <w:lang w:val="zh-CN"/>
        </w:rPr>
        <w:t>）投标人廉洁自律承诺书</w:t>
      </w:r>
      <w:r>
        <w:rPr>
          <w:rFonts w:hint="eastAsia" w:ascii="仿宋" w:hAnsi="仿宋" w:eastAsia="仿宋" w:cs="仿宋"/>
          <w:i w:val="0"/>
          <w:iCs w:val="0"/>
          <w:color w:val="auto"/>
          <w:highlight w:val="none"/>
        </w:rPr>
        <w:t>………………………………………………… （页码）</w:t>
      </w:r>
    </w:p>
    <w:p w14:paraId="2978AF88">
      <w:pPr>
        <w:spacing w:line="360" w:lineRule="auto"/>
        <w:ind w:right="-510" w:rightChars="-243"/>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zh-CN"/>
        </w:rPr>
        <w:t>主要业绩证明…………………………………………………</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zh-CN"/>
        </w:rPr>
        <w:t>…</w:t>
      </w:r>
      <w:r>
        <w:rPr>
          <w:rFonts w:hint="eastAsia" w:ascii="仿宋" w:hAnsi="仿宋" w:eastAsia="仿宋" w:cs="仿宋"/>
          <w:i w:val="0"/>
          <w:iCs w:val="0"/>
          <w:color w:val="auto"/>
          <w:highlight w:val="none"/>
        </w:rPr>
        <w:t>……</w:t>
      </w:r>
      <w:r>
        <w:rPr>
          <w:rFonts w:hint="eastAsia" w:ascii="仿宋" w:hAnsi="仿宋" w:eastAsia="仿宋" w:cs="仿宋"/>
          <w:i w:val="0"/>
          <w:iCs w:val="0"/>
          <w:color w:val="auto"/>
          <w:sz w:val="24"/>
          <w:highlight w:val="none"/>
        </w:rPr>
        <w:t>（页码）</w:t>
      </w:r>
    </w:p>
    <w:p w14:paraId="5E3B07CB">
      <w:pPr>
        <w:spacing w:line="360" w:lineRule="auto"/>
        <w:ind w:right="-510" w:rightChars="-243"/>
        <w:outlineLvl w:val="0"/>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kern w:val="0"/>
          <w:sz w:val="24"/>
          <w:highlight w:val="none"/>
          <w:lang w:val="en-US" w:eastAsia="zh-CN"/>
        </w:rPr>
        <w:t>8</w:t>
      </w:r>
      <w:r>
        <w:rPr>
          <w:rFonts w:hint="eastAsia" w:ascii="仿宋" w:hAnsi="仿宋" w:eastAsia="仿宋" w:cs="仿宋"/>
          <w:i w:val="0"/>
          <w:iCs w:val="0"/>
          <w:strike w:val="0"/>
          <w:dstrike w:val="0"/>
          <w:color w:val="auto"/>
          <w:kern w:val="0"/>
          <w:sz w:val="24"/>
          <w:highlight w:val="none"/>
        </w:rPr>
        <w:t>）技术解决方案………………………………</w:t>
      </w:r>
      <w:r>
        <w:rPr>
          <w:rFonts w:hint="eastAsia" w:ascii="仿宋" w:hAnsi="仿宋" w:eastAsia="仿宋" w:cs="仿宋"/>
          <w:i w:val="0"/>
          <w:iCs w:val="0"/>
          <w:strike w:val="0"/>
          <w:dstrike w:val="0"/>
          <w:color w:val="auto"/>
          <w:highlight w:val="none"/>
        </w:rPr>
        <w:t>……</w:t>
      </w: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highlight w:val="none"/>
        </w:rPr>
        <w:t>…………………</w:t>
      </w:r>
      <w:r>
        <w:rPr>
          <w:rFonts w:hint="eastAsia" w:ascii="仿宋" w:hAnsi="仿宋" w:eastAsia="仿宋" w:cs="仿宋"/>
          <w:i w:val="0"/>
          <w:iCs w:val="0"/>
          <w:strike w:val="0"/>
          <w:dstrike w:val="0"/>
          <w:color w:val="auto"/>
          <w:kern w:val="0"/>
          <w:sz w:val="24"/>
          <w:highlight w:val="none"/>
        </w:rPr>
        <w:t>（页码）</w:t>
      </w:r>
    </w:p>
    <w:p w14:paraId="2B15FC7A">
      <w:pPr>
        <w:spacing w:line="360" w:lineRule="auto"/>
        <w:ind w:right="-510" w:rightChars="-243"/>
        <w:outlineLvl w:val="0"/>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kern w:val="0"/>
          <w:sz w:val="24"/>
          <w:highlight w:val="none"/>
          <w:lang w:val="en-US" w:eastAsia="zh-CN"/>
        </w:rPr>
        <w:t>9</w:t>
      </w:r>
      <w:r>
        <w:rPr>
          <w:rFonts w:hint="eastAsia" w:ascii="仿宋" w:hAnsi="仿宋" w:eastAsia="仿宋" w:cs="仿宋"/>
          <w:i w:val="0"/>
          <w:iCs w:val="0"/>
          <w:strike w:val="0"/>
          <w:dstrike w:val="0"/>
          <w:color w:val="auto"/>
          <w:kern w:val="0"/>
          <w:sz w:val="24"/>
          <w:highlight w:val="none"/>
        </w:rPr>
        <w:t>）组织实施方案…………………………</w:t>
      </w:r>
      <w:r>
        <w:rPr>
          <w:rFonts w:hint="eastAsia" w:ascii="仿宋" w:hAnsi="仿宋" w:eastAsia="仿宋" w:cs="仿宋"/>
          <w:i w:val="0"/>
          <w:iCs w:val="0"/>
          <w:strike w:val="0"/>
          <w:dstrike w:val="0"/>
          <w:color w:val="auto"/>
          <w:highlight w:val="none"/>
        </w:rPr>
        <w:t>……………………………………</w:t>
      </w: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highlight w:val="none"/>
        </w:rPr>
        <w:t>……</w:t>
      </w:r>
      <w:r>
        <w:rPr>
          <w:rFonts w:hint="eastAsia" w:ascii="仿宋" w:hAnsi="仿宋" w:eastAsia="仿宋" w:cs="仿宋"/>
          <w:i w:val="0"/>
          <w:iCs w:val="0"/>
          <w:strike w:val="0"/>
          <w:dstrike w:val="0"/>
          <w:color w:val="auto"/>
          <w:kern w:val="0"/>
          <w:sz w:val="24"/>
          <w:highlight w:val="none"/>
        </w:rPr>
        <w:t>（页码）</w:t>
      </w:r>
    </w:p>
    <w:p w14:paraId="562905DE">
      <w:pPr>
        <w:spacing w:line="360" w:lineRule="auto"/>
        <w:ind w:right="-510" w:rightChars="-243"/>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（1</w:t>
      </w:r>
      <w:r>
        <w:rPr>
          <w:rFonts w:hint="eastAsia" w:ascii="仿宋" w:hAnsi="仿宋" w:eastAsia="仿宋" w:cs="仿宋"/>
          <w:i w:val="0"/>
          <w:iCs w:val="0"/>
          <w:color w:val="auto"/>
          <w:kern w:val="0"/>
          <w:sz w:val="24"/>
          <w:highlight w:val="none"/>
          <w:lang w:val="en-US" w:eastAsia="zh-CN"/>
        </w:rPr>
        <w:t>0</w:t>
      </w:r>
      <w:r>
        <w:rPr>
          <w:rFonts w:hint="eastAsia" w:ascii="仿宋" w:hAnsi="仿宋" w:eastAsia="仿宋" w:cs="仿宋"/>
          <w:i w:val="0"/>
          <w:iCs w:val="0"/>
          <w:color w:val="auto"/>
          <w:kern w:val="0"/>
          <w:sz w:val="24"/>
          <w:highlight w:val="none"/>
        </w:rPr>
        <w:t>）售后服务方案…………………………………</w:t>
      </w:r>
      <w:r>
        <w:rPr>
          <w:rFonts w:hint="eastAsia" w:ascii="仿宋" w:hAnsi="仿宋" w:eastAsia="仿宋" w:cs="仿宋"/>
          <w:i w:val="0"/>
          <w:iCs w:val="0"/>
          <w:color w:val="auto"/>
          <w:highlight w:val="none"/>
        </w:rPr>
        <w:t>……………………………………</w:t>
      </w:r>
      <w:r>
        <w:rPr>
          <w:rFonts w:hint="eastAsia" w:ascii="仿宋" w:hAnsi="仿宋" w:eastAsia="仿宋" w:cs="仿宋"/>
          <w:i w:val="0"/>
          <w:iCs w:val="0"/>
          <w:color w:val="auto"/>
          <w:kern w:val="0"/>
          <w:sz w:val="24"/>
          <w:highlight w:val="none"/>
        </w:rPr>
        <w:t>（页码）</w:t>
      </w:r>
    </w:p>
    <w:p w14:paraId="17939F7A">
      <w:pPr>
        <w:spacing w:line="360" w:lineRule="auto"/>
        <w:ind w:right="-510" w:rightChars="-243"/>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1</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售后服务</w:t>
      </w:r>
      <w:r>
        <w:rPr>
          <w:rFonts w:hint="eastAsia" w:ascii="仿宋" w:hAnsi="仿宋" w:eastAsia="仿宋" w:cs="仿宋"/>
          <w:i w:val="0"/>
          <w:iCs w:val="0"/>
          <w:color w:val="auto"/>
          <w:sz w:val="24"/>
          <w:highlight w:val="none"/>
          <w:lang w:val="en-US" w:eastAsia="zh-CN"/>
        </w:rPr>
        <w:t>能力</w:t>
      </w:r>
      <w:r>
        <w:rPr>
          <w:rFonts w:hint="eastAsia" w:ascii="仿宋" w:hAnsi="仿宋" w:eastAsia="仿宋" w:cs="仿宋"/>
          <w:i w:val="0"/>
          <w:iCs w:val="0"/>
          <w:color w:val="auto"/>
          <w:sz w:val="24"/>
          <w:highlight w:val="none"/>
        </w:rPr>
        <w:t>证明材料………………………………………………（页码）</w:t>
      </w:r>
    </w:p>
    <w:p w14:paraId="1585901E">
      <w:pPr>
        <w:spacing w:line="360" w:lineRule="auto"/>
        <w:ind w:right="-510" w:rightChars="-243"/>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i w:val="0"/>
          <w:iCs w:val="0"/>
          <w:strike w:val="0"/>
          <w:dstrike w:val="0"/>
          <w:color w:val="auto"/>
          <w:kern w:val="0"/>
          <w:sz w:val="24"/>
          <w:highlight w:val="none"/>
        </w:rPr>
        <w:t>（1</w:t>
      </w:r>
      <w:r>
        <w:rPr>
          <w:rFonts w:hint="eastAsia" w:ascii="仿宋" w:hAnsi="仿宋" w:eastAsia="仿宋" w:cs="仿宋"/>
          <w:i w:val="0"/>
          <w:iCs w:val="0"/>
          <w:strike w:val="0"/>
          <w:dstrike w:val="0"/>
          <w:color w:val="auto"/>
          <w:kern w:val="0"/>
          <w:sz w:val="24"/>
          <w:highlight w:val="none"/>
          <w:lang w:val="en-US" w:eastAsia="zh-CN"/>
        </w:rPr>
        <w:t>2</w:t>
      </w:r>
      <w:r>
        <w:rPr>
          <w:rFonts w:hint="eastAsia" w:ascii="仿宋" w:hAnsi="仿宋" w:eastAsia="仿宋" w:cs="仿宋"/>
          <w:i w:val="0"/>
          <w:iCs w:val="0"/>
          <w:strike w:val="0"/>
          <w:dstrike w:val="0"/>
          <w:color w:val="auto"/>
          <w:kern w:val="0"/>
          <w:sz w:val="24"/>
          <w:highlight w:val="none"/>
        </w:rPr>
        <w:t>）项目小组人员名单……………………………</w:t>
      </w:r>
      <w:r>
        <w:rPr>
          <w:rFonts w:hint="eastAsia" w:ascii="仿宋" w:hAnsi="仿宋" w:eastAsia="仿宋" w:cs="仿宋"/>
          <w:i w:val="0"/>
          <w:iCs w:val="0"/>
          <w:strike w:val="0"/>
          <w:dstrike w:val="0"/>
          <w:color w:val="auto"/>
          <w:highlight w:val="none"/>
        </w:rPr>
        <w:t>……………………………………</w:t>
      </w:r>
      <w:r>
        <w:rPr>
          <w:rFonts w:hint="eastAsia" w:ascii="仿宋" w:hAnsi="仿宋" w:eastAsia="仿宋" w:cs="仿宋"/>
          <w:i w:val="0"/>
          <w:iCs w:val="0"/>
          <w:strike w:val="0"/>
          <w:dstrike w:val="0"/>
          <w:color w:val="auto"/>
          <w:kern w:val="0"/>
          <w:sz w:val="24"/>
          <w:highlight w:val="none"/>
        </w:rPr>
        <w:t>（页码）</w:t>
      </w:r>
    </w:p>
    <w:p w14:paraId="24CD8D99">
      <w:pPr>
        <w:spacing w:line="360" w:lineRule="auto"/>
        <w:ind w:right="-510" w:rightChars="-243"/>
        <w:rPr>
          <w:rFonts w:hint="eastAsia"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（1</w:t>
      </w:r>
      <w:r>
        <w:rPr>
          <w:rFonts w:hint="eastAsia" w:ascii="仿宋" w:hAnsi="仿宋" w:eastAsia="仿宋" w:cs="仿宋"/>
          <w:i w:val="0"/>
          <w:iCs w:val="0"/>
          <w:strike w:val="0"/>
          <w:color w:val="auto"/>
          <w:kern w:val="0"/>
          <w:sz w:val="24"/>
          <w:highlight w:val="none"/>
          <w:lang w:val="en-US" w:eastAsia="zh-CN"/>
        </w:rPr>
        <w:t>3</w:t>
      </w:r>
      <w:r>
        <w:rPr>
          <w:rFonts w:hint="eastAsia" w:ascii="仿宋" w:hAnsi="仿宋" w:eastAsia="仿宋" w:cs="仿宋"/>
          <w:i w:val="0"/>
          <w:iCs w:val="0"/>
          <w:strike w:val="0"/>
          <w:color w:val="auto"/>
          <w:kern w:val="0"/>
          <w:sz w:val="24"/>
          <w:highlight w:val="none"/>
        </w:rPr>
        <w:t>）</w:t>
      </w:r>
      <w:r>
        <w:rPr>
          <w:rFonts w:hint="eastAsia" w:ascii="仿宋" w:hAnsi="仿宋" w:eastAsia="仿宋" w:cs="仿宋"/>
          <w:i w:val="0"/>
          <w:iCs w:val="0"/>
          <w:strike w:val="0"/>
          <w:color w:val="auto"/>
          <w:kern w:val="0"/>
          <w:sz w:val="24"/>
          <w:highlight w:val="none"/>
          <w:lang w:val="zh-CN"/>
        </w:rPr>
        <w:t>优惠条件及特殊承诺…………………………</w:t>
      </w:r>
      <w:r>
        <w:rPr>
          <w:rFonts w:hint="eastAsia" w:ascii="仿宋" w:hAnsi="仿宋" w:eastAsia="仿宋" w:cs="仿宋"/>
          <w:i w:val="0"/>
          <w:iCs w:val="0"/>
          <w:strike w:val="0"/>
          <w:color w:val="auto"/>
          <w:highlight w:val="none"/>
        </w:rPr>
        <w:t>…………………………</w:t>
      </w:r>
      <w:r>
        <w:rPr>
          <w:rFonts w:hint="eastAsia" w:ascii="仿宋" w:hAnsi="仿宋" w:eastAsia="仿宋" w:cs="仿宋"/>
          <w:i w:val="0"/>
          <w:iCs w:val="0"/>
          <w:strike w:val="0"/>
          <w:color w:val="auto"/>
          <w:kern w:val="0"/>
          <w:sz w:val="24"/>
          <w:highlight w:val="none"/>
        </w:rPr>
        <w:t>…………（页码）</w:t>
      </w:r>
    </w:p>
    <w:p w14:paraId="0BFD1FE2">
      <w:pPr>
        <w:spacing w:line="360" w:lineRule="auto"/>
        <w:ind w:right="-510" w:rightChars="-243"/>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i w:val="0"/>
          <w:iCs w:val="0"/>
          <w:strike w:val="0"/>
          <w:dstrike w:val="0"/>
          <w:color w:val="auto"/>
          <w:kern w:val="0"/>
          <w:sz w:val="24"/>
          <w:highlight w:val="none"/>
        </w:rPr>
        <w:t>（1</w:t>
      </w:r>
      <w:r>
        <w:rPr>
          <w:rFonts w:hint="eastAsia" w:ascii="仿宋" w:hAnsi="仿宋" w:eastAsia="仿宋" w:cs="仿宋"/>
          <w:i w:val="0"/>
          <w:iCs w:val="0"/>
          <w:strike w:val="0"/>
          <w:dstrike w:val="0"/>
          <w:color w:val="auto"/>
          <w:kern w:val="0"/>
          <w:sz w:val="24"/>
          <w:highlight w:val="none"/>
          <w:lang w:val="en-US" w:eastAsia="zh-CN"/>
        </w:rPr>
        <w:t>4</w:t>
      </w: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kern w:val="0"/>
          <w:sz w:val="24"/>
          <w:highlight w:val="none"/>
          <w:lang w:val="zh-CN"/>
        </w:rPr>
        <w:t>备品备件及供选择的配套零部件清单…………</w:t>
      </w: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kern w:val="0"/>
          <w:sz w:val="24"/>
          <w:highlight w:val="none"/>
          <w:lang w:eastAsia="zh-CN"/>
        </w:rPr>
        <w:t>（</w:t>
      </w:r>
      <w:r>
        <w:rPr>
          <w:rFonts w:hint="eastAsia" w:ascii="仿宋" w:hAnsi="仿宋" w:eastAsia="仿宋" w:cs="仿宋"/>
          <w:i w:val="0"/>
          <w:iCs w:val="0"/>
          <w:strike w:val="0"/>
          <w:dstrike w:val="0"/>
          <w:color w:val="auto"/>
          <w:kern w:val="0"/>
          <w:sz w:val="24"/>
          <w:highlight w:val="none"/>
        </w:rPr>
        <w:t>页码）</w:t>
      </w:r>
    </w:p>
    <w:p w14:paraId="2B0CC1A0">
      <w:pPr>
        <w:spacing w:line="360" w:lineRule="auto"/>
        <w:ind w:right="-510" w:rightChars="-243"/>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i w:val="0"/>
          <w:iCs w:val="0"/>
          <w:strike w:val="0"/>
          <w:dstrike w:val="0"/>
          <w:color w:val="auto"/>
          <w:kern w:val="0"/>
          <w:sz w:val="24"/>
          <w:highlight w:val="none"/>
        </w:rPr>
        <w:t>（1</w:t>
      </w:r>
      <w:r>
        <w:rPr>
          <w:rFonts w:hint="eastAsia" w:ascii="仿宋" w:hAnsi="仿宋" w:eastAsia="仿宋" w:cs="仿宋"/>
          <w:i w:val="0"/>
          <w:iCs w:val="0"/>
          <w:strike w:val="0"/>
          <w:dstrike w:val="0"/>
          <w:color w:val="auto"/>
          <w:kern w:val="0"/>
          <w:sz w:val="24"/>
          <w:highlight w:val="none"/>
          <w:lang w:val="en-US" w:eastAsia="zh-CN"/>
        </w:rPr>
        <w:t>5</w:t>
      </w: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kern w:val="0"/>
          <w:sz w:val="24"/>
          <w:highlight w:val="none"/>
          <w:lang w:val="zh-CN"/>
        </w:rPr>
        <w:t>培训计划………………………………………………</w:t>
      </w:r>
      <w:r>
        <w:rPr>
          <w:rFonts w:hint="eastAsia" w:ascii="仿宋" w:hAnsi="仿宋" w:eastAsia="仿宋" w:cs="仿宋"/>
          <w:i w:val="0"/>
          <w:iCs w:val="0"/>
          <w:strike w:val="0"/>
          <w:dstrike w:val="0"/>
          <w:color w:val="auto"/>
          <w:kern w:val="0"/>
          <w:sz w:val="24"/>
          <w:highlight w:val="none"/>
        </w:rPr>
        <w:t>………………………（页码）</w:t>
      </w:r>
    </w:p>
    <w:p w14:paraId="0A9F71C7">
      <w:pPr>
        <w:spacing w:line="360" w:lineRule="auto"/>
        <w:ind w:right="-510" w:rightChars="-243"/>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i w:val="0"/>
          <w:iCs w:val="0"/>
          <w:strike w:val="0"/>
          <w:dstrike w:val="0"/>
          <w:color w:val="auto"/>
          <w:kern w:val="0"/>
          <w:sz w:val="24"/>
          <w:highlight w:val="none"/>
        </w:rPr>
        <w:t>（1</w:t>
      </w:r>
      <w:r>
        <w:rPr>
          <w:rFonts w:hint="eastAsia" w:ascii="仿宋" w:hAnsi="仿宋" w:eastAsia="仿宋" w:cs="仿宋"/>
          <w:i w:val="0"/>
          <w:iCs w:val="0"/>
          <w:strike w:val="0"/>
          <w:dstrike w:val="0"/>
          <w:color w:val="auto"/>
          <w:kern w:val="0"/>
          <w:sz w:val="24"/>
          <w:highlight w:val="none"/>
          <w:lang w:val="en-US" w:eastAsia="zh-CN"/>
        </w:rPr>
        <w:t>6</w:t>
      </w:r>
      <w:r>
        <w:rPr>
          <w:rFonts w:hint="eastAsia" w:ascii="仿宋" w:hAnsi="仿宋" w:eastAsia="仿宋" w:cs="仿宋"/>
          <w:i w:val="0"/>
          <w:iCs w:val="0"/>
          <w:strike w:val="0"/>
          <w:dstrike w:val="0"/>
          <w:color w:val="auto"/>
          <w:kern w:val="0"/>
          <w:sz w:val="24"/>
          <w:highlight w:val="none"/>
        </w:rPr>
        <w:t>）</w:t>
      </w:r>
      <w:r>
        <w:rPr>
          <w:rFonts w:hint="eastAsia" w:ascii="仿宋" w:hAnsi="仿宋" w:eastAsia="仿宋" w:cs="仿宋"/>
          <w:i w:val="0"/>
          <w:iCs w:val="0"/>
          <w:strike w:val="0"/>
          <w:dstrike w:val="0"/>
          <w:color w:val="auto"/>
          <w:kern w:val="0"/>
          <w:sz w:val="24"/>
          <w:highlight w:val="none"/>
          <w:lang w:val="zh-CN"/>
        </w:rPr>
        <w:t>验收方案………………………………………</w:t>
      </w:r>
      <w:r>
        <w:rPr>
          <w:rFonts w:hint="eastAsia" w:ascii="仿宋" w:hAnsi="仿宋" w:eastAsia="仿宋" w:cs="仿宋"/>
          <w:i w:val="0"/>
          <w:iCs w:val="0"/>
          <w:strike w:val="0"/>
          <w:dstrike w:val="0"/>
          <w:color w:val="auto"/>
          <w:highlight w:val="none"/>
        </w:rPr>
        <w:t>……………………………………</w:t>
      </w:r>
      <w:r>
        <w:rPr>
          <w:rFonts w:hint="eastAsia" w:ascii="仿宋" w:hAnsi="仿宋" w:eastAsia="仿宋" w:cs="仿宋"/>
          <w:i w:val="0"/>
          <w:iCs w:val="0"/>
          <w:strike w:val="0"/>
          <w:dstrike w:val="0"/>
          <w:color w:val="auto"/>
          <w:kern w:val="0"/>
          <w:sz w:val="24"/>
          <w:highlight w:val="none"/>
        </w:rPr>
        <w:t>（页码）</w:t>
      </w:r>
    </w:p>
    <w:p w14:paraId="1112E3A2">
      <w:pPr>
        <w:spacing w:line="360" w:lineRule="auto"/>
        <w:ind w:right="-368" w:rightChars="-175"/>
        <w:rPr>
          <w:rFonts w:hint="eastAsia" w:ascii="仿宋" w:hAnsi="仿宋" w:eastAsia="仿宋" w:cs="仿宋"/>
          <w:b/>
          <w:bCs/>
          <w:i w:val="0"/>
          <w:iCs w:val="0"/>
          <w:color w:val="auto"/>
          <w:sz w:val="24"/>
          <w:highlight w:val="none"/>
        </w:rPr>
      </w:pPr>
      <w:r>
        <w:rPr>
          <w:rFonts w:hint="eastAsia" w:ascii="仿宋" w:hAnsi="仿宋" w:eastAsia="仿宋" w:cs="仿宋"/>
          <w:i w:val="0"/>
          <w:iCs w:val="0"/>
          <w:color w:val="auto"/>
          <w:kern w:val="0"/>
          <w:sz w:val="24"/>
          <w:highlight w:val="none"/>
        </w:rPr>
        <w:t>（1</w:t>
      </w:r>
      <w:r>
        <w:rPr>
          <w:rFonts w:hint="eastAsia" w:ascii="仿宋" w:hAnsi="仿宋" w:eastAsia="仿宋" w:cs="仿宋"/>
          <w:i w:val="0"/>
          <w:iCs w:val="0"/>
          <w:color w:val="auto"/>
          <w:kern w:val="0"/>
          <w:sz w:val="24"/>
          <w:highlight w:val="none"/>
          <w:lang w:val="en-US" w:eastAsia="zh-CN"/>
        </w:rPr>
        <w:t>7</w:t>
      </w:r>
      <w:r>
        <w:rPr>
          <w:rFonts w:hint="eastAsia" w:ascii="仿宋" w:hAnsi="仿宋" w:eastAsia="仿宋" w:cs="仿宋"/>
          <w:i w:val="0"/>
          <w:iCs w:val="0"/>
          <w:color w:val="auto"/>
          <w:kern w:val="0"/>
          <w:sz w:val="24"/>
          <w:highlight w:val="none"/>
        </w:rPr>
        <w:t>）</w:t>
      </w:r>
      <w:r>
        <w:rPr>
          <w:rFonts w:hint="eastAsia" w:ascii="仿宋" w:hAnsi="仿宋" w:eastAsia="仿宋" w:cs="仿宋"/>
          <w:i w:val="0"/>
          <w:iCs w:val="0"/>
          <w:color w:val="auto"/>
          <w:kern w:val="0"/>
          <w:sz w:val="24"/>
          <w:highlight w:val="none"/>
          <w:lang w:val="zh-CN"/>
        </w:rPr>
        <w:t>认为需要的其他商务技术（资信）文件或说明………</w:t>
      </w:r>
      <w:r>
        <w:rPr>
          <w:rFonts w:hint="eastAsia" w:ascii="仿宋" w:hAnsi="仿宋" w:eastAsia="仿宋" w:cs="仿宋"/>
          <w:i w:val="0"/>
          <w:iCs w:val="0"/>
          <w:color w:val="auto"/>
          <w:highlight w:val="none"/>
        </w:rPr>
        <w:t>………………………</w:t>
      </w:r>
      <w:r>
        <w:rPr>
          <w:rFonts w:hint="eastAsia"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rPr>
        <w:t>（页码）</w:t>
      </w:r>
    </w:p>
    <w:p w14:paraId="0BCEB97D">
      <w:pPr>
        <w:snapToGrid w:val="0"/>
        <w:spacing w:line="360" w:lineRule="auto"/>
        <w:jc w:val="center"/>
        <w:rPr>
          <w:rFonts w:hint="eastAsia" w:ascii="仿宋" w:hAnsi="仿宋" w:eastAsia="仿宋" w:cs="仿宋"/>
          <w:b/>
          <w:i w:val="0"/>
          <w:iCs w:val="0"/>
          <w:color w:val="auto"/>
          <w:kern w:val="0"/>
          <w:sz w:val="32"/>
          <w:szCs w:val="32"/>
          <w:highlight w:val="none"/>
          <w:lang w:val="zh-CN"/>
        </w:rPr>
      </w:pPr>
    </w:p>
    <w:p w14:paraId="3DB9439A">
      <w:pPr>
        <w:snapToGrid w:val="0"/>
        <w:spacing w:line="360" w:lineRule="auto"/>
        <w:jc w:val="center"/>
        <w:rPr>
          <w:rFonts w:hint="eastAsia" w:ascii="仿宋" w:hAnsi="仿宋" w:eastAsia="仿宋" w:cs="仿宋"/>
          <w:b/>
          <w:i w:val="0"/>
          <w:iCs w:val="0"/>
          <w:color w:val="auto"/>
          <w:kern w:val="0"/>
          <w:sz w:val="32"/>
          <w:szCs w:val="32"/>
          <w:highlight w:val="none"/>
          <w:lang w:val="zh-CN"/>
        </w:rPr>
      </w:pPr>
    </w:p>
    <w:p w14:paraId="67498C97">
      <w:pPr>
        <w:pStyle w:val="25"/>
        <w:rPr>
          <w:rFonts w:hint="eastAsia" w:ascii="仿宋" w:hAnsi="仿宋" w:eastAsia="仿宋" w:cs="仿宋"/>
          <w:i w:val="0"/>
          <w:iCs w:val="0"/>
          <w:color w:val="auto"/>
          <w:highlight w:val="none"/>
          <w:lang w:val="zh-CN"/>
        </w:rPr>
      </w:pPr>
    </w:p>
    <w:p w14:paraId="49C1DC80">
      <w:pPr>
        <w:pStyle w:val="81"/>
        <w:rPr>
          <w:rFonts w:hint="eastAsia" w:ascii="仿宋" w:hAnsi="仿宋" w:eastAsia="仿宋" w:cs="仿宋"/>
          <w:i w:val="0"/>
          <w:iCs w:val="0"/>
          <w:color w:val="auto"/>
          <w:highlight w:val="none"/>
          <w:lang w:val="zh-CN"/>
        </w:rPr>
      </w:pPr>
    </w:p>
    <w:p w14:paraId="7D3D05E9">
      <w:pPr>
        <w:rPr>
          <w:rFonts w:hint="eastAsia" w:ascii="仿宋" w:hAnsi="仿宋" w:eastAsia="仿宋" w:cs="仿宋"/>
          <w:i w:val="0"/>
          <w:iCs w:val="0"/>
          <w:color w:val="auto"/>
          <w:highlight w:val="none"/>
          <w:lang w:val="zh-CN"/>
        </w:rPr>
      </w:pPr>
    </w:p>
    <w:p w14:paraId="2432B81B">
      <w:pPr>
        <w:snapToGrid w:val="0"/>
        <w:spacing w:line="360" w:lineRule="auto"/>
        <w:jc w:val="both"/>
        <w:rPr>
          <w:rFonts w:hint="eastAsia" w:ascii="仿宋" w:hAnsi="仿宋" w:eastAsia="仿宋" w:cs="仿宋"/>
          <w:b/>
          <w:i w:val="0"/>
          <w:iCs w:val="0"/>
          <w:color w:val="auto"/>
          <w:kern w:val="0"/>
          <w:sz w:val="32"/>
          <w:szCs w:val="32"/>
          <w:highlight w:val="none"/>
          <w:lang w:val="zh-CN"/>
        </w:rPr>
      </w:pPr>
    </w:p>
    <w:p w14:paraId="151C9C6C">
      <w:pPr>
        <w:snapToGrid w:val="0"/>
        <w:spacing w:line="360" w:lineRule="auto"/>
        <w:ind w:firstLine="3855" w:firstLineChars="1200"/>
        <w:outlineLvl w:val="0"/>
        <w:rPr>
          <w:rFonts w:hint="eastAsia"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rPr>
        <w:t>一、投标</w:t>
      </w:r>
      <w:r>
        <w:rPr>
          <w:rFonts w:hint="eastAsia" w:ascii="仿宋" w:hAnsi="仿宋" w:eastAsia="仿宋" w:cs="仿宋"/>
          <w:b/>
          <w:i w:val="0"/>
          <w:iCs w:val="0"/>
          <w:color w:val="auto"/>
          <w:sz w:val="32"/>
          <w:szCs w:val="32"/>
          <w:highlight w:val="none"/>
        </w:rPr>
        <w:t>函</w:t>
      </w:r>
    </w:p>
    <w:p w14:paraId="409D5549">
      <w:pPr>
        <w:pStyle w:val="397"/>
        <w:spacing w:after="120" w:line="336" w:lineRule="auto"/>
        <w:ind w:firstLine="0" w:firstLineChars="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3A55AE40">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    、单位    、职务   ）</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 xml:space="preserve">填写单位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585663F7">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43F5FF36">
      <w:pPr>
        <w:pStyle w:val="12"/>
        <w:tabs>
          <w:tab w:val="clear" w:pos="1697"/>
        </w:tabs>
        <w:spacing w:after="120" w:line="336" w:lineRule="auto"/>
        <w:ind w:left="0" w:firstLine="480" w:firstLineChars="20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3DB9E324">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hint="eastAsia" w:ascii="仿宋" w:hAnsi="仿宋" w:eastAsia="仿宋" w:cs="仿宋"/>
          <w:i w:val="0"/>
          <w:iCs w:val="0"/>
          <w:color w:val="auto"/>
          <w:szCs w:val="24"/>
          <w:highlight w:val="none"/>
        </w:rPr>
        <w:t>的参加</w:t>
      </w:r>
      <w:r>
        <w:rPr>
          <w:rFonts w:hint="eastAsia" w:ascii="仿宋" w:hAnsi="仿宋" w:eastAsia="仿宋" w:cs="仿宋"/>
          <w:i w:val="0"/>
          <w:iCs w:val="0"/>
          <w:color w:val="auto"/>
          <w:szCs w:val="24"/>
          <w:highlight w:val="none"/>
          <w:lang w:eastAsia="zh-CN"/>
        </w:rPr>
        <w:t>招标活动</w:t>
      </w:r>
      <w:r>
        <w:rPr>
          <w:rFonts w:hint="eastAsia" w:ascii="仿宋" w:hAnsi="仿宋" w:eastAsia="仿宋" w:cs="仿宋"/>
          <w:i w:val="0"/>
          <w:iCs w:val="0"/>
          <w:color w:val="auto"/>
          <w:szCs w:val="24"/>
          <w:highlight w:val="none"/>
        </w:rPr>
        <w:t>的</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应当具备的条件。</w:t>
      </w:r>
    </w:p>
    <w:p w14:paraId="12649ADF">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3.我方投标文件中填列的技术参数、配置、服务、数量等相关内容都是真实、准确的。保证在本次项目中所提供的资料全部真实和合法。同意向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招标人或</w:t>
      </w:r>
      <w:r>
        <w:rPr>
          <w:rFonts w:hint="eastAsia" w:ascii="仿宋" w:hAnsi="仿宋" w:eastAsia="仿宋" w:cs="仿宋"/>
          <w:i w:val="0"/>
          <w:iCs w:val="0"/>
          <w:color w:val="auto"/>
          <w:szCs w:val="24"/>
          <w:highlight w:val="none"/>
          <w:lang w:eastAsia="zh-CN"/>
        </w:rPr>
        <w:t>招标代理机构</w:t>
      </w:r>
      <w:r>
        <w:rPr>
          <w:rFonts w:hint="eastAsia" w:ascii="仿宋" w:hAnsi="仿宋" w:eastAsia="仿宋" w:cs="仿宋"/>
          <w:i w:val="0"/>
          <w:iCs w:val="0"/>
          <w:color w:val="auto"/>
          <w:szCs w:val="24"/>
          <w:highlight w:val="none"/>
        </w:rPr>
        <w:t>提供可能另外要求的与投标有关的任何数据或资料。</w:t>
      </w:r>
    </w:p>
    <w:p w14:paraId="6391B6F2">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4.我方理解贵方将不受所收到的最低报价的约束。</w:t>
      </w:r>
    </w:p>
    <w:p w14:paraId="2BB5B7E2">
      <w:pPr>
        <w:pStyle w:val="12"/>
        <w:tabs>
          <w:tab w:val="clear" w:pos="1697"/>
        </w:tabs>
        <w:spacing w:after="120" w:line="336" w:lineRule="auto"/>
        <w:ind w:left="0" w:firstLine="480" w:firstLineChars="20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5.</w:t>
      </w:r>
      <w:r>
        <w:rPr>
          <w:rFonts w:hint="eastAsia" w:ascii="仿宋" w:hAnsi="仿宋" w:eastAsia="仿宋" w:cs="仿宋"/>
          <w:i w:val="0"/>
          <w:iCs w:val="0"/>
          <w:color w:val="auto"/>
          <w:szCs w:val="24"/>
          <w:highlight w:val="none"/>
          <w:lang w:eastAsia="zh-CN"/>
        </w:rPr>
        <w:t>本次</w:t>
      </w:r>
      <w:r>
        <w:rPr>
          <w:rFonts w:hint="eastAsia" w:ascii="仿宋" w:hAnsi="仿宋" w:eastAsia="仿宋" w:cs="仿宋"/>
          <w:i w:val="0"/>
          <w:iCs w:val="0"/>
          <w:color w:val="auto"/>
          <w:szCs w:val="24"/>
          <w:highlight w:val="none"/>
        </w:rPr>
        <w:t>投标自开标之日（投标截止之日）起</w:t>
      </w:r>
      <w:r>
        <w:rPr>
          <w:rFonts w:hint="eastAsia" w:ascii="仿宋" w:hAnsi="仿宋" w:eastAsia="仿宋" w:cs="仿宋"/>
          <w:i w:val="0"/>
          <w:iCs w:val="0"/>
          <w:color w:val="auto"/>
          <w:szCs w:val="24"/>
          <w:highlight w:val="none"/>
          <w:u w:val="single"/>
          <w:lang w:val="en-US" w:eastAsia="zh-CN"/>
        </w:rPr>
        <w:t xml:space="preserve"> 90 </w:t>
      </w:r>
      <w:r>
        <w:rPr>
          <w:rFonts w:hint="eastAsia" w:ascii="仿宋" w:hAnsi="仿宋" w:eastAsia="仿宋" w:cs="仿宋"/>
          <w:i w:val="0"/>
          <w:iCs w:val="0"/>
          <w:color w:val="auto"/>
          <w:szCs w:val="24"/>
          <w:highlight w:val="none"/>
        </w:rPr>
        <w:t>天内有效。</w:t>
      </w:r>
    </w:p>
    <w:p w14:paraId="31721920">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hint="eastAsia"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hint="eastAsia" w:ascii="仿宋" w:hAnsi="仿宋" w:eastAsia="仿宋" w:cs="仿宋"/>
          <w:i w:val="0"/>
          <w:iCs w:val="0"/>
          <w:color w:val="auto"/>
          <w:szCs w:val="24"/>
          <w:highlight w:val="none"/>
          <w:lang w:eastAsia="zh-CN"/>
        </w:rPr>
        <w:t>投标人</w:t>
      </w:r>
      <w:r>
        <w:rPr>
          <w:rFonts w:hint="eastAsia" w:ascii="仿宋" w:hAnsi="仿宋" w:eastAsia="仿宋" w:cs="仿宋"/>
          <w:i w:val="0"/>
          <w:iCs w:val="0"/>
          <w:color w:val="auto"/>
          <w:szCs w:val="24"/>
          <w:highlight w:val="none"/>
        </w:rPr>
        <w:t>有下列情形之一的，处以</w:t>
      </w:r>
      <w:r>
        <w:rPr>
          <w:rFonts w:hint="eastAsia" w:ascii="仿宋" w:hAnsi="仿宋" w:eastAsia="仿宋" w:cs="仿宋"/>
          <w:i w:val="0"/>
          <w:iCs w:val="0"/>
          <w:color w:val="auto"/>
          <w:szCs w:val="24"/>
          <w:highlight w:val="none"/>
          <w:lang w:val="en-US" w:eastAsia="zh-CN"/>
        </w:rPr>
        <w:t>招标</w:t>
      </w:r>
      <w:r>
        <w:rPr>
          <w:rFonts w:hint="eastAsia" w:ascii="仿宋" w:hAnsi="仿宋" w:eastAsia="仿宋" w:cs="仿宋"/>
          <w:i w:val="0"/>
          <w:iCs w:val="0"/>
          <w:color w:val="auto"/>
          <w:szCs w:val="24"/>
          <w:highlight w:val="none"/>
        </w:rPr>
        <w:t>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本项目招标人（及其集团公司）发起的</w:t>
      </w:r>
      <w:r>
        <w:rPr>
          <w:rFonts w:hint="eastAsia" w:ascii="仿宋" w:hAnsi="仿宋" w:eastAsia="仿宋" w:cs="仿宋"/>
          <w:i w:val="0"/>
          <w:iCs w:val="0"/>
          <w:color w:val="auto"/>
          <w:szCs w:val="24"/>
          <w:highlight w:val="none"/>
          <w:lang w:eastAsia="zh-CN"/>
        </w:rPr>
        <w:t>招标活动</w:t>
      </w:r>
      <w:r>
        <w:rPr>
          <w:rFonts w:hint="eastAsia" w:ascii="仿宋" w:hAnsi="仿宋" w:eastAsia="仿宋" w:cs="仿宋"/>
          <w:i w:val="0"/>
          <w:iCs w:val="0"/>
          <w:color w:val="auto"/>
          <w:szCs w:val="24"/>
          <w:highlight w:val="none"/>
        </w:rPr>
        <w:t>；构成犯罪的，依法追究刑事责任：</w:t>
      </w:r>
    </w:p>
    <w:p w14:paraId="486E07BE">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a)提供虚假材料谋取中标、成交的；</w:t>
      </w:r>
    </w:p>
    <w:p w14:paraId="30891A26">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b)采取不正当手段诋毁、排挤其他</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的；</w:t>
      </w:r>
    </w:p>
    <w:p w14:paraId="054502B4">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c)与</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、其它</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或者</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恶意串通的；</w:t>
      </w:r>
    </w:p>
    <w:p w14:paraId="4A21AB1D">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d)向</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行贿或者提供其他不正当利益的；</w:t>
      </w:r>
    </w:p>
    <w:p w14:paraId="55BA77C9">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e)在招标</w:t>
      </w:r>
      <w:r>
        <w:rPr>
          <w:rFonts w:hint="eastAsia" w:ascii="仿宋" w:hAnsi="仿宋" w:eastAsia="仿宋" w:cs="仿宋"/>
          <w:i w:val="0"/>
          <w:iCs w:val="0"/>
          <w:color w:val="auto"/>
          <w:sz w:val="24"/>
          <w:highlight w:val="none"/>
          <w:lang w:eastAsia="zh-CN"/>
        </w:rPr>
        <w:t>招标过程</w:t>
      </w:r>
      <w:r>
        <w:rPr>
          <w:rFonts w:hint="eastAsia" w:ascii="仿宋" w:hAnsi="仿宋" w:eastAsia="仿宋" w:cs="仿宋"/>
          <w:i w:val="0"/>
          <w:iCs w:val="0"/>
          <w:color w:val="auto"/>
          <w:sz w:val="24"/>
          <w:highlight w:val="none"/>
        </w:rPr>
        <w:t>中与</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进行协商谈判的；</w:t>
      </w:r>
    </w:p>
    <w:p w14:paraId="09634D05">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f)拒绝有关部门监督检查或提供虚假情况的。</w:t>
      </w:r>
    </w:p>
    <w:p w14:paraId="7D260A85">
      <w:pPr>
        <w:snapToGrid w:val="0"/>
        <w:spacing w:line="336"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有前款第a)至e)项情形之一的，中标、成交无效。</w:t>
      </w:r>
    </w:p>
    <w:p w14:paraId="72AFD872">
      <w:pPr>
        <w:pStyle w:val="397"/>
        <w:spacing w:after="120" w:line="336" w:lineRule="auto"/>
        <w:ind w:firstLine="480"/>
        <w:rPr>
          <w:rFonts w:hint="eastAsia"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法定代表人或其授权代表(签字或盖章)：</w:t>
      </w:r>
    </w:p>
    <w:p w14:paraId="1DE90C79">
      <w:pPr>
        <w:snapToGrid w:val="0"/>
        <w:spacing w:line="336" w:lineRule="auto"/>
        <w:ind w:firstLine="480" w:firstLineChars="200"/>
        <w:jc w:val="left"/>
        <w:rPr>
          <w:rFonts w:hint="eastAsia"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 xml:space="preserve">)：　　　　　　　　　日期：  </w:t>
      </w:r>
    </w:p>
    <w:p w14:paraId="6510C57B">
      <w:pPr>
        <w:rPr>
          <w:rFonts w:hint="eastAsia"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br w:type="page"/>
      </w:r>
    </w:p>
    <w:p w14:paraId="0A51A714">
      <w:pPr>
        <w:widowControl/>
        <w:adjustRightInd/>
        <w:jc w:val="center"/>
        <w:rPr>
          <w:rFonts w:hint="eastAsia" w:ascii="仿宋" w:hAnsi="仿宋" w:eastAsia="仿宋" w:cs="仿宋"/>
          <w:b/>
          <w:i w:val="0"/>
          <w:iCs w:val="0"/>
          <w:strike/>
          <w:dstrike w:val="0"/>
          <w:color w:val="auto"/>
          <w:sz w:val="30"/>
          <w:szCs w:val="30"/>
          <w:highlight w:val="none"/>
        </w:rPr>
      </w:pPr>
      <w:r>
        <w:rPr>
          <w:rFonts w:hint="eastAsia" w:ascii="仿宋" w:hAnsi="仿宋" w:eastAsia="仿宋" w:cs="仿宋"/>
          <w:b/>
          <w:i w:val="0"/>
          <w:iCs w:val="0"/>
          <w:strike/>
          <w:dstrike w:val="0"/>
          <w:color w:val="auto"/>
          <w:sz w:val="30"/>
          <w:szCs w:val="30"/>
          <w:highlight w:val="none"/>
        </w:rPr>
        <w:t xml:space="preserve">二、法定代表人授权委托书（格式） </w:t>
      </w:r>
      <w:r>
        <w:rPr>
          <w:rFonts w:hint="eastAsia" w:ascii="仿宋" w:hAnsi="仿宋" w:eastAsia="仿宋" w:cs="仿宋"/>
          <w:b/>
          <w:i w:val="0"/>
          <w:iCs w:val="0"/>
          <w:strike/>
          <w:dstrike w:val="0"/>
          <w:color w:val="auto"/>
          <w:kern w:val="0"/>
          <w:sz w:val="32"/>
          <w:szCs w:val="32"/>
          <w:highlight w:val="none"/>
          <w:lang w:val="zh-CN"/>
        </w:rPr>
        <w:t>（适用于非联合体投标）</w:t>
      </w:r>
    </w:p>
    <w:p w14:paraId="26E80E25">
      <w:pPr>
        <w:jc w:val="center"/>
        <w:rPr>
          <w:rFonts w:hint="eastAsia" w:ascii="仿宋" w:hAnsi="仿宋" w:eastAsia="仿宋" w:cs="仿宋"/>
          <w:b/>
          <w:i w:val="0"/>
          <w:iCs w:val="0"/>
          <w:strike/>
          <w:dstrike w:val="0"/>
          <w:color w:val="auto"/>
          <w:sz w:val="24"/>
          <w:highlight w:val="none"/>
        </w:rPr>
      </w:pPr>
    </w:p>
    <w:p w14:paraId="01EB0D41">
      <w:pPr>
        <w:snapToGrid w:val="0"/>
        <w:spacing w:line="560" w:lineRule="exact"/>
        <w:ind w:firstLine="480" w:firstLineChars="200"/>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本授权委托书声明：我</w:t>
      </w:r>
      <w:r>
        <w:rPr>
          <w:rFonts w:hint="eastAsia" w:ascii="仿宋" w:hAnsi="仿宋" w:eastAsia="仿宋" w:cs="仿宋"/>
          <w:i w:val="0"/>
          <w:iCs w:val="0"/>
          <w:strike/>
          <w:dstrike w:val="0"/>
          <w:color w:val="auto"/>
          <w:sz w:val="24"/>
          <w:highlight w:val="none"/>
          <w:u w:val="single"/>
        </w:rPr>
        <w:t xml:space="preserve">         (填写姓名)</w:t>
      </w:r>
      <w:r>
        <w:rPr>
          <w:rFonts w:hint="eastAsia" w:ascii="仿宋" w:hAnsi="仿宋" w:eastAsia="仿宋" w:cs="仿宋"/>
          <w:i w:val="0"/>
          <w:iCs w:val="0"/>
          <w:strike/>
          <w:dstrike w:val="0"/>
          <w:color w:val="auto"/>
          <w:sz w:val="24"/>
          <w:highlight w:val="none"/>
        </w:rPr>
        <w:t>系</w:t>
      </w:r>
      <w:r>
        <w:rPr>
          <w:rFonts w:hint="eastAsia" w:ascii="仿宋" w:hAnsi="仿宋" w:eastAsia="仿宋" w:cs="仿宋"/>
          <w:i w:val="0"/>
          <w:iCs w:val="0"/>
          <w:strike/>
          <w:dstrike w:val="0"/>
          <w:color w:val="auto"/>
          <w:sz w:val="24"/>
          <w:highlight w:val="none"/>
          <w:u w:val="single"/>
        </w:rPr>
        <w:t xml:space="preserve">                   （填写</w:t>
      </w:r>
      <w:r>
        <w:rPr>
          <w:rFonts w:hint="eastAsia" w:ascii="仿宋" w:hAnsi="仿宋" w:eastAsia="仿宋" w:cs="仿宋"/>
          <w:i w:val="0"/>
          <w:iCs w:val="0"/>
          <w:strike/>
          <w:dstrike w:val="0"/>
          <w:color w:val="auto"/>
          <w:sz w:val="24"/>
          <w:highlight w:val="none"/>
          <w:u w:val="single"/>
          <w:lang w:eastAsia="zh-CN"/>
        </w:rPr>
        <w:t>投标人</w:t>
      </w:r>
      <w:r>
        <w:rPr>
          <w:rFonts w:hint="eastAsia" w:ascii="仿宋" w:hAnsi="仿宋" w:eastAsia="仿宋" w:cs="仿宋"/>
          <w:i w:val="0"/>
          <w:iCs w:val="0"/>
          <w:strike/>
          <w:dstrike w:val="0"/>
          <w:color w:val="auto"/>
          <w:sz w:val="24"/>
          <w:highlight w:val="none"/>
          <w:u w:val="single"/>
        </w:rPr>
        <w:t>单位全称）</w:t>
      </w:r>
      <w:r>
        <w:rPr>
          <w:rFonts w:hint="eastAsia" w:ascii="仿宋" w:hAnsi="仿宋" w:eastAsia="仿宋" w:cs="仿宋"/>
          <w:i w:val="0"/>
          <w:iCs w:val="0"/>
          <w:strike/>
          <w:dstrike w:val="0"/>
          <w:color w:val="auto"/>
          <w:sz w:val="24"/>
          <w:highlight w:val="none"/>
        </w:rPr>
        <w:t>的法定代表人，现授权委托</w:t>
      </w:r>
      <w:r>
        <w:rPr>
          <w:rFonts w:hint="eastAsia" w:ascii="仿宋" w:hAnsi="仿宋" w:eastAsia="仿宋" w:cs="仿宋"/>
          <w:i w:val="0"/>
          <w:iCs w:val="0"/>
          <w:strike/>
          <w:dstrike w:val="0"/>
          <w:color w:val="auto"/>
          <w:sz w:val="24"/>
          <w:highlight w:val="none"/>
          <w:u w:val="single"/>
        </w:rPr>
        <w:t xml:space="preserve">                  （填写单位全称）</w:t>
      </w:r>
      <w:r>
        <w:rPr>
          <w:rFonts w:hint="eastAsia" w:ascii="仿宋" w:hAnsi="仿宋" w:eastAsia="仿宋" w:cs="仿宋"/>
          <w:i w:val="0"/>
          <w:iCs w:val="0"/>
          <w:strike/>
          <w:dstrike w:val="0"/>
          <w:color w:val="auto"/>
          <w:sz w:val="24"/>
          <w:highlight w:val="none"/>
        </w:rPr>
        <w:t>的（填写姓名）为我公司授权代表，</w:t>
      </w:r>
      <w:r>
        <w:rPr>
          <w:rFonts w:hint="eastAsia" w:ascii="仿宋" w:hAnsi="仿宋" w:eastAsia="仿宋" w:cs="仿宋"/>
          <w:i w:val="0"/>
          <w:iCs w:val="0"/>
          <w:strike/>
          <w:dstrike w:val="0"/>
          <w:color w:val="auto"/>
          <w:sz w:val="24"/>
          <w:highlight w:val="none"/>
          <w:u w:val="single"/>
        </w:rPr>
        <w:t>（填写身份证号码：                       ）</w:t>
      </w:r>
      <w:r>
        <w:rPr>
          <w:rFonts w:hint="eastAsia" w:ascii="仿宋" w:hAnsi="仿宋" w:eastAsia="仿宋" w:cs="仿宋"/>
          <w:i w:val="0"/>
          <w:iCs w:val="0"/>
          <w:strike/>
          <w:dstrike w:val="0"/>
          <w:color w:val="auto"/>
          <w:sz w:val="24"/>
          <w:highlight w:val="none"/>
        </w:rPr>
        <w:t>。以本公司的名义参加组织的投标活动。授权代表在开标、评标、合同谈判过程中所签署的一切文件和处理与之有关的一切事务，我均予以承认。</w:t>
      </w:r>
    </w:p>
    <w:p w14:paraId="7D84F6A5">
      <w:pPr>
        <w:snapToGrid w:val="0"/>
        <w:spacing w:line="560" w:lineRule="exact"/>
        <w:ind w:firstLine="480" w:firstLineChars="200"/>
        <w:jc w:val="lef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在撤销授权的书面通知以前，本授权书一直有效。全权代表在授权书有效期内签署的所有文件不因授权的撤销而失效。</w:t>
      </w:r>
    </w:p>
    <w:p w14:paraId="528E8863">
      <w:pPr>
        <w:spacing w:line="560" w:lineRule="exact"/>
        <w:ind w:firstLine="480" w:firstLineChars="200"/>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授权代表无转委托权。特此委托。</w:t>
      </w:r>
    </w:p>
    <w:p w14:paraId="73EDA268">
      <w:pPr>
        <w:snapToGrid w:val="0"/>
        <w:spacing w:line="600" w:lineRule="exact"/>
        <w:jc w:val="left"/>
        <w:rPr>
          <w:rFonts w:hint="eastAsia" w:ascii="仿宋" w:hAnsi="仿宋" w:eastAsia="仿宋" w:cs="仿宋"/>
          <w:i w:val="0"/>
          <w:iCs w:val="0"/>
          <w:strike/>
          <w:dstrike w:val="0"/>
          <w:color w:val="auto"/>
          <w:sz w:val="24"/>
          <w:highlight w:val="none"/>
        </w:rPr>
      </w:pPr>
    </w:p>
    <w:p w14:paraId="0D705129">
      <w:pPr>
        <w:spacing w:line="36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授权代表姓名：              性别：               年龄：</w:t>
      </w:r>
    </w:p>
    <w:p w14:paraId="6CDBA578">
      <w:pPr>
        <w:spacing w:line="360" w:lineRule="exact"/>
        <w:rPr>
          <w:rFonts w:hint="eastAsia" w:ascii="仿宋" w:hAnsi="仿宋" w:eastAsia="仿宋" w:cs="仿宋"/>
          <w:i w:val="0"/>
          <w:iCs w:val="0"/>
          <w:strike/>
          <w:dstrike w:val="0"/>
          <w:color w:val="auto"/>
          <w:sz w:val="24"/>
          <w:highlight w:val="none"/>
        </w:rPr>
      </w:pPr>
    </w:p>
    <w:p w14:paraId="58AAC002">
      <w:pPr>
        <w:spacing w:line="36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单位：                      部门：               职务：</w:t>
      </w:r>
    </w:p>
    <w:p w14:paraId="00E32D62">
      <w:pPr>
        <w:spacing w:line="360" w:lineRule="exact"/>
        <w:rPr>
          <w:rFonts w:hint="eastAsia" w:ascii="仿宋" w:hAnsi="仿宋" w:eastAsia="仿宋" w:cs="仿宋"/>
          <w:i w:val="0"/>
          <w:iCs w:val="0"/>
          <w:strike/>
          <w:dstrike w:val="0"/>
          <w:color w:val="auto"/>
          <w:sz w:val="24"/>
          <w:highlight w:val="none"/>
        </w:rPr>
      </w:pPr>
    </w:p>
    <w:p w14:paraId="74E38DA7">
      <w:pPr>
        <w:widowControl/>
        <w:snapToGrid w:val="0"/>
        <w:spacing w:line="44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kern w:val="0"/>
          <w:sz w:val="24"/>
          <w:highlight w:val="none"/>
        </w:rPr>
        <w:t>办公地址：                  联系电话：           传真：</w:t>
      </w:r>
    </w:p>
    <w:p w14:paraId="0DCDB2C2">
      <w:pPr>
        <w:spacing w:line="360" w:lineRule="exact"/>
        <w:rPr>
          <w:rFonts w:hint="eastAsia" w:ascii="仿宋" w:hAnsi="仿宋" w:eastAsia="仿宋" w:cs="仿宋"/>
          <w:i w:val="0"/>
          <w:iCs w:val="0"/>
          <w:strike/>
          <w:dstrike w:val="0"/>
          <w:color w:val="auto"/>
          <w:sz w:val="24"/>
          <w:highlight w:val="none"/>
        </w:rPr>
      </w:pPr>
    </w:p>
    <w:p w14:paraId="23478622">
      <w:pPr>
        <w:spacing w:line="360" w:lineRule="exact"/>
        <w:rPr>
          <w:rFonts w:hint="eastAsia" w:ascii="仿宋" w:hAnsi="仿宋" w:eastAsia="仿宋" w:cs="仿宋"/>
          <w:i w:val="0"/>
          <w:iCs w:val="0"/>
          <w:strike/>
          <w:dstrike w:val="0"/>
          <w:color w:val="auto"/>
          <w:sz w:val="24"/>
          <w:highlight w:val="none"/>
        </w:rPr>
      </w:pPr>
    </w:p>
    <w:p w14:paraId="565C6D65">
      <w:pPr>
        <w:spacing w:line="36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投标人</w:t>
      </w:r>
      <w:r>
        <w:rPr>
          <w:rFonts w:hint="eastAsia" w:ascii="仿宋" w:hAnsi="仿宋" w:eastAsia="仿宋" w:cs="仿宋"/>
          <w:i w:val="0"/>
          <w:iCs w:val="0"/>
          <w:strike/>
          <w:dstrike w:val="0"/>
          <w:color w:val="auto"/>
          <w:sz w:val="24"/>
          <w:highlight w:val="none"/>
        </w:rPr>
        <w:t>（</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p>
    <w:p w14:paraId="2442EFE7">
      <w:pPr>
        <w:spacing w:line="360" w:lineRule="exact"/>
        <w:rPr>
          <w:rFonts w:hint="eastAsia" w:ascii="仿宋" w:hAnsi="仿宋" w:eastAsia="仿宋" w:cs="仿宋"/>
          <w:i w:val="0"/>
          <w:iCs w:val="0"/>
          <w:strike/>
          <w:dstrike w:val="0"/>
          <w:color w:val="auto"/>
          <w:sz w:val="24"/>
          <w:highlight w:val="none"/>
        </w:rPr>
      </w:pPr>
    </w:p>
    <w:p w14:paraId="63F5D468">
      <w:pPr>
        <w:spacing w:line="360" w:lineRule="exact"/>
        <w:rPr>
          <w:rFonts w:hint="eastAsia" w:ascii="仿宋" w:hAnsi="仿宋" w:eastAsia="仿宋" w:cs="仿宋"/>
          <w:i w:val="0"/>
          <w:iCs w:val="0"/>
          <w:strike/>
          <w:dstrike w:val="0"/>
          <w:color w:val="auto"/>
          <w:sz w:val="24"/>
          <w:highlight w:val="none"/>
        </w:rPr>
      </w:pPr>
    </w:p>
    <w:p w14:paraId="5EB08C85">
      <w:pPr>
        <w:spacing w:line="360" w:lineRule="exac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法定代表人（签字或盖章）：</w:t>
      </w:r>
    </w:p>
    <w:p w14:paraId="6B231A4F">
      <w:pPr>
        <w:spacing w:line="360" w:lineRule="exact"/>
        <w:rPr>
          <w:rFonts w:hint="eastAsia" w:ascii="仿宋" w:hAnsi="仿宋" w:eastAsia="仿宋" w:cs="仿宋"/>
          <w:i w:val="0"/>
          <w:iCs w:val="0"/>
          <w:strike/>
          <w:dstrike w:val="0"/>
          <w:color w:val="auto"/>
          <w:sz w:val="24"/>
          <w:highlight w:val="none"/>
        </w:rPr>
      </w:pPr>
    </w:p>
    <w:p w14:paraId="2F0B982A">
      <w:pPr>
        <w:spacing w:line="360" w:lineRule="exact"/>
        <w:rPr>
          <w:rFonts w:hint="eastAsia" w:ascii="仿宋" w:hAnsi="仿宋" w:eastAsia="仿宋" w:cs="仿宋"/>
          <w:i w:val="0"/>
          <w:iCs w:val="0"/>
          <w:strike/>
          <w:dstrike w:val="0"/>
          <w:color w:val="auto"/>
          <w:sz w:val="24"/>
          <w:highlight w:val="none"/>
        </w:rPr>
      </w:pPr>
    </w:p>
    <w:p w14:paraId="4D00C9DC">
      <w:pPr>
        <w:ind w:firstLine="5280" w:firstLineChars="2200"/>
        <w:jc w:val="left"/>
        <w:rPr>
          <w:rFonts w:hint="eastAsia"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rPr>
        <w:t>日期：    年   月   日</w:t>
      </w:r>
    </w:p>
    <w:p w14:paraId="052825CC">
      <w:pPr>
        <w:ind w:firstLine="4920" w:firstLineChars="2050"/>
        <w:jc w:val="left"/>
        <w:rPr>
          <w:rFonts w:hint="eastAsia" w:ascii="仿宋" w:hAnsi="仿宋" w:eastAsia="仿宋" w:cs="仿宋"/>
          <w:i w:val="0"/>
          <w:iCs w:val="0"/>
          <w:color w:val="auto"/>
          <w:sz w:val="24"/>
          <w:highlight w:val="none"/>
        </w:rPr>
      </w:pPr>
    </w:p>
    <w:p w14:paraId="158A6207">
      <w:pPr>
        <w:spacing w:line="800" w:lineRule="exact"/>
        <w:rPr>
          <w:rFonts w:hint="eastAsia" w:ascii="仿宋" w:hAnsi="仿宋" w:eastAsia="仿宋" w:cs="仿宋"/>
          <w:b/>
          <w:i w:val="0"/>
          <w:iCs w:val="0"/>
          <w:color w:val="auto"/>
          <w:sz w:val="24"/>
          <w:highlight w:val="none"/>
        </w:rPr>
      </w:pPr>
    </w:p>
    <w:p w14:paraId="61D9B39A">
      <w:pPr>
        <w:pageBreakBefore/>
        <w:spacing w:line="800" w:lineRule="exact"/>
        <w:jc w:val="center"/>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 xml:space="preserve">法定代表人授权委托书（格式） </w:t>
      </w:r>
      <w:r>
        <w:rPr>
          <w:rFonts w:hint="eastAsia" w:ascii="仿宋" w:hAnsi="仿宋" w:eastAsia="仿宋" w:cs="仿宋"/>
          <w:b/>
          <w:i w:val="0"/>
          <w:iCs w:val="0"/>
          <w:strike w:val="0"/>
          <w:color w:val="auto"/>
          <w:kern w:val="0"/>
          <w:sz w:val="32"/>
          <w:szCs w:val="32"/>
          <w:highlight w:val="none"/>
          <w:lang w:val="zh-CN"/>
        </w:rPr>
        <w:t>（适用于联合体投标）</w:t>
      </w:r>
    </w:p>
    <w:p w14:paraId="4D7DC23E">
      <w:pPr>
        <w:jc w:val="center"/>
        <w:rPr>
          <w:rFonts w:hint="eastAsia" w:ascii="仿宋" w:hAnsi="仿宋" w:eastAsia="仿宋" w:cs="仿宋"/>
          <w:b/>
          <w:i w:val="0"/>
          <w:iCs w:val="0"/>
          <w:strike w:val="0"/>
          <w:color w:val="auto"/>
          <w:sz w:val="24"/>
          <w:highlight w:val="none"/>
        </w:rPr>
      </w:pPr>
    </w:p>
    <w:p w14:paraId="52EC402B">
      <w:pPr>
        <w:snapToGrid w:val="0"/>
        <w:spacing w:line="560" w:lineRule="exact"/>
        <w:ind w:firstLine="480" w:firstLineChars="200"/>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w:t>
      </w:r>
    </w:p>
    <w:p w14:paraId="0A311882">
      <w:pPr>
        <w:snapToGrid w:val="0"/>
        <w:spacing w:line="560" w:lineRule="exact"/>
        <w:ind w:firstLine="480" w:firstLineChars="200"/>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现授权委托</w:t>
      </w:r>
      <w:r>
        <w:rPr>
          <w:rFonts w:hint="eastAsia"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的（填写姓名）为我方授权代表，</w:t>
      </w:r>
      <w:r>
        <w:rPr>
          <w:rFonts w:hint="eastAsia" w:ascii="仿宋" w:hAnsi="仿宋" w:eastAsia="仿宋" w:cs="仿宋"/>
          <w:i w:val="0"/>
          <w:iCs w:val="0"/>
          <w:strike w:val="0"/>
          <w:color w:val="auto"/>
          <w:sz w:val="24"/>
          <w:highlight w:val="none"/>
          <w:u w:val="single"/>
        </w:rPr>
        <w:t>（填写身份证号码：                       ）</w:t>
      </w:r>
      <w:r>
        <w:rPr>
          <w:rFonts w:hint="eastAsia" w:ascii="仿宋" w:hAnsi="仿宋" w:eastAsia="仿宋" w:cs="仿宋"/>
          <w:i w:val="0"/>
          <w:iCs w:val="0"/>
          <w:strike w:val="0"/>
          <w:color w:val="auto"/>
          <w:sz w:val="24"/>
          <w:highlight w:val="none"/>
        </w:rPr>
        <w:t>。以我方的名义参加组织的投标活动。授权代表在开标、评标、合同谈判过程中所签署的一切文件和处理与之有关的一切事务，我均予以承认。</w:t>
      </w:r>
    </w:p>
    <w:p w14:paraId="141D7F97">
      <w:pPr>
        <w:snapToGrid w:val="0"/>
        <w:spacing w:line="560" w:lineRule="exact"/>
        <w:ind w:firstLine="480" w:firstLineChars="200"/>
        <w:jc w:val="left"/>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54EC3999">
      <w:pPr>
        <w:spacing w:line="560" w:lineRule="exact"/>
        <w:ind w:firstLine="480" w:firstLineChars="200"/>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2B660EC1">
      <w:pPr>
        <w:snapToGrid w:val="0"/>
        <w:spacing w:line="600" w:lineRule="exact"/>
        <w:jc w:val="left"/>
        <w:rPr>
          <w:rFonts w:hint="eastAsia" w:ascii="仿宋" w:hAnsi="仿宋" w:eastAsia="仿宋" w:cs="仿宋"/>
          <w:i w:val="0"/>
          <w:iCs w:val="0"/>
          <w:strike w:val="0"/>
          <w:color w:val="auto"/>
          <w:sz w:val="24"/>
          <w:highlight w:val="none"/>
        </w:rPr>
      </w:pPr>
    </w:p>
    <w:p w14:paraId="33DB93FC">
      <w:pPr>
        <w:spacing w:line="360" w:lineRule="exact"/>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              性别：               年龄：</w:t>
      </w:r>
    </w:p>
    <w:p w14:paraId="2FB09C22">
      <w:pPr>
        <w:spacing w:line="360" w:lineRule="exact"/>
        <w:rPr>
          <w:rFonts w:hint="eastAsia" w:ascii="仿宋" w:hAnsi="仿宋" w:eastAsia="仿宋" w:cs="仿宋"/>
          <w:i w:val="0"/>
          <w:iCs w:val="0"/>
          <w:strike w:val="0"/>
          <w:color w:val="auto"/>
          <w:sz w:val="24"/>
          <w:highlight w:val="none"/>
        </w:rPr>
      </w:pPr>
    </w:p>
    <w:p w14:paraId="560CD39E">
      <w:pPr>
        <w:spacing w:line="360" w:lineRule="exact"/>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                      部门：               职务：</w:t>
      </w:r>
    </w:p>
    <w:p w14:paraId="47CC70A4">
      <w:pPr>
        <w:spacing w:line="360" w:lineRule="exact"/>
        <w:rPr>
          <w:rFonts w:hint="eastAsia" w:ascii="仿宋" w:hAnsi="仿宋" w:eastAsia="仿宋" w:cs="仿宋"/>
          <w:i w:val="0"/>
          <w:iCs w:val="0"/>
          <w:strike w:val="0"/>
          <w:color w:val="auto"/>
          <w:sz w:val="24"/>
          <w:highlight w:val="none"/>
        </w:rPr>
      </w:pPr>
    </w:p>
    <w:p w14:paraId="1F72EA2F">
      <w:pPr>
        <w:widowControl/>
        <w:snapToGrid w:val="0"/>
        <w:spacing w:line="440" w:lineRule="exact"/>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                  联系电话：           传真：</w:t>
      </w:r>
    </w:p>
    <w:p w14:paraId="0D4097E5">
      <w:pPr>
        <w:spacing w:line="360" w:lineRule="exact"/>
        <w:rPr>
          <w:rFonts w:hint="eastAsia" w:ascii="仿宋" w:hAnsi="仿宋" w:eastAsia="仿宋" w:cs="仿宋"/>
          <w:i w:val="0"/>
          <w:iCs w:val="0"/>
          <w:strike w:val="0"/>
          <w:color w:val="auto"/>
          <w:sz w:val="24"/>
          <w:highlight w:val="none"/>
        </w:rPr>
      </w:pPr>
    </w:p>
    <w:p w14:paraId="1D5EF39D">
      <w:pPr>
        <w:spacing w:line="360" w:lineRule="exact"/>
        <w:rPr>
          <w:rFonts w:hint="eastAsia" w:ascii="仿宋" w:hAnsi="仿宋" w:eastAsia="仿宋" w:cs="仿宋"/>
          <w:i w:val="0"/>
          <w:iCs w:val="0"/>
          <w:strike w:val="0"/>
          <w:color w:val="auto"/>
          <w:sz w:val="24"/>
          <w:highlight w:val="none"/>
        </w:rPr>
      </w:pPr>
    </w:p>
    <w:p w14:paraId="28A09FF2">
      <w:pPr>
        <w:jc w:val="center"/>
        <w:rPr>
          <w:rFonts w:hint="eastAsia" w:ascii="仿宋" w:hAnsi="仿宋" w:eastAsia="仿宋" w:cs="仿宋"/>
          <w:b/>
          <w:i w:val="0"/>
          <w:iCs w:val="0"/>
          <w:strike w:val="0"/>
          <w:color w:val="auto"/>
          <w:kern w:val="0"/>
          <w:sz w:val="32"/>
          <w:szCs w:val="32"/>
          <w:highlight w:val="none"/>
        </w:rPr>
      </w:pPr>
    </w:p>
    <w:p w14:paraId="4F82FBA4">
      <w:pPr>
        <w:rPr>
          <w:rFonts w:hint="eastAsia" w:ascii="仿宋" w:hAnsi="仿宋" w:eastAsia="仿宋" w:cs="仿宋"/>
          <w:i w:val="0"/>
          <w:iCs w:val="0"/>
          <w:strike w:val="0"/>
          <w:color w:val="auto"/>
          <w:highlight w:val="none"/>
        </w:rPr>
      </w:pPr>
    </w:p>
    <w:p w14:paraId="7797641D">
      <w:pPr>
        <w:snapToGrid w:val="0"/>
        <w:spacing w:line="360" w:lineRule="auto"/>
        <w:ind w:firstLine="5040" w:firstLineChars="2100"/>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联合体成员名称(电子印章</w:t>
      </w:r>
      <w:r>
        <w:rPr>
          <w:rFonts w:hint="eastAsia" w:ascii="仿宋" w:hAnsi="仿宋" w:eastAsia="仿宋" w:cs="仿宋"/>
          <w:i w:val="0"/>
          <w:iCs w:val="0"/>
          <w:strike w:val="0"/>
          <w:color w:val="auto"/>
          <w:kern w:val="0"/>
          <w:sz w:val="24"/>
          <w:highlight w:val="none"/>
          <w:lang w:val="en-US" w:eastAsia="zh-CN"/>
        </w:rPr>
        <w:t>或</w:t>
      </w:r>
      <w:r>
        <w:rPr>
          <w:rFonts w:hint="eastAsia" w:ascii="仿宋" w:hAnsi="仿宋" w:eastAsia="仿宋" w:cs="仿宋"/>
          <w:i w:val="0"/>
          <w:iCs w:val="0"/>
          <w:strike w:val="0"/>
          <w:color w:val="auto"/>
          <w:kern w:val="0"/>
          <w:sz w:val="24"/>
          <w:highlight w:val="none"/>
          <w:lang w:val="zh-CN"/>
        </w:rPr>
        <w:t>公章)：</w:t>
      </w:r>
    </w:p>
    <w:p w14:paraId="755BB986">
      <w:pPr>
        <w:snapToGrid w:val="0"/>
        <w:spacing w:line="360" w:lineRule="auto"/>
        <w:ind w:firstLine="5040" w:firstLineChars="2100"/>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联合体成员名称(电子印章</w:t>
      </w:r>
      <w:r>
        <w:rPr>
          <w:rFonts w:hint="eastAsia" w:ascii="仿宋" w:hAnsi="仿宋" w:eastAsia="仿宋" w:cs="仿宋"/>
          <w:i w:val="0"/>
          <w:iCs w:val="0"/>
          <w:strike w:val="0"/>
          <w:color w:val="auto"/>
          <w:kern w:val="0"/>
          <w:sz w:val="24"/>
          <w:highlight w:val="none"/>
          <w:lang w:val="en-US" w:eastAsia="zh-CN"/>
        </w:rPr>
        <w:t>或</w:t>
      </w:r>
      <w:r>
        <w:rPr>
          <w:rFonts w:hint="eastAsia" w:ascii="仿宋" w:hAnsi="仿宋" w:eastAsia="仿宋" w:cs="仿宋"/>
          <w:i w:val="0"/>
          <w:iCs w:val="0"/>
          <w:strike w:val="0"/>
          <w:color w:val="auto"/>
          <w:kern w:val="0"/>
          <w:sz w:val="24"/>
          <w:highlight w:val="none"/>
          <w:lang w:val="zh-CN"/>
        </w:rPr>
        <w:t>公章)：</w:t>
      </w:r>
    </w:p>
    <w:p w14:paraId="6197794E">
      <w:pPr>
        <w:snapToGrid w:val="0"/>
        <w:spacing w:line="360" w:lineRule="auto"/>
        <w:ind w:firstLine="5760" w:firstLineChars="2400"/>
        <w:rPr>
          <w:rFonts w:hint="eastAsia" w:ascii="仿宋" w:hAnsi="仿宋" w:eastAsia="仿宋" w:cs="仿宋"/>
          <w:i w:val="0"/>
          <w:iCs w:val="0"/>
          <w:strike w:val="0"/>
          <w:color w:val="auto"/>
          <w:highlight w:val="none"/>
        </w:rPr>
      </w:pPr>
      <w:r>
        <w:rPr>
          <w:rFonts w:hint="eastAsia" w:ascii="仿宋" w:hAnsi="仿宋" w:eastAsia="仿宋" w:cs="仿宋"/>
          <w:i w:val="0"/>
          <w:iCs w:val="0"/>
          <w:strike w:val="0"/>
          <w:color w:val="auto"/>
          <w:kern w:val="0"/>
          <w:sz w:val="24"/>
          <w:highlight w:val="none"/>
          <w:lang w:val="zh-CN"/>
        </w:rPr>
        <w:t>……</w:t>
      </w:r>
    </w:p>
    <w:p w14:paraId="6DBDD8C5">
      <w:pPr>
        <w:snapToGrid w:val="0"/>
        <w:spacing w:line="360" w:lineRule="auto"/>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 xml:space="preserve">                                               日期：   年   月   日</w:t>
      </w:r>
    </w:p>
    <w:p w14:paraId="68023F06">
      <w:pPr>
        <w:autoSpaceDE w:val="0"/>
        <w:autoSpaceDN w:val="0"/>
        <w:spacing w:line="360" w:lineRule="auto"/>
        <w:jc w:val="center"/>
        <w:rPr>
          <w:rFonts w:hint="eastAsia" w:ascii="仿宋" w:hAnsi="仿宋" w:eastAsia="仿宋" w:cs="仿宋"/>
          <w:b/>
          <w:i w:val="0"/>
          <w:iCs w:val="0"/>
          <w:color w:val="auto"/>
          <w:kern w:val="0"/>
          <w:sz w:val="32"/>
          <w:szCs w:val="32"/>
          <w:highlight w:val="none"/>
          <w:lang w:val="zh-CN"/>
        </w:rPr>
      </w:pPr>
    </w:p>
    <w:p w14:paraId="313C317D">
      <w:pPr>
        <w:spacing w:line="800" w:lineRule="exact"/>
        <w:rPr>
          <w:rFonts w:hint="eastAsia" w:ascii="仿宋" w:hAnsi="仿宋" w:eastAsia="仿宋" w:cs="仿宋"/>
          <w:b/>
          <w:i w:val="0"/>
          <w:iCs w:val="0"/>
          <w:color w:val="auto"/>
          <w:sz w:val="24"/>
          <w:highlight w:val="none"/>
        </w:rPr>
      </w:pPr>
    </w:p>
    <w:p w14:paraId="20B29B13">
      <w:pPr>
        <w:pStyle w:val="25"/>
        <w:rPr>
          <w:rFonts w:hint="eastAsia" w:ascii="仿宋" w:hAnsi="仿宋" w:eastAsia="仿宋" w:cs="仿宋"/>
          <w:i w:val="0"/>
          <w:iCs w:val="0"/>
          <w:color w:val="auto"/>
          <w:highlight w:val="none"/>
        </w:rPr>
      </w:pPr>
    </w:p>
    <w:p w14:paraId="174C3285">
      <w:pPr>
        <w:spacing w:line="800" w:lineRule="exact"/>
        <w:jc w:val="center"/>
        <w:rPr>
          <w:rFonts w:hint="eastAsia"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三</w:t>
      </w:r>
      <w:r>
        <w:rPr>
          <w:rFonts w:hint="eastAsia" w:ascii="仿宋" w:hAnsi="仿宋" w:eastAsia="仿宋" w:cs="仿宋"/>
          <w:b/>
          <w:i w:val="0"/>
          <w:iCs w:val="0"/>
          <w:color w:val="auto"/>
          <w:sz w:val="30"/>
          <w:szCs w:val="30"/>
          <w:highlight w:val="none"/>
        </w:rPr>
        <w:t>、法定代表人及其授权代表身份证</w:t>
      </w:r>
      <w:r>
        <w:rPr>
          <w:rFonts w:hint="eastAsia" w:ascii="仿宋" w:hAnsi="仿宋" w:eastAsia="仿宋" w:cs="仿宋"/>
          <w:b/>
          <w:i w:val="0"/>
          <w:iCs w:val="0"/>
          <w:color w:val="auto"/>
          <w:sz w:val="30"/>
          <w:szCs w:val="30"/>
          <w:highlight w:val="none"/>
          <w:lang w:eastAsia="zh-CN"/>
        </w:rPr>
        <w:t>复制件</w:t>
      </w:r>
      <w:r>
        <w:rPr>
          <w:rFonts w:hint="eastAsia" w:ascii="仿宋" w:hAnsi="仿宋" w:eastAsia="仿宋" w:cs="仿宋"/>
          <w:b/>
          <w:i w:val="0"/>
          <w:iCs w:val="0"/>
          <w:color w:val="auto"/>
          <w:sz w:val="30"/>
          <w:szCs w:val="30"/>
          <w:highlight w:val="none"/>
        </w:rPr>
        <w:t>（正反面）</w:t>
      </w:r>
    </w:p>
    <w:p w14:paraId="5B550D2F">
      <w:pPr>
        <w:rPr>
          <w:rFonts w:hint="eastAsia" w:ascii="仿宋" w:hAnsi="仿宋" w:eastAsia="仿宋" w:cs="仿宋"/>
          <w:b/>
          <w:i w:val="0"/>
          <w:iCs w:val="0"/>
          <w:color w:val="auto"/>
          <w:sz w:val="24"/>
          <w:highlight w:val="none"/>
        </w:rPr>
      </w:pPr>
    </w:p>
    <w:p w14:paraId="1A56C73D">
      <w:pPr>
        <w:rPr>
          <w:rFonts w:hint="eastAsia" w:ascii="仿宋" w:hAnsi="仿宋" w:eastAsia="仿宋" w:cs="仿宋"/>
          <w:b/>
          <w:i w:val="0"/>
          <w:iCs w:val="0"/>
          <w:color w:val="auto"/>
          <w:sz w:val="24"/>
          <w:highlight w:val="none"/>
        </w:rPr>
      </w:pPr>
    </w:p>
    <w:p w14:paraId="1FCE1632">
      <w:pPr>
        <w:pStyle w:val="25"/>
        <w:rPr>
          <w:rFonts w:hint="eastAsia" w:ascii="仿宋" w:hAnsi="仿宋" w:eastAsia="仿宋" w:cs="仿宋"/>
          <w:i w:val="0"/>
          <w:iCs w:val="0"/>
          <w:color w:val="auto"/>
          <w:highlight w:val="none"/>
        </w:rPr>
      </w:pPr>
    </w:p>
    <w:p w14:paraId="560682F5">
      <w:pPr>
        <w:spacing w:line="800" w:lineRule="exact"/>
        <w:jc w:val="center"/>
        <w:rPr>
          <w:rFonts w:hint="eastAsia"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四</w:t>
      </w:r>
      <w:r>
        <w:rPr>
          <w:rFonts w:hint="eastAsia" w:ascii="仿宋" w:hAnsi="仿宋" w:eastAsia="仿宋" w:cs="仿宋"/>
          <w:b/>
          <w:i w:val="0"/>
          <w:iCs w:val="0"/>
          <w:color w:val="auto"/>
          <w:sz w:val="30"/>
          <w:szCs w:val="30"/>
          <w:highlight w:val="none"/>
        </w:rPr>
        <w:t>、法定代表人身份证明书(格式)</w:t>
      </w:r>
    </w:p>
    <w:p w14:paraId="734C2EE2">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 xml:space="preserve">                   </w:t>
      </w:r>
    </w:p>
    <w:p w14:paraId="51E6258F">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    址：</w:t>
      </w:r>
      <w:r>
        <w:rPr>
          <w:rFonts w:hint="eastAsia" w:ascii="仿宋" w:hAnsi="仿宋" w:eastAsia="仿宋" w:cs="仿宋"/>
          <w:i w:val="0"/>
          <w:iCs w:val="0"/>
          <w:color w:val="auto"/>
          <w:sz w:val="24"/>
          <w:highlight w:val="none"/>
          <w:u w:val="single"/>
        </w:rPr>
        <w:t xml:space="preserve">                   </w:t>
      </w:r>
    </w:p>
    <w:p w14:paraId="31643B54">
      <w:pPr>
        <w:spacing w:line="440" w:lineRule="exact"/>
        <w:ind w:right="281" w:rightChars="134"/>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    名：</w:t>
      </w:r>
      <w:r>
        <w:rPr>
          <w:rFonts w:hint="eastAsia" w:ascii="仿宋" w:hAnsi="仿宋" w:eastAsia="仿宋" w:cs="仿宋"/>
          <w:i w:val="0"/>
          <w:iCs w:val="0"/>
          <w:color w:val="auto"/>
          <w:sz w:val="24"/>
          <w:highlight w:val="none"/>
          <w:u w:val="single"/>
        </w:rPr>
        <w:t xml:space="preserve">                   </w:t>
      </w:r>
    </w:p>
    <w:p w14:paraId="56D12A98">
      <w:pPr>
        <w:spacing w:line="440" w:lineRule="exact"/>
        <w:ind w:right="281" w:rightChars="134"/>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r>
        <w:rPr>
          <w:rFonts w:hint="eastAsia" w:ascii="仿宋" w:hAnsi="仿宋" w:eastAsia="仿宋" w:cs="仿宋"/>
          <w:i w:val="0"/>
          <w:iCs w:val="0"/>
          <w:color w:val="auto"/>
          <w:sz w:val="24"/>
          <w:highlight w:val="none"/>
          <w:u w:val="single"/>
        </w:rPr>
        <w:t xml:space="preserve">                   </w:t>
      </w:r>
    </w:p>
    <w:p w14:paraId="34839B04">
      <w:pPr>
        <w:spacing w:line="440" w:lineRule="exact"/>
        <w:ind w:right="281" w:rightChars="134"/>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   务：</w:t>
      </w:r>
      <w:r>
        <w:rPr>
          <w:rFonts w:hint="eastAsia" w:ascii="仿宋" w:hAnsi="仿宋" w:eastAsia="仿宋" w:cs="仿宋"/>
          <w:i w:val="0"/>
          <w:iCs w:val="0"/>
          <w:color w:val="auto"/>
          <w:sz w:val="24"/>
          <w:highlight w:val="none"/>
          <w:u w:val="single"/>
        </w:rPr>
        <w:t xml:space="preserve">                   </w:t>
      </w:r>
    </w:p>
    <w:p w14:paraId="0CF81605">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投标人</w:t>
      </w:r>
      <w:r>
        <w:rPr>
          <w:rFonts w:hint="eastAsia"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1DD0D372">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29CC2EA0">
      <w:pPr>
        <w:spacing w:line="440" w:lineRule="exact"/>
        <w:rPr>
          <w:rFonts w:hint="eastAsia" w:ascii="仿宋" w:hAnsi="仿宋" w:eastAsia="仿宋" w:cs="仿宋"/>
          <w:i w:val="0"/>
          <w:iCs w:val="0"/>
          <w:color w:val="auto"/>
          <w:sz w:val="24"/>
          <w:highlight w:val="none"/>
        </w:rPr>
      </w:pPr>
    </w:p>
    <w:p w14:paraId="5C5EB6F1">
      <w:pPr>
        <w:spacing w:line="440" w:lineRule="exac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23175D98">
      <w:pPr>
        <w:spacing w:line="440" w:lineRule="exact"/>
        <w:ind w:right="480"/>
        <w:rPr>
          <w:rFonts w:hint="eastAsia" w:ascii="仿宋" w:hAnsi="仿宋" w:eastAsia="仿宋" w:cs="仿宋"/>
          <w:i w:val="0"/>
          <w:iCs w:val="0"/>
          <w:color w:val="auto"/>
          <w:sz w:val="24"/>
          <w:highlight w:val="none"/>
        </w:rPr>
      </w:pPr>
    </w:p>
    <w:p w14:paraId="2591713D">
      <w:pPr>
        <w:jc w:val="center"/>
        <w:rPr>
          <w:rFonts w:hint="eastAsia" w:ascii="仿宋" w:hAnsi="仿宋" w:eastAsia="仿宋" w:cs="仿宋"/>
          <w:b/>
          <w:i w:val="0"/>
          <w:iCs w:val="0"/>
          <w:color w:val="auto"/>
          <w:kern w:val="0"/>
          <w:sz w:val="32"/>
          <w:szCs w:val="32"/>
          <w:highlight w:val="none"/>
        </w:rPr>
      </w:pPr>
      <w:r>
        <w:rPr>
          <w:rFonts w:hint="eastAsia" w:ascii="仿宋" w:hAnsi="仿宋" w:eastAsia="仿宋" w:cs="仿宋"/>
          <w:i w:val="0"/>
          <w:iCs w:val="0"/>
          <w:strike w:val="0"/>
          <w:color w:val="auto"/>
          <w:kern w:val="0"/>
          <w:sz w:val="24"/>
          <w:highlight w:val="none"/>
          <w:lang w:val="zh-CN"/>
        </w:rPr>
        <w:t xml:space="preserve">      日期：   年   月   日</w:t>
      </w:r>
    </w:p>
    <w:p w14:paraId="60381F6D">
      <w:pPr>
        <w:pStyle w:val="25"/>
        <w:rPr>
          <w:rFonts w:hint="eastAsia" w:ascii="仿宋" w:hAnsi="仿宋" w:eastAsia="仿宋" w:cs="仿宋"/>
          <w:i w:val="0"/>
          <w:iCs w:val="0"/>
          <w:color w:val="auto"/>
          <w:highlight w:val="none"/>
        </w:rPr>
      </w:pPr>
    </w:p>
    <w:p w14:paraId="2DE5FEA1">
      <w:pPr>
        <w:pStyle w:val="81"/>
        <w:rPr>
          <w:rFonts w:hint="eastAsia" w:ascii="仿宋" w:hAnsi="仿宋" w:eastAsia="仿宋" w:cs="仿宋"/>
          <w:i w:val="0"/>
          <w:iCs w:val="0"/>
          <w:color w:val="auto"/>
          <w:highlight w:val="none"/>
        </w:rPr>
      </w:pPr>
    </w:p>
    <w:p w14:paraId="16A8C733">
      <w:pPr>
        <w:jc w:val="center"/>
        <w:rPr>
          <w:rFonts w:hint="eastAsia"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、商务技术偏离表</w:t>
      </w:r>
    </w:p>
    <w:tbl>
      <w:tblPr>
        <w:tblStyle w:val="6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CF4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2184DB82">
            <w:pPr>
              <w:autoSpaceDE w:val="0"/>
              <w:autoSpaceDN w:val="0"/>
              <w:spacing w:line="240" w:lineRule="atLeast"/>
              <w:jc w:val="center"/>
              <w:textAlignment w:val="center"/>
              <w:rPr>
                <w:rFonts w:hint="eastAsia"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序号</w:t>
            </w:r>
          </w:p>
        </w:tc>
        <w:tc>
          <w:tcPr>
            <w:tcW w:w="3683" w:type="dxa"/>
            <w:vAlign w:val="center"/>
          </w:tcPr>
          <w:p w14:paraId="58C40EC5">
            <w:pPr>
              <w:autoSpaceDE w:val="0"/>
              <w:autoSpaceDN w:val="0"/>
              <w:spacing w:line="240" w:lineRule="atLeast"/>
              <w:jc w:val="center"/>
              <w:textAlignment w:val="center"/>
              <w:rPr>
                <w:rFonts w:hint="eastAsia"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招标文件章节及具体内容</w:t>
            </w:r>
          </w:p>
        </w:tc>
        <w:tc>
          <w:tcPr>
            <w:tcW w:w="3546" w:type="dxa"/>
            <w:vAlign w:val="center"/>
          </w:tcPr>
          <w:p w14:paraId="5FE1CF29">
            <w:pPr>
              <w:autoSpaceDE w:val="0"/>
              <w:autoSpaceDN w:val="0"/>
              <w:spacing w:line="240" w:lineRule="atLeast"/>
              <w:jc w:val="center"/>
              <w:textAlignment w:val="center"/>
              <w:rPr>
                <w:rFonts w:hint="eastAsia"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投标文件章节及具体内容</w:t>
            </w:r>
          </w:p>
        </w:tc>
        <w:tc>
          <w:tcPr>
            <w:tcW w:w="1276" w:type="dxa"/>
            <w:vAlign w:val="center"/>
          </w:tcPr>
          <w:p w14:paraId="4F6FEC98">
            <w:pPr>
              <w:autoSpaceDE w:val="0"/>
              <w:autoSpaceDN w:val="0"/>
              <w:spacing w:line="240" w:lineRule="atLeast"/>
              <w:jc w:val="center"/>
              <w:textAlignment w:val="center"/>
              <w:rPr>
                <w:rFonts w:hint="eastAsia"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偏离说明</w:t>
            </w:r>
          </w:p>
        </w:tc>
      </w:tr>
      <w:tr w14:paraId="57D5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69BF701">
            <w:pPr>
              <w:autoSpaceDE w:val="0"/>
              <w:autoSpaceDN w:val="0"/>
              <w:spacing w:line="240" w:lineRule="atLeast"/>
              <w:jc w:val="center"/>
              <w:textAlignment w:val="center"/>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1</w:t>
            </w:r>
          </w:p>
        </w:tc>
        <w:tc>
          <w:tcPr>
            <w:tcW w:w="3683" w:type="dxa"/>
            <w:vAlign w:val="center"/>
          </w:tcPr>
          <w:p w14:paraId="63C88798">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c>
          <w:tcPr>
            <w:tcW w:w="3546" w:type="dxa"/>
            <w:vAlign w:val="center"/>
          </w:tcPr>
          <w:p w14:paraId="750142B9">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c>
          <w:tcPr>
            <w:tcW w:w="1276" w:type="dxa"/>
            <w:vAlign w:val="center"/>
          </w:tcPr>
          <w:p w14:paraId="15D68B7B">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r>
      <w:tr w14:paraId="3526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0DB66F3">
            <w:pPr>
              <w:spacing w:line="240" w:lineRule="atLeast"/>
              <w:jc w:val="center"/>
              <w:textAlignment w:val="center"/>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2</w:t>
            </w:r>
          </w:p>
        </w:tc>
        <w:tc>
          <w:tcPr>
            <w:tcW w:w="3683" w:type="dxa"/>
            <w:vAlign w:val="center"/>
          </w:tcPr>
          <w:p w14:paraId="560AF64A">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c>
          <w:tcPr>
            <w:tcW w:w="3546" w:type="dxa"/>
            <w:vAlign w:val="center"/>
          </w:tcPr>
          <w:p w14:paraId="05A93EAD">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c>
          <w:tcPr>
            <w:tcW w:w="1276" w:type="dxa"/>
            <w:vAlign w:val="center"/>
          </w:tcPr>
          <w:p w14:paraId="7A381FE3">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r>
      <w:tr w14:paraId="6124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135EF57">
            <w:pPr>
              <w:spacing w:line="240" w:lineRule="atLeast"/>
              <w:jc w:val="center"/>
              <w:textAlignment w:val="center"/>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w:t>
            </w:r>
          </w:p>
        </w:tc>
        <w:tc>
          <w:tcPr>
            <w:tcW w:w="3683" w:type="dxa"/>
            <w:vAlign w:val="center"/>
          </w:tcPr>
          <w:p w14:paraId="00E4105C">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c>
          <w:tcPr>
            <w:tcW w:w="3546" w:type="dxa"/>
            <w:vAlign w:val="center"/>
          </w:tcPr>
          <w:p w14:paraId="3932DB7E">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c>
          <w:tcPr>
            <w:tcW w:w="1276" w:type="dxa"/>
            <w:vAlign w:val="center"/>
          </w:tcPr>
          <w:p w14:paraId="13F91ECC">
            <w:pPr>
              <w:keepNext/>
              <w:keepLines/>
              <w:tabs>
                <w:tab w:val="left" w:pos="432"/>
              </w:tabs>
              <w:spacing w:line="240" w:lineRule="atLeast"/>
              <w:jc w:val="center"/>
              <w:textAlignment w:val="center"/>
              <w:outlineLvl w:val="0"/>
              <w:rPr>
                <w:rFonts w:hint="eastAsia" w:ascii="仿宋" w:hAnsi="仿宋" w:eastAsia="仿宋" w:cs="仿宋"/>
                <w:b/>
                <w:i w:val="0"/>
                <w:iCs w:val="0"/>
                <w:color w:val="auto"/>
                <w:kern w:val="0"/>
                <w:sz w:val="32"/>
                <w:szCs w:val="32"/>
                <w:highlight w:val="none"/>
              </w:rPr>
            </w:pPr>
          </w:p>
        </w:tc>
      </w:tr>
    </w:tbl>
    <w:p w14:paraId="2F3E3C54">
      <w:pPr>
        <w:jc w:val="left"/>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lang w:eastAsia="zh-CN"/>
        </w:rPr>
        <w:t>投标人</w:t>
      </w:r>
      <w:r>
        <w:rPr>
          <w:rFonts w:hint="eastAsia" w:ascii="仿宋" w:hAnsi="仿宋" w:eastAsia="仿宋" w:cs="仿宋"/>
          <w:i w:val="0"/>
          <w:iCs w:val="0"/>
          <w:color w:val="auto"/>
          <w:kern w:val="0"/>
          <w:sz w:val="24"/>
          <w:highlight w:val="none"/>
        </w:rPr>
        <w:t>保证：除商务技术偏离表列出的偏离外，</w:t>
      </w:r>
      <w:r>
        <w:rPr>
          <w:rFonts w:hint="eastAsia" w:ascii="仿宋" w:hAnsi="仿宋" w:eastAsia="仿宋" w:cs="仿宋"/>
          <w:i w:val="0"/>
          <w:iCs w:val="0"/>
          <w:color w:val="auto"/>
          <w:kern w:val="0"/>
          <w:sz w:val="24"/>
          <w:highlight w:val="none"/>
          <w:lang w:eastAsia="zh-CN"/>
        </w:rPr>
        <w:t>投标人</w:t>
      </w:r>
      <w:r>
        <w:rPr>
          <w:rFonts w:hint="eastAsia" w:ascii="仿宋" w:hAnsi="仿宋" w:eastAsia="仿宋" w:cs="仿宋"/>
          <w:i w:val="0"/>
          <w:iCs w:val="0"/>
          <w:color w:val="auto"/>
          <w:kern w:val="0"/>
          <w:sz w:val="24"/>
          <w:highlight w:val="none"/>
        </w:rPr>
        <w:t>响应招标文件的全部要求</w:t>
      </w:r>
    </w:p>
    <w:p w14:paraId="7BA25BC1">
      <w:pPr>
        <w:jc w:val="center"/>
        <w:rPr>
          <w:rFonts w:hint="eastAsia" w:ascii="仿宋" w:hAnsi="仿宋" w:eastAsia="仿宋" w:cs="仿宋"/>
          <w:b/>
          <w:i w:val="0"/>
          <w:iCs w:val="0"/>
          <w:color w:val="auto"/>
          <w:kern w:val="0"/>
          <w:sz w:val="32"/>
          <w:szCs w:val="32"/>
          <w:highlight w:val="none"/>
        </w:rPr>
      </w:pPr>
    </w:p>
    <w:p w14:paraId="2435EBA2">
      <w:pPr>
        <w:spacing w:line="360" w:lineRule="auto"/>
        <w:ind w:right="42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528900BD">
      <w:pPr>
        <w:ind w:firstLine="1911" w:firstLineChars="595"/>
        <w:rPr>
          <w:rFonts w:hint="eastAsia" w:ascii="仿宋" w:hAnsi="仿宋" w:eastAsia="仿宋" w:cs="仿宋"/>
          <w:b/>
          <w:bCs/>
          <w:i w:val="0"/>
          <w:iCs w:val="0"/>
          <w:color w:val="auto"/>
          <w:sz w:val="32"/>
          <w:szCs w:val="32"/>
          <w:highlight w:val="none"/>
        </w:rPr>
      </w:pPr>
    </w:p>
    <w:p w14:paraId="5B301D9D">
      <w:pPr>
        <w:pStyle w:val="25"/>
        <w:ind w:firstLine="1428"/>
        <w:rPr>
          <w:rFonts w:hint="eastAsia" w:ascii="仿宋" w:hAnsi="仿宋" w:eastAsia="仿宋" w:cs="仿宋"/>
          <w:i w:val="0"/>
          <w:iCs w:val="0"/>
          <w:color w:val="auto"/>
          <w:highlight w:val="none"/>
        </w:rPr>
      </w:pPr>
    </w:p>
    <w:p w14:paraId="35BADA5F">
      <w:pPr>
        <w:pStyle w:val="81"/>
        <w:ind w:firstLine="1249"/>
        <w:rPr>
          <w:rFonts w:hint="eastAsia" w:ascii="仿宋" w:hAnsi="仿宋" w:eastAsia="仿宋" w:cs="仿宋"/>
          <w:i w:val="0"/>
          <w:iCs w:val="0"/>
          <w:color w:val="auto"/>
          <w:highlight w:val="none"/>
        </w:rPr>
      </w:pPr>
    </w:p>
    <w:p w14:paraId="39B7A1A7">
      <w:pPr>
        <w:rPr>
          <w:rFonts w:hint="eastAsia" w:ascii="仿宋" w:hAnsi="仿宋" w:eastAsia="仿宋" w:cs="仿宋"/>
          <w:b/>
          <w:bCs/>
          <w:i w:val="0"/>
          <w:iCs w:val="0"/>
          <w:color w:val="auto"/>
          <w:sz w:val="32"/>
          <w:szCs w:val="32"/>
          <w:highlight w:val="none"/>
          <w:lang w:val="en-US" w:eastAsia="zh-CN"/>
        </w:rPr>
      </w:pPr>
      <w:r>
        <w:rPr>
          <w:rFonts w:hint="eastAsia" w:ascii="仿宋" w:hAnsi="仿宋" w:eastAsia="仿宋" w:cs="仿宋"/>
          <w:b/>
          <w:bCs/>
          <w:i w:val="0"/>
          <w:iCs w:val="0"/>
          <w:color w:val="auto"/>
          <w:sz w:val="32"/>
          <w:szCs w:val="32"/>
          <w:highlight w:val="none"/>
          <w:lang w:val="en-US" w:eastAsia="zh-CN"/>
        </w:rPr>
        <w:br w:type="page"/>
      </w:r>
    </w:p>
    <w:p w14:paraId="1D0592AD">
      <w:pPr>
        <w:widowControl/>
        <w:adjustRightInd/>
        <w:jc w:val="center"/>
        <w:rPr>
          <w:rFonts w:hint="eastAsia"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六</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投标人廉洁自律承诺书</w:t>
      </w:r>
    </w:p>
    <w:p w14:paraId="3ADC366D">
      <w:pPr>
        <w:snapToGrid w:val="0"/>
        <w:spacing w:line="360" w:lineRule="auto"/>
        <w:rPr>
          <w:rFonts w:hint="eastAsia" w:ascii="仿宋" w:hAnsi="仿宋" w:eastAsia="仿宋" w:cs="仿宋"/>
          <w:i w:val="0"/>
          <w:iCs w:val="0"/>
          <w:color w:val="auto"/>
          <w:sz w:val="24"/>
          <w:highlight w:val="none"/>
        </w:rPr>
      </w:pPr>
    </w:p>
    <w:p w14:paraId="4583315D">
      <w:pPr>
        <w:snapToGrid w:val="0"/>
        <w:spacing w:line="360" w:lineRule="auto"/>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招标代理机构</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kern w:val="0"/>
          <w:sz w:val="24"/>
          <w:highlight w:val="none"/>
          <w:lang w:val="zh-CN"/>
        </w:rPr>
        <w:t>：</w:t>
      </w:r>
    </w:p>
    <w:p w14:paraId="12FD8D10">
      <w:pPr>
        <w:autoSpaceDE w:val="0"/>
        <w:autoSpaceDN w:val="0"/>
        <w:spacing w:line="360" w:lineRule="auto"/>
        <w:ind w:left="2" w:leftChars="1"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eastAsia"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eastAsia"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0F120A5E">
      <w:pPr>
        <w:autoSpaceDE w:val="0"/>
        <w:autoSpaceDN w:val="0"/>
        <w:spacing w:line="360" w:lineRule="auto"/>
        <w:ind w:left="2" w:leftChars="1"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 xml:space="preserve">一、不向项目有关人员及部门赠送礼金礼物、有价证券、回扣以及中介费、介绍费、咨询费等好处费； </w:t>
      </w:r>
    </w:p>
    <w:p w14:paraId="6CCD4319">
      <w:pPr>
        <w:autoSpaceDE w:val="0"/>
        <w:autoSpaceDN w:val="0"/>
        <w:spacing w:line="360" w:lineRule="auto"/>
        <w:ind w:left="2" w:leftChars="1"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 xml:space="preserve">二、不为项目有关人员及部门报销应由你方单位或个人支付的费用； </w:t>
      </w:r>
    </w:p>
    <w:p w14:paraId="05F3C2EF">
      <w:pPr>
        <w:autoSpaceDE w:val="0"/>
        <w:autoSpaceDN w:val="0"/>
        <w:spacing w:line="360" w:lineRule="auto"/>
        <w:ind w:left="2" w:leftChars="1"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 xml:space="preserve">三、不向项目有关人员及部门提供有可能影响公正的宴请和健身娱乐等活动； </w:t>
      </w:r>
    </w:p>
    <w:p w14:paraId="28E0AF43">
      <w:pPr>
        <w:autoSpaceDE w:val="0"/>
        <w:autoSpaceDN w:val="0"/>
        <w:spacing w:line="360" w:lineRule="auto"/>
        <w:ind w:left="2" w:leftChars="1"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0E0EEAB8">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06C70DB2">
      <w:pPr>
        <w:autoSpaceDE w:val="0"/>
        <w:autoSpaceDN w:val="0"/>
        <w:spacing w:line="360" w:lineRule="auto"/>
        <w:ind w:left="0" w:leftChars="0"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 xml:space="preserve">等法律法规，诚实守信，合法经营，坚决抵制各种违法违纪行为。 </w:t>
      </w:r>
    </w:p>
    <w:p w14:paraId="634F33BE">
      <w:pPr>
        <w:autoSpaceDE w:val="0"/>
        <w:autoSpaceDN w:val="0"/>
        <w:spacing w:line="360" w:lineRule="auto"/>
        <w:ind w:firstLine="480" w:firstLineChars="2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eastAsia"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21F334C1">
      <w:pPr>
        <w:autoSpaceDE w:val="0"/>
        <w:autoSpaceDN w:val="0"/>
        <w:spacing w:line="360" w:lineRule="auto"/>
        <w:ind w:left="2" w:leftChars="1" w:right="1120" w:firstLine="4560" w:firstLineChars="1900"/>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投标人名称（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 xml:space="preserve">）：       </w:t>
      </w:r>
    </w:p>
    <w:p w14:paraId="7DB6AF25">
      <w:pPr>
        <w:spacing w:line="360" w:lineRule="auto"/>
        <w:ind w:left="4620" w:leftChars="2200"/>
        <w:rPr>
          <w:rFonts w:hint="eastAsia"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hint="eastAsia" w:ascii="仿宋" w:hAnsi="仿宋" w:eastAsia="仿宋" w:cs="仿宋"/>
          <w:i w:val="0"/>
          <w:iCs w:val="0"/>
          <w:color w:val="auto"/>
          <w:kern w:val="0"/>
          <w:sz w:val="24"/>
          <w:highlight w:val="none"/>
          <w:lang w:val="zh-CN"/>
        </w:rPr>
        <w:t xml:space="preserve">   年   月   日</w:t>
      </w:r>
    </w:p>
    <w:p w14:paraId="563FBA11">
      <w:pPr>
        <w:spacing w:line="360" w:lineRule="auto"/>
        <w:ind w:right="42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34A4EBFE">
      <w:pPr>
        <w:rPr>
          <w:rFonts w:hint="eastAsia" w:ascii="仿宋" w:hAnsi="仿宋" w:eastAsia="仿宋" w:cs="仿宋"/>
          <w:b/>
          <w:i w:val="0"/>
          <w:iCs w:val="0"/>
          <w:strike w:val="0"/>
          <w:dstrike w:val="0"/>
          <w:color w:val="auto"/>
          <w:sz w:val="32"/>
          <w:szCs w:val="32"/>
          <w:highlight w:val="none"/>
          <w:lang w:val="en-US" w:eastAsia="zh-CN"/>
        </w:rPr>
      </w:pPr>
      <w:r>
        <w:rPr>
          <w:rFonts w:hint="eastAsia" w:ascii="仿宋" w:hAnsi="仿宋" w:eastAsia="仿宋" w:cs="仿宋"/>
          <w:b/>
          <w:i w:val="0"/>
          <w:iCs w:val="0"/>
          <w:color w:val="auto"/>
          <w:sz w:val="32"/>
          <w:szCs w:val="32"/>
          <w:highlight w:val="none"/>
          <w:lang w:val="en-US" w:eastAsia="zh-CN"/>
        </w:rPr>
        <w:br w:type="page"/>
      </w:r>
    </w:p>
    <w:p w14:paraId="03527DC5">
      <w:pPr>
        <w:spacing w:line="360" w:lineRule="auto"/>
        <w:jc w:val="center"/>
        <w:rPr>
          <w:rFonts w:hint="eastAsia" w:ascii="仿宋" w:hAnsi="仿宋" w:eastAsia="仿宋" w:cs="仿宋"/>
          <w:b/>
          <w:bCs/>
          <w:i w:val="0"/>
          <w:iCs w:val="0"/>
          <w:strike w:val="0"/>
          <w:dstrike w:val="0"/>
          <w:color w:val="auto"/>
          <w:sz w:val="32"/>
          <w:szCs w:val="32"/>
          <w:highlight w:val="none"/>
        </w:rPr>
      </w:pPr>
      <w:r>
        <w:rPr>
          <w:rFonts w:hint="eastAsia" w:ascii="仿宋" w:hAnsi="仿宋" w:eastAsia="仿宋" w:cs="仿宋"/>
          <w:b/>
          <w:i w:val="0"/>
          <w:iCs w:val="0"/>
          <w:strike w:val="0"/>
          <w:dstrike w:val="0"/>
          <w:color w:val="auto"/>
          <w:sz w:val="32"/>
          <w:szCs w:val="32"/>
          <w:highlight w:val="none"/>
          <w:lang w:val="en-US" w:eastAsia="zh-CN"/>
        </w:rPr>
        <w:t>七</w:t>
      </w:r>
      <w:r>
        <w:rPr>
          <w:rFonts w:hint="eastAsia" w:ascii="仿宋" w:hAnsi="仿宋" w:eastAsia="仿宋" w:cs="仿宋"/>
          <w:b/>
          <w:i w:val="0"/>
          <w:iCs w:val="0"/>
          <w:strike w:val="0"/>
          <w:dstrike w:val="0"/>
          <w:color w:val="auto"/>
          <w:sz w:val="32"/>
          <w:szCs w:val="32"/>
          <w:highlight w:val="none"/>
        </w:rPr>
        <w:t>、</w:t>
      </w:r>
      <w:r>
        <w:rPr>
          <w:rFonts w:hint="eastAsia" w:ascii="仿宋" w:hAnsi="仿宋" w:eastAsia="仿宋" w:cs="仿宋"/>
          <w:b/>
          <w:i w:val="0"/>
          <w:iCs w:val="0"/>
          <w:strike w:val="0"/>
          <w:dstrike w:val="0"/>
          <w:color w:val="auto"/>
          <w:kern w:val="0"/>
          <w:sz w:val="32"/>
          <w:szCs w:val="32"/>
          <w:highlight w:val="none"/>
          <w:lang w:val="zh-CN"/>
        </w:rPr>
        <w:t>主要业绩证明</w:t>
      </w:r>
    </w:p>
    <w:p w14:paraId="35EF7B5B">
      <w:pPr>
        <w:autoSpaceDE w:val="0"/>
        <w:autoSpaceDN w:val="0"/>
        <w:spacing w:line="360" w:lineRule="auto"/>
        <w:ind w:firstLine="120"/>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附表 :相关项目建设业绩一览表</w:t>
      </w:r>
    </w:p>
    <w:tbl>
      <w:tblPr>
        <w:tblStyle w:val="64"/>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72D63DF1">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485AAABF">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AA2290E">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项目</w:t>
            </w:r>
          </w:p>
          <w:p w14:paraId="02B324E2">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D72CBAB">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5BA9D90">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合同</w:t>
            </w:r>
          </w:p>
          <w:p w14:paraId="150B8D41">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金额</w:t>
            </w:r>
          </w:p>
          <w:p w14:paraId="2918D257">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768514F">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28DE2433">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项目地址与</w:t>
            </w:r>
            <w:r>
              <w:rPr>
                <w:rFonts w:hint="eastAsia" w:ascii="仿宋" w:hAnsi="仿宋" w:eastAsia="仿宋" w:cs="仿宋"/>
                <w:i w:val="0"/>
                <w:iCs w:val="0"/>
                <w:strike w:val="0"/>
                <w:dstrike w:val="0"/>
                <w:color w:val="auto"/>
                <w:sz w:val="24"/>
                <w:highlight w:val="none"/>
                <w:lang w:eastAsia="zh-CN"/>
              </w:rPr>
              <w:t>招标人</w:t>
            </w:r>
            <w:r>
              <w:rPr>
                <w:rFonts w:hint="eastAsia" w:ascii="仿宋" w:hAnsi="仿宋" w:eastAsia="仿宋" w:cs="仿宋"/>
                <w:i w:val="0"/>
                <w:iCs w:val="0"/>
                <w:strike w:val="0"/>
                <w:dstrike w:val="0"/>
                <w:color w:val="auto"/>
                <w:sz w:val="24"/>
                <w:highlight w:val="none"/>
              </w:rPr>
              <w:t>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715587CA">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所在页码</w:t>
            </w:r>
          </w:p>
        </w:tc>
      </w:tr>
      <w:tr w14:paraId="218DD9C7">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2FB857F1">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25822300">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B0136F6">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1CA53789">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59A8A48">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7C8D78C">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4309A60">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18C593FF">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562D1B56">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2829B4D5">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5B9A3C3">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40B631F">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585A5D5F">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D13DA5F">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09F6B6D4">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6C59B656">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288C0C55">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AFA7E85">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CBA94D9">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263891">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3074009">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064C463">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1D9D975F">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bl>
    <w:p w14:paraId="5F7D4764">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w:t>
      </w:r>
      <w:r>
        <w:rPr>
          <w:rFonts w:hint="eastAsia" w:ascii="仿宋" w:hAnsi="仿宋" w:eastAsia="仿宋" w:cs="仿宋"/>
          <w:b/>
          <w:i w:val="0"/>
          <w:iCs w:val="0"/>
          <w:strike w:val="0"/>
          <w:dstrike w:val="0"/>
          <w:color w:val="auto"/>
          <w:sz w:val="24"/>
          <w:highlight w:val="none"/>
          <w:lang w:eastAsia="zh-CN"/>
        </w:rPr>
        <w:t>投标人</w:t>
      </w:r>
      <w:r>
        <w:rPr>
          <w:rFonts w:hint="eastAsia" w:ascii="仿宋" w:hAnsi="仿宋" w:eastAsia="仿宋" w:cs="仿宋"/>
          <w:b/>
          <w:i w:val="0"/>
          <w:iCs w:val="0"/>
          <w:strike w:val="0"/>
          <w:dstrike w:val="0"/>
          <w:color w:val="auto"/>
          <w:sz w:val="24"/>
          <w:highlight w:val="none"/>
        </w:rPr>
        <w:t>可按上述的格式自行编制，须随表提交相应的合同</w:t>
      </w:r>
      <w:r>
        <w:rPr>
          <w:rFonts w:hint="eastAsia" w:ascii="仿宋" w:hAnsi="仿宋" w:eastAsia="仿宋" w:cs="仿宋"/>
          <w:b/>
          <w:i w:val="0"/>
          <w:iCs w:val="0"/>
          <w:strike w:val="0"/>
          <w:dstrike w:val="0"/>
          <w:color w:val="auto"/>
          <w:sz w:val="24"/>
          <w:highlight w:val="none"/>
          <w:lang w:eastAsia="zh-CN"/>
        </w:rPr>
        <w:t>复制件</w:t>
      </w:r>
      <w:r>
        <w:rPr>
          <w:rFonts w:hint="eastAsia" w:ascii="仿宋" w:hAnsi="仿宋" w:eastAsia="仿宋" w:cs="仿宋"/>
          <w:b/>
          <w:i w:val="0"/>
          <w:iCs w:val="0"/>
          <w:strike w:val="0"/>
          <w:dstrike w:val="0"/>
          <w:color w:val="auto"/>
          <w:sz w:val="24"/>
          <w:highlight w:val="none"/>
        </w:rPr>
        <w:t>和用户单位验收证明并注明页码。</w:t>
      </w:r>
    </w:p>
    <w:p w14:paraId="0D22122C">
      <w:pPr>
        <w:autoSpaceDE w:val="0"/>
        <w:autoSpaceDN w:val="0"/>
        <w:spacing w:line="360" w:lineRule="auto"/>
        <w:rPr>
          <w:rFonts w:hint="eastAsia" w:ascii="仿宋" w:hAnsi="仿宋" w:eastAsia="仿宋" w:cs="仿宋"/>
          <w:b/>
          <w:i w:val="0"/>
          <w:iCs w:val="0"/>
          <w:strike w:val="0"/>
          <w:dstrike w:val="0"/>
          <w:color w:val="auto"/>
          <w:sz w:val="24"/>
          <w:highlight w:val="none"/>
        </w:rPr>
      </w:pPr>
    </w:p>
    <w:p w14:paraId="3A87B334">
      <w:pPr>
        <w:autoSpaceDE w:val="0"/>
        <w:autoSpaceDN w:val="0"/>
        <w:spacing w:line="360" w:lineRule="auto"/>
        <w:rPr>
          <w:rFonts w:hint="eastAsia" w:ascii="仿宋" w:hAnsi="仿宋" w:eastAsia="仿宋" w:cs="仿宋"/>
          <w:i w:val="0"/>
          <w:iCs w:val="0"/>
          <w:strike w:val="0"/>
          <w:dstrike w:val="0"/>
          <w:color w:val="auto"/>
          <w:sz w:val="24"/>
          <w:highlight w:val="none"/>
        </w:rPr>
      </w:pPr>
    </w:p>
    <w:p w14:paraId="446DB07B">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p>
    <w:p w14:paraId="66A40782">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w:t>
      </w:r>
      <w:r>
        <w:rPr>
          <w:rFonts w:hint="eastAsia" w:ascii="仿宋" w:hAnsi="仿宋" w:eastAsia="仿宋" w:cs="仿宋"/>
          <w:i w:val="0"/>
          <w:iCs w:val="0"/>
          <w:strike w:val="0"/>
          <w:dstrike w:val="0"/>
          <w:color w:val="auto"/>
          <w:sz w:val="24"/>
          <w:highlight w:val="none"/>
          <w:lang w:val="en-US" w:eastAsia="zh-CN"/>
        </w:rPr>
        <w:t xml:space="preserve">  </w:t>
      </w:r>
      <w:r>
        <w:rPr>
          <w:rFonts w:hint="eastAsia" w:ascii="仿宋" w:hAnsi="仿宋" w:eastAsia="仿宋" w:cs="仿宋"/>
          <w:i w:val="0"/>
          <w:iCs w:val="0"/>
          <w:strike w:val="0"/>
          <w:dstrike w:val="0"/>
          <w:color w:val="auto"/>
          <w:sz w:val="24"/>
          <w:highlight w:val="none"/>
        </w:rPr>
        <w:t>日期：  年   月   日</w:t>
      </w:r>
    </w:p>
    <w:p w14:paraId="1A620D35">
      <w:pPr>
        <w:pStyle w:val="649"/>
        <w:ind w:firstLine="0"/>
        <w:jc w:val="both"/>
        <w:rPr>
          <w:rFonts w:hint="eastAsia" w:ascii="仿宋" w:hAnsi="仿宋" w:eastAsia="仿宋" w:cs="仿宋"/>
          <w:i w:val="0"/>
          <w:iCs w:val="0"/>
          <w:strike w:val="0"/>
          <w:dstrike w:val="0"/>
          <w:color w:val="auto"/>
          <w:highlight w:val="none"/>
        </w:rPr>
      </w:pPr>
    </w:p>
    <w:p w14:paraId="2E10EFEB">
      <w:pPr>
        <w:pageBreakBefore/>
        <w:spacing w:line="360" w:lineRule="auto"/>
        <w:jc w:val="center"/>
        <w:rPr>
          <w:rFonts w:hint="eastAsia" w:ascii="仿宋" w:hAnsi="仿宋" w:eastAsia="仿宋" w:cs="仿宋"/>
          <w:b/>
          <w:bCs/>
          <w:i w:val="0"/>
          <w:iCs w:val="0"/>
          <w:strike w:val="0"/>
          <w:dstrike w:val="0"/>
          <w:color w:val="auto"/>
          <w:sz w:val="32"/>
          <w:szCs w:val="32"/>
          <w:highlight w:val="none"/>
        </w:rPr>
      </w:pPr>
      <w:r>
        <w:rPr>
          <w:rFonts w:hint="eastAsia" w:ascii="仿宋" w:hAnsi="仿宋" w:eastAsia="仿宋" w:cs="仿宋"/>
          <w:b/>
          <w:bCs/>
          <w:i w:val="0"/>
          <w:iCs w:val="0"/>
          <w:strike w:val="0"/>
          <w:dstrike w:val="0"/>
          <w:color w:val="auto"/>
          <w:sz w:val="32"/>
          <w:szCs w:val="32"/>
          <w:highlight w:val="none"/>
          <w:lang w:val="en-US" w:eastAsia="zh-CN"/>
        </w:rPr>
        <w:t>八</w:t>
      </w:r>
      <w:r>
        <w:rPr>
          <w:rFonts w:hint="eastAsia" w:ascii="仿宋" w:hAnsi="仿宋" w:eastAsia="仿宋" w:cs="仿宋"/>
          <w:b/>
          <w:bCs/>
          <w:i w:val="0"/>
          <w:iCs w:val="0"/>
          <w:strike w:val="0"/>
          <w:dstrike w:val="0"/>
          <w:color w:val="auto"/>
          <w:sz w:val="32"/>
          <w:szCs w:val="32"/>
          <w:highlight w:val="none"/>
        </w:rPr>
        <w:t>、技术解决方案</w:t>
      </w:r>
    </w:p>
    <w:p w14:paraId="796068CF">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val="en-US" w:eastAsia="zh-CN"/>
        </w:rPr>
        <w:t>招标</w:t>
      </w:r>
      <w:r>
        <w:rPr>
          <w:rFonts w:hint="eastAsia" w:ascii="仿宋" w:hAnsi="仿宋" w:eastAsia="仿宋" w:cs="仿宋"/>
          <w:i w:val="0"/>
          <w:iCs w:val="0"/>
          <w:strike w:val="0"/>
          <w:dstrike w:val="0"/>
          <w:color w:val="auto"/>
          <w:sz w:val="24"/>
          <w:highlight w:val="none"/>
        </w:rPr>
        <w:t>需求及招标文件要求编制</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w:t>
      </w:r>
    </w:p>
    <w:p w14:paraId="2614314E">
      <w:pPr>
        <w:spacing w:line="360" w:lineRule="auto"/>
        <w:jc w:val="center"/>
        <w:rPr>
          <w:rFonts w:hint="eastAsia" w:ascii="仿宋" w:hAnsi="仿宋" w:eastAsia="仿宋" w:cs="仿宋"/>
          <w:i w:val="0"/>
          <w:iCs w:val="0"/>
          <w:strike w:val="0"/>
          <w:dstrike w:val="0"/>
          <w:color w:val="auto"/>
          <w:sz w:val="24"/>
          <w:highlight w:val="none"/>
        </w:rPr>
      </w:pPr>
    </w:p>
    <w:p w14:paraId="6681D30D">
      <w:pPr>
        <w:snapToGrid w:val="0"/>
        <w:spacing w:line="360" w:lineRule="auto"/>
        <w:jc w:val="center"/>
        <w:rPr>
          <w:rFonts w:hint="eastAsia" w:ascii="仿宋" w:hAnsi="仿宋" w:eastAsia="仿宋" w:cs="仿宋"/>
          <w:b/>
          <w:i w:val="0"/>
          <w:iCs w:val="0"/>
          <w:strike w:val="0"/>
          <w:dstrike w:val="0"/>
          <w:color w:val="auto"/>
          <w:sz w:val="32"/>
          <w:szCs w:val="32"/>
          <w:highlight w:val="none"/>
        </w:rPr>
      </w:pPr>
      <w:r>
        <w:rPr>
          <w:rFonts w:hint="eastAsia" w:ascii="仿宋" w:hAnsi="仿宋" w:eastAsia="仿宋" w:cs="仿宋"/>
          <w:b/>
          <w:i w:val="0"/>
          <w:iCs w:val="0"/>
          <w:strike w:val="0"/>
          <w:dstrike w:val="0"/>
          <w:color w:val="auto"/>
          <w:sz w:val="32"/>
          <w:szCs w:val="32"/>
          <w:highlight w:val="none"/>
        </w:rPr>
        <w:t>投标产品规格配置清单</w:t>
      </w:r>
    </w:p>
    <w:tbl>
      <w:tblPr>
        <w:tblStyle w:val="64"/>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1DD3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B37095B">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序号</w:t>
            </w:r>
          </w:p>
        </w:tc>
        <w:tc>
          <w:tcPr>
            <w:tcW w:w="1531" w:type="dxa"/>
            <w:vAlign w:val="center"/>
          </w:tcPr>
          <w:p w14:paraId="28F17DA6">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设备名称</w:t>
            </w:r>
          </w:p>
        </w:tc>
        <w:tc>
          <w:tcPr>
            <w:tcW w:w="2160" w:type="dxa"/>
            <w:vAlign w:val="center"/>
          </w:tcPr>
          <w:p w14:paraId="39CCF8E9">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投标品牌及型号</w:t>
            </w:r>
          </w:p>
        </w:tc>
        <w:tc>
          <w:tcPr>
            <w:tcW w:w="2340" w:type="dxa"/>
            <w:vAlign w:val="center"/>
          </w:tcPr>
          <w:p w14:paraId="26560FD2">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规格配置详细说明</w:t>
            </w:r>
          </w:p>
        </w:tc>
        <w:tc>
          <w:tcPr>
            <w:tcW w:w="1080" w:type="dxa"/>
            <w:vAlign w:val="center"/>
          </w:tcPr>
          <w:p w14:paraId="284DE86D">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数量</w:t>
            </w:r>
          </w:p>
        </w:tc>
        <w:tc>
          <w:tcPr>
            <w:tcW w:w="1332" w:type="dxa"/>
            <w:vAlign w:val="center"/>
          </w:tcPr>
          <w:p w14:paraId="10E9359C">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备注</w:t>
            </w:r>
          </w:p>
        </w:tc>
      </w:tr>
      <w:tr w14:paraId="2BCA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0FBB653">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w:t>
            </w:r>
          </w:p>
        </w:tc>
        <w:tc>
          <w:tcPr>
            <w:tcW w:w="1531" w:type="dxa"/>
            <w:vAlign w:val="center"/>
          </w:tcPr>
          <w:p w14:paraId="26C1ED96">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160" w:type="dxa"/>
            <w:vAlign w:val="center"/>
          </w:tcPr>
          <w:p w14:paraId="747C727E">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340" w:type="dxa"/>
            <w:vAlign w:val="center"/>
          </w:tcPr>
          <w:p w14:paraId="69698A87">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080" w:type="dxa"/>
            <w:vAlign w:val="center"/>
          </w:tcPr>
          <w:p w14:paraId="7129CF0C">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332" w:type="dxa"/>
            <w:vAlign w:val="center"/>
          </w:tcPr>
          <w:p w14:paraId="5307E39D">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r>
      <w:tr w14:paraId="1B82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D25F31D">
            <w:pPr>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2</w:t>
            </w:r>
          </w:p>
        </w:tc>
        <w:tc>
          <w:tcPr>
            <w:tcW w:w="1531" w:type="dxa"/>
            <w:vAlign w:val="center"/>
          </w:tcPr>
          <w:p w14:paraId="435514EA">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160" w:type="dxa"/>
            <w:vAlign w:val="center"/>
          </w:tcPr>
          <w:p w14:paraId="7E14A23B">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340" w:type="dxa"/>
            <w:vAlign w:val="center"/>
          </w:tcPr>
          <w:p w14:paraId="474C8523">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080" w:type="dxa"/>
            <w:vAlign w:val="center"/>
          </w:tcPr>
          <w:p w14:paraId="6D64CEF4">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332" w:type="dxa"/>
            <w:vAlign w:val="center"/>
          </w:tcPr>
          <w:p w14:paraId="217DF280">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r>
      <w:tr w14:paraId="2D16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4B2217F">
            <w:pPr>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3</w:t>
            </w:r>
          </w:p>
        </w:tc>
        <w:tc>
          <w:tcPr>
            <w:tcW w:w="1531" w:type="dxa"/>
            <w:vAlign w:val="center"/>
          </w:tcPr>
          <w:p w14:paraId="238B82D4">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160" w:type="dxa"/>
            <w:vAlign w:val="center"/>
          </w:tcPr>
          <w:p w14:paraId="20F70B66">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340" w:type="dxa"/>
            <w:vAlign w:val="center"/>
          </w:tcPr>
          <w:p w14:paraId="0CBDE45C">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080" w:type="dxa"/>
            <w:vAlign w:val="center"/>
          </w:tcPr>
          <w:p w14:paraId="1CF2FBA1">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332" w:type="dxa"/>
            <w:vAlign w:val="center"/>
          </w:tcPr>
          <w:p w14:paraId="36A76270">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r>
      <w:tr w14:paraId="08B3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CC2EC35">
            <w:pPr>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4</w:t>
            </w:r>
          </w:p>
        </w:tc>
        <w:tc>
          <w:tcPr>
            <w:tcW w:w="1531" w:type="dxa"/>
            <w:vAlign w:val="center"/>
          </w:tcPr>
          <w:p w14:paraId="658CF8EE">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160" w:type="dxa"/>
            <w:vAlign w:val="center"/>
          </w:tcPr>
          <w:p w14:paraId="5A35DD8E">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340" w:type="dxa"/>
            <w:vAlign w:val="center"/>
          </w:tcPr>
          <w:p w14:paraId="44CDDAE9">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080" w:type="dxa"/>
            <w:vAlign w:val="center"/>
          </w:tcPr>
          <w:p w14:paraId="58B82BE5">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332" w:type="dxa"/>
            <w:vAlign w:val="center"/>
          </w:tcPr>
          <w:p w14:paraId="314C661A">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r>
      <w:tr w14:paraId="7C5A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DE22285">
            <w:pPr>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5</w:t>
            </w:r>
          </w:p>
        </w:tc>
        <w:tc>
          <w:tcPr>
            <w:tcW w:w="1531" w:type="dxa"/>
            <w:vAlign w:val="center"/>
          </w:tcPr>
          <w:p w14:paraId="304396C8">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160" w:type="dxa"/>
            <w:vAlign w:val="center"/>
          </w:tcPr>
          <w:p w14:paraId="07BE4992">
            <w:pPr>
              <w:keepNext/>
              <w:keepLines/>
              <w:tabs>
                <w:tab w:val="left" w:pos="432"/>
              </w:tabs>
              <w:snapToGrid w:val="0"/>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2340" w:type="dxa"/>
            <w:vAlign w:val="center"/>
          </w:tcPr>
          <w:p w14:paraId="7A588C50">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080" w:type="dxa"/>
            <w:vAlign w:val="center"/>
          </w:tcPr>
          <w:p w14:paraId="7124CE66">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c>
          <w:tcPr>
            <w:tcW w:w="1332" w:type="dxa"/>
            <w:vAlign w:val="center"/>
          </w:tcPr>
          <w:p w14:paraId="7E68C7C9">
            <w:pPr>
              <w:keepNext/>
              <w:keepLines/>
              <w:tabs>
                <w:tab w:val="left" w:pos="432"/>
              </w:tabs>
              <w:spacing w:line="360" w:lineRule="auto"/>
              <w:jc w:val="center"/>
              <w:textAlignment w:val="center"/>
              <w:rPr>
                <w:rFonts w:hint="eastAsia" w:ascii="仿宋" w:hAnsi="仿宋" w:eastAsia="仿宋" w:cs="仿宋"/>
                <w:i w:val="0"/>
                <w:iCs w:val="0"/>
                <w:strike w:val="0"/>
                <w:dstrike w:val="0"/>
                <w:color w:val="auto"/>
                <w:sz w:val="24"/>
                <w:highlight w:val="none"/>
              </w:rPr>
            </w:pPr>
          </w:p>
        </w:tc>
      </w:tr>
    </w:tbl>
    <w:p w14:paraId="155B7C60">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kern w:val="0"/>
          <w:sz w:val="24"/>
          <w:highlight w:val="none"/>
        </w:rPr>
        <w:t>注：1.</w:t>
      </w:r>
      <w:r>
        <w:rPr>
          <w:rFonts w:hint="eastAsia" w:ascii="仿宋" w:hAnsi="仿宋" w:eastAsia="仿宋" w:cs="仿宋"/>
          <w:b/>
          <w:i w:val="0"/>
          <w:iCs w:val="0"/>
          <w:strike w:val="0"/>
          <w:dstrike w:val="0"/>
          <w:color w:val="auto"/>
          <w:sz w:val="24"/>
          <w:highlight w:val="none"/>
        </w:rPr>
        <w:t>如果本项目涉及硬件设备</w:t>
      </w:r>
      <w:r>
        <w:rPr>
          <w:rFonts w:hint="eastAsia" w:ascii="仿宋" w:hAnsi="仿宋" w:eastAsia="仿宋" w:cs="仿宋"/>
          <w:b/>
          <w:i w:val="0"/>
          <w:iCs w:val="0"/>
          <w:strike w:val="0"/>
          <w:dstrike w:val="0"/>
          <w:color w:val="auto"/>
          <w:sz w:val="24"/>
          <w:highlight w:val="none"/>
          <w:lang w:val="en-US" w:eastAsia="zh-CN"/>
        </w:rPr>
        <w:t>招标</w:t>
      </w:r>
      <w:r>
        <w:rPr>
          <w:rFonts w:hint="eastAsia" w:ascii="仿宋" w:hAnsi="仿宋" w:eastAsia="仿宋" w:cs="仿宋"/>
          <w:b/>
          <w:i w:val="0"/>
          <w:iCs w:val="0"/>
          <w:strike w:val="0"/>
          <w:dstrike w:val="0"/>
          <w:color w:val="auto"/>
          <w:sz w:val="24"/>
          <w:highlight w:val="none"/>
        </w:rPr>
        <w:t>，须在技术文件中提供此配置清单，提供主要投标产品的技术参数证明材料（如官网截图、产品彩页、原厂技术说明等）。</w:t>
      </w:r>
    </w:p>
    <w:p w14:paraId="5324FF8E">
      <w:pPr>
        <w:autoSpaceDE w:val="0"/>
        <w:autoSpaceDN w:val="0"/>
        <w:spacing w:line="360" w:lineRule="auto"/>
        <w:rPr>
          <w:rFonts w:hint="eastAsia" w:ascii="仿宋" w:hAnsi="仿宋" w:eastAsia="仿宋" w:cs="仿宋"/>
          <w:b/>
          <w:i w:val="0"/>
          <w:iCs w:val="0"/>
          <w:strike w:val="0"/>
          <w:dstrike w:val="0"/>
          <w:color w:val="auto"/>
          <w:spacing w:val="6"/>
          <w:sz w:val="24"/>
          <w:highlight w:val="none"/>
        </w:rPr>
      </w:pPr>
      <w:r>
        <w:rPr>
          <w:rFonts w:hint="eastAsia" w:ascii="仿宋" w:hAnsi="仿宋" w:eastAsia="仿宋" w:cs="仿宋"/>
          <w:b/>
          <w:i w:val="0"/>
          <w:iCs w:val="0"/>
          <w:strike w:val="0"/>
          <w:dstrike w:val="0"/>
          <w:color w:val="auto"/>
          <w:spacing w:val="6"/>
          <w:sz w:val="24"/>
          <w:highlight w:val="none"/>
        </w:rPr>
        <w:t>2.</w:t>
      </w:r>
      <w:r>
        <w:rPr>
          <w:rFonts w:hint="eastAsia" w:ascii="仿宋" w:hAnsi="仿宋" w:eastAsia="仿宋" w:cs="仿宋"/>
          <w:b/>
          <w:i w:val="0"/>
          <w:iCs w:val="0"/>
          <w:strike w:val="0"/>
          <w:dstrike w:val="0"/>
          <w:color w:val="auto"/>
          <w:sz w:val="24"/>
          <w:highlight w:val="none"/>
        </w:rPr>
        <w:t>本项目如需采购政府强制采购的节能产品的或</w:t>
      </w:r>
      <w:r>
        <w:rPr>
          <w:rFonts w:hint="eastAsia" w:ascii="仿宋" w:hAnsi="仿宋" w:eastAsia="仿宋" w:cs="仿宋"/>
          <w:b/>
          <w:i w:val="0"/>
          <w:iCs w:val="0"/>
          <w:strike w:val="0"/>
          <w:dstrike w:val="0"/>
          <w:color w:val="auto"/>
          <w:sz w:val="24"/>
          <w:highlight w:val="none"/>
          <w:lang w:eastAsia="zh-CN"/>
        </w:rPr>
        <w:t>投标人</w:t>
      </w:r>
      <w:r>
        <w:rPr>
          <w:rFonts w:hint="eastAsia" w:ascii="仿宋" w:hAnsi="仿宋" w:eastAsia="仿宋" w:cs="仿宋"/>
          <w:b/>
          <w:i w:val="0"/>
          <w:iCs w:val="0"/>
          <w:strike w:val="0"/>
          <w:dstrike w:val="0"/>
          <w:color w:val="auto"/>
          <w:sz w:val="24"/>
          <w:highlight w:val="none"/>
        </w:rPr>
        <w:t>提供的产品是环境标志产品，</w:t>
      </w:r>
      <w:r>
        <w:rPr>
          <w:rFonts w:hint="eastAsia" w:ascii="仿宋" w:hAnsi="仿宋" w:eastAsia="仿宋" w:cs="仿宋"/>
          <w:b/>
          <w:i w:val="0"/>
          <w:iCs w:val="0"/>
          <w:strike w:val="0"/>
          <w:dstrike w:val="0"/>
          <w:color w:val="auto"/>
          <w:sz w:val="24"/>
          <w:highlight w:val="none"/>
          <w:lang w:eastAsia="zh-CN"/>
        </w:rPr>
        <w:t>投标人</w:t>
      </w:r>
      <w:r>
        <w:rPr>
          <w:rFonts w:hint="eastAsia" w:ascii="仿宋" w:hAnsi="仿宋" w:eastAsia="仿宋" w:cs="仿宋"/>
          <w:b/>
          <w:i w:val="0"/>
          <w:iCs w:val="0"/>
          <w:strike w:val="0"/>
          <w:dstrike w:val="0"/>
          <w:color w:val="auto"/>
          <w:sz w:val="24"/>
          <w:highlight w:val="none"/>
        </w:rPr>
        <w:t>须提供节能产品、环境标志产品认证证书</w:t>
      </w:r>
      <w:r>
        <w:rPr>
          <w:rFonts w:hint="eastAsia" w:ascii="仿宋" w:hAnsi="仿宋" w:eastAsia="仿宋" w:cs="仿宋"/>
          <w:b/>
          <w:i w:val="0"/>
          <w:iCs w:val="0"/>
          <w:strike w:val="0"/>
          <w:dstrike w:val="0"/>
          <w:color w:val="auto"/>
          <w:sz w:val="24"/>
          <w:highlight w:val="none"/>
          <w:lang w:eastAsia="zh-CN"/>
        </w:rPr>
        <w:t>复制件</w:t>
      </w:r>
      <w:r>
        <w:rPr>
          <w:rFonts w:hint="eastAsia" w:ascii="仿宋" w:hAnsi="仿宋" w:eastAsia="仿宋" w:cs="仿宋"/>
          <w:b/>
          <w:i w:val="0"/>
          <w:iCs w:val="0"/>
          <w:strike w:val="0"/>
          <w:dstrike w:val="0"/>
          <w:color w:val="auto"/>
          <w:sz w:val="24"/>
          <w:highlight w:val="none"/>
        </w:rPr>
        <w:t>。</w:t>
      </w:r>
    </w:p>
    <w:p w14:paraId="443CF115">
      <w:pPr>
        <w:autoSpaceDE w:val="0"/>
        <w:autoSpaceDN w:val="0"/>
        <w:spacing w:line="360" w:lineRule="auto"/>
        <w:rPr>
          <w:rFonts w:hint="eastAsia" w:ascii="仿宋" w:hAnsi="仿宋" w:eastAsia="仿宋" w:cs="仿宋"/>
          <w:b/>
          <w:i w:val="0"/>
          <w:iCs w:val="0"/>
          <w:strike w:val="0"/>
          <w:dstrike w:val="0"/>
          <w:color w:val="auto"/>
          <w:kern w:val="0"/>
          <w:sz w:val="24"/>
          <w:highlight w:val="none"/>
        </w:rPr>
      </w:pPr>
    </w:p>
    <w:p w14:paraId="62BBF659">
      <w:pPr>
        <w:autoSpaceDE w:val="0"/>
        <w:autoSpaceDN w:val="0"/>
        <w:spacing w:line="360" w:lineRule="auto"/>
        <w:ind w:firstLine="4560" w:firstLineChars="1900"/>
        <w:rPr>
          <w:rFonts w:hint="eastAsia" w:ascii="仿宋" w:hAnsi="仿宋" w:eastAsia="仿宋" w:cs="仿宋"/>
          <w:i w:val="0"/>
          <w:iCs w:val="0"/>
          <w:strike w:val="0"/>
          <w:dstrike w:val="0"/>
          <w:color w:val="auto"/>
          <w:kern w:val="0"/>
          <w:sz w:val="24"/>
          <w:highlight w:val="none"/>
        </w:rPr>
      </w:pPr>
    </w:p>
    <w:p w14:paraId="0D69BCE4">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2502B6E3">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104A0B88">
      <w:pP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i w:val="0"/>
          <w:iCs w:val="0"/>
          <w:strike w:val="0"/>
          <w:dstrike w:val="0"/>
          <w:color w:val="auto"/>
          <w:kern w:val="0"/>
          <w:sz w:val="24"/>
          <w:highlight w:val="none"/>
          <w:lang w:val="zh-CN"/>
        </w:rPr>
      </w:pPr>
      <w:r>
        <w:rPr>
          <w:rFonts w:hint="eastAsia" w:ascii="仿宋" w:hAnsi="仿宋" w:eastAsia="仿宋" w:cs="仿宋"/>
          <w:b/>
          <w:bCs/>
          <w:i w:val="0"/>
          <w:iCs w:val="0"/>
          <w:strike w:val="0"/>
          <w:dstrike w:val="0"/>
          <w:color w:val="auto"/>
          <w:kern w:val="0"/>
          <w:sz w:val="24"/>
          <w:highlight w:val="none"/>
          <w:lang w:val="zh-CN"/>
        </w:rPr>
        <w:tab/>
      </w:r>
      <w:r>
        <w:rPr>
          <w:rFonts w:hint="eastAsia" w:ascii="仿宋" w:hAnsi="仿宋" w:eastAsia="仿宋" w:cs="仿宋"/>
          <w:b/>
          <w:bCs/>
          <w:i w:val="0"/>
          <w:iCs w:val="0"/>
          <w:strike w:val="0"/>
          <w:dstrike w:val="0"/>
          <w:color w:val="auto"/>
          <w:kern w:val="0"/>
          <w:sz w:val="24"/>
          <w:highlight w:val="none"/>
          <w:lang w:val="zh-CN"/>
        </w:rPr>
        <w:tab/>
      </w:r>
    </w:p>
    <w:p w14:paraId="4E81EEF7">
      <w:pPr>
        <w:tabs>
          <w:tab w:val="left" w:pos="2790"/>
          <w:tab w:val="left" w:pos="4230"/>
        </w:tabs>
        <w:autoSpaceDE w:val="0"/>
        <w:autoSpaceDN w:val="0"/>
        <w:spacing w:line="360" w:lineRule="auto"/>
        <w:ind w:right="1400"/>
        <w:jc w:val="center"/>
        <w:outlineLvl w:val="1"/>
        <w:rPr>
          <w:rFonts w:hint="eastAsia" w:ascii="仿宋" w:hAnsi="仿宋" w:eastAsia="仿宋" w:cs="仿宋"/>
          <w:b/>
          <w:bCs/>
          <w:i w:val="0"/>
          <w:iCs w:val="0"/>
          <w:strike w:val="0"/>
          <w:dstrike w:val="0"/>
          <w:color w:val="auto"/>
          <w:kern w:val="0"/>
          <w:sz w:val="36"/>
          <w:szCs w:val="36"/>
          <w:highlight w:val="none"/>
          <w:lang w:val="zh-CN"/>
        </w:rPr>
      </w:pPr>
    </w:p>
    <w:p w14:paraId="69BCE6AA">
      <w:pPr>
        <w:pageBreakBefore/>
        <w:tabs>
          <w:tab w:val="left" w:pos="2790"/>
          <w:tab w:val="left" w:pos="4230"/>
        </w:tabs>
        <w:autoSpaceDE w:val="0"/>
        <w:autoSpaceDN w:val="0"/>
        <w:spacing w:line="360" w:lineRule="auto"/>
        <w:ind w:right="1400"/>
        <w:jc w:val="center"/>
        <w:outlineLvl w:val="1"/>
        <w:rPr>
          <w:rFonts w:hint="eastAsia" w:ascii="仿宋" w:hAnsi="仿宋" w:eastAsia="仿宋" w:cs="仿宋"/>
          <w:b/>
          <w:bCs/>
          <w:i w:val="0"/>
          <w:iCs w:val="0"/>
          <w:strike w:val="0"/>
          <w:dstrike w:val="0"/>
          <w:color w:val="auto"/>
          <w:kern w:val="0"/>
          <w:sz w:val="32"/>
          <w:szCs w:val="32"/>
          <w:highlight w:val="none"/>
          <w:lang w:val="zh-CN"/>
        </w:rPr>
      </w:pPr>
      <w:r>
        <w:rPr>
          <w:rFonts w:hint="eastAsia" w:ascii="仿宋" w:hAnsi="仿宋" w:eastAsia="仿宋" w:cs="仿宋"/>
          <w:b/>
          <w:bCs/>
          <w:i w:val="0"/>
          <w:iCs w:val="0"/>
          <w:strike w:val="0"/>
          <w:dstrike w:val="0"/>
          <w:color w:val="auto"/>
          <w:kern w:val="0"/>
          <w:sz w:val="32"/>
          <w:szCs w:val="32"/>
          <w:highlight w:val="none"/>
          <w:lang w:val="en-US" w:eastAsia="zh-CN"/>
        </w:rPr>
        <w:t>九</w:t>
      </w:r>
      <w:r>
        <w:rPr>
          <w:rFonts w:hint="eastAsia" w:ascii="仿宋" w:hAnsi="仿宋" w:eastAsia="仿宋" w:cs="仿宋"/>
          <w:b/>
          <w:bCs/>
          <w:i w:val="0"/>
          <w:iCs w:val="0"/>
          <w:strike w:val="0"/>
          <w:dstrike w:val="0"/>
          <w:color w:val="auto"/>
          <w:kern w:val="0"/>
          <w:sz w:val="32"/>
          <w:szCs w:val="32"/>
          <w:highlight w:val="none"/>
          <w:lang w:val="zh-CN"/>
        </w:rPr>
        <w:t>、组织实施方案</w:t>
      </w:r>
    </w:p>
    <w:p w14:paraId="3F684C45">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及招标文件要求编制</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w:t>
      </w:r>
    </w:p>
    <w:p w14:paraId="3BFA32CA">
      <w:pPr>
        <w:pStyle w:val="25"/>
        <w:rPr>
          <w:rFonts w:hint="eastAsia" w:ascii="仿宋" w:hAnsi="仿宋" w:eastAsia="仿宋" w:cs="仿宋"/>
          <w:i w:val="0"/>
          <w:iCs w:val="0"/>
          <w:strike w:val="0"/>
          <w:dstrike w:val="0"/>
          <w:color w:val="auto"/>
          <w:highlight w:val="none"/>
        </w:rPr>
      </w:pPr>
    </w:p>
    <w:p w14:paraId="5297B64C">
      <w:pPr>
        <w:tabs>
          <w:tab w:val="left" w:pos="2790"/>
          <w:tab w:val="left" w:pos="4230"/>
        </w:tabs>
        <w:autoSpaceDE w:val="0"/>
        <w:autoSpaceDN w:val="0"/>
        <w:spacing w:line="360" w:lineRule="auto"/>
        <w:ind w:right="1400"/>
        <w:outlineLvl w:val="1"/>
        <w:rPr>
          <w:rFonts w:hint="eastAsia" w:ascii="仿宋" w:hAnsi="仿宋" w:eastAsia="仿宋" w:cs="仿宋"/>
          <w:b/>
          <w:bCs/>
          <w:i w:val="0"/>
          <w:iCs w:val="0"/>
          <w:strike w:val="0"/>
          <w:dstrike w:val="0"/>
          <w:color w:val="auto"/>
          <w:kern w:val="0"/>
          <w:sz w:val="24"/>
          <w:highlight w:val="none"/>
          <w:lang w:val="zh-CN"/>
        </w:rPr>
      </w:pPr>
      <w:r>
        <w:rPr>
          <w:rFonts w:hint="eastAsia" w:ascii="仿宋" w:hAnsi="仿宋" w:eastAsia="仿宋" w:cs="仿宋"/>
          <w:b/>
          <w:bCs/>
          <w:i w:val="0"/>
          <w:iCs w:val="0"/>
          <w:strike w:val="0"/>
          <w:dstrike w:val="0"/>
          <w:color w:val="auto"/>
          <w:kern w:val="0"/>
          <w:sz w:val="24"/>
          <w:highlight w:val="none"/>
          <w:lang w:val="zh-CN"/>
        </w:rPr>
        <w:t>附表:项目实施进度计划表</w:t>
      </w:r>
      <w:r>
        <w:rPr>
          <w:rFonts w:hint="eastAsia" w:ascii="仿宋" w:hAnsi="仿宋" w:eastAsia="仿宋" w:cs="仿宋"/>
          <w:b/>
          <w:i w:val="0"/>
          <w:iCs w:val="0"/>
          <w:strike w:val="0"/>
          <w:dstrike w:val="0"/>
          <w:color w:val="auto"/>
          <w:sz w:val="24"/>
          <w:highlight w:val="none"/>
        </w:rPr>
        <w:t xml:space="preserve">(以生效日算起) </w:t>
      </w:r>
    </w:p>
    <w:tbl>
      <w:tblPr>
        <w:tblStyle w:val="64"/>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261F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4B492EB1">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工作日</w:t>
            </w:r>
          </w:p>
          <w:p w14:paraId="60C3819D">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内容</w:t>
            </w:r>
          </w:p>
        </w:tc>
        <w:tc>
          <w:tcPr>
            <w:tcW w:w="552" w:type="dxa"/>
            <w:vAlign w:val="center"/>
          </w:tcPr>
          <w:p w14:paraId="36609B7D">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w:t>
            </w:r>
          </w:p>
        </w:tc>
        <w:tc>
          <w:tcPr>
            <w:tcW w:w="552" w:type="dxa"/>
            <w:vAlign w:val="center"/>
          </w:tcPr>
          <w:p w14:paraId="5CE210F4">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2</w:t>
            </w:r>
          </w:p>
        </w:tc>
        <w:tc>
          <w:tcPr>
            <w:tcW w:w="552" w:type="dxa"/>
            <w:vAlign w:val="center"/>
          </w:tcPr>
          <w:p w14:paraId="23AF8B53">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3</w:t>
            </w:r>
          </w:p>
        </w:tc>
        <w:tc>
          <w:tcPr>
            <w:tcW w:w="552" w:type="dxa"/>
            <w:vAlign w:val="center"/>
          </w:tcPr>
          <w:p w14:paraId="4FB1AFF3">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4</w:t>
            </w:r>
          </w:p>
        </w:tc>
        <w:tc>
          <w:tcPr>
            <w:tcW w:w="552" w:type="dxa"/>
            <w:vAlign w:val="center"/>
          </w:tcPr>
          <w:p w14:paraId="1D49FD41">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5</w:t>
            </w:r>
          </w:p>
        </w:tc>
        <w:tc>
          <w:tcPr>
            <w:tcW w:w="552" w:type="dxa"/>
            <w:vAlign w:val="center"/>
          </w:tcPr>
          <w:p w14:paraId="227D1AE4">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6</w:t>
            </w:r>
          </w:p>
        </w:tc>
        <w:tc>
          <w:tcPr>
            <w:tcW w:w="553" w:type="dxa"/>
            <w:vAlign w:val="center"/>
          </w:tcPr>
          <w:p w14:paraId="575F3664">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7</w:t>
            </w:r>
          </w:p>
        </w:tc>
        <w:tc>
          <w:tcPr>
            <w:tcW w:w="553" w:type="dxa"/>
            <w:vAlign w:val="center"/>
          </w:tcPr>
          <w:p w14:paraId="2A19FF11">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8</w:t>
            </w:r>
          </w:p>
        </w:tc>
        <w:tc>
          <w:tcPr>
            <w:tcW w:w="553" w:type="dxa"/>
            <w:vAlign w:val="center"/>
          </w:tcPr>
          <w:p w14:paraId="5F6B04CF">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9</w:t>
            </w:r>
          </w:p>
        </w:tc>
        <w:tc>
          <w:tcPr>
            <w:tcW w:w="553" w:type="dxa"/>
            <w:vAlign w:val="center"/>
          </w:tcPr>
          <w:p w14:paraId="2558A3D5">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10</w:t>
            </w:r>
          </w:p>
        </w:tc>
        <w:tc>
          <w:tcPr>
            <w:tcW w:w="553" w:type="dxa"/>
            <w:vAlign w:val="center"/>
          </w:tcPr>
          <w:p w14:paraId="4FD7DA2B">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11</w:t>
            </w:r>
          </w:p>
        </w:tc>
        <w:tc>
          <w:tcPr>
            <w:tcW w:w="553" w:type="dxa"/>
            <w:vAlign w:val="center"/>
          </w:tcPr>
          <w:p w14:paraId="2D5C6C55">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12</w:t>
            </w:r>
          </w:p>
        </w:tc>
        <w:tc>
          <w:tcPr>
            <w:tcW w:w="553" w:type="dxa"/>
            <w:vAlign w:val="center"/>
          </w:tcPr>
          <w:p w14:paraId="0EFFF156">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13</w:t>
            </w:r>
          </w:p>
        </w:tc>
        <w:tc>
          <w:tcPr>
            <w:tcW w:w="553" w:type="dxa"/>
            <w:vAlign w:val="center"/>
          </w:tcPr>
          <w:p w14:paraId="5906FC18">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14</w:t>
            </w:r>
          </w:p>
        </w:tc>
        <w:tc>
          <w:tcPr>
            <w:tcW w:w="553" w:type="dxa"/>
            <w:vAlign w:val="center"/>
          </w:tcPr>
          <w:p w14:paraId="1132A4D0">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15</w:t>
            </w:r>
          </w:p>
        </w:tc>
        <w:tc>
          <w:tcPr>
            <w:tcW w:w="553" w:type="dxa"/>
            <w:vAlign w:val="center"/>
          </w:tcPr>
          <w:p w14:paraId="50D4A5FD">
            <w:pPr>
              <w:autoSpaceDE w:val="0"/>
              <w:autoSpaceDN w:val="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w:t>
            </w:r>
          </w:p>
        </w:tc>
      </w:tr>
      <w:tr w14:paraId="2258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27F1998">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34DE65AD">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65BB9F38">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4B0F6381">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26DB9442">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6F88A027">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0F9EFF8F">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64D36B1D">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4CDF77FA">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7ACA70D1">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4BBD5AF">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5742ABDC">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67D4243F">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4F2DFEC">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369D970">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55C80B64">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1531C9D7">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r>
      <w:tr w14:paraId="44AA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B87E00F">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332B8C4A">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1DBA90F5">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37FF7F89">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5DC1316B">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7B1F42C5">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6E76A701">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67F0203C">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56590DB5">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62C20068">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3F817ED0">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70B07DF">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51017B40">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645BB4FC">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5250C6E6">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4BFA400C">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3B29F881">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r>
      <w:tr w14:paraId="79CA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C77FCAF">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67752388">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3EB9B7A2">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447376CD">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4F37065D">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0EFFD464">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2" w:type="dxa"/>
          </w:tcPr>
          <w:p w14:paraId="5E660CE6">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CE74D63">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13D8037E">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32C29B16">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64963C0D">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A410DFD">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0E491602">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2BD01826">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4B321EB7">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4979793C">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c>
          <w:tcPr>
            <w:tcW w:w="553" w:type="dxa"/>
          </w:tcPr>
          <w:p w14:paraId="4A24C1B9">
            <w:pPr>
              <w:keepNext/>
              <w:keepLines/>
              <w:tabs>
                <w:tab w:val="left" w:pos="900"/>
              </w:tabs>
              <w:spacing w:line="360" w:lineRule="auto"/>
              <w:ind w:hanging="720"/>
              <w:outlineLvl w:val="2"/>
              <w:rPr>
                <w:rFonts w:hint="eastAsia" w:ascii="仿宋" w:hAnsi="仿宋" w:eastAsia="仿宋" w:cs="仿宋"/>
                <w:i w:val="0"/>
                <w:iCs w:val="0"/>
                <w:strike w:val="0"/>
                <w:dstrike w:val="0"/>
                <w:color w:val="auto"/>
                <w:sz w:val="24"/>
                <w:highlight w:val="none"/>
              </w:rPr>
            </w:pPr>
          </w:p>
        </w:tc>
      </w:tr>
    </w:tbl>
    <w:p w14:paraId="3CCF3BBD">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w:t>
      </w:r>
      <w:r>
        <w:rPr>
          <w:rFonts w:hint="eastAsia" w:ascii="仿宋" w:hAnsi="仿宋" w:eastAsia="仿宋" w:cs="仿宋"/>
          <w:b/>
          <w:i w:val="0"/>
          <w:iCs w:val="0"/>
          <w:strike w:val="0"/>
          <w:dstrike w:val="0"/>
          <w:color w:val="auto"/>
          <w:sz w:val="24"/>
          <w:highlight w:val="none"/>
          <w:lang w:eastAsia="zh-CN"/>
        </w:rPr>
        <w:t>投标人</w:t>
      </w:r>
      <w:r>
        <w:rPr>
          <w:rFonts w:hint="eastAsia" w:ascii="仿宋" w:hAnsi="仿宋" w:eastAsia="仿宋" w:cs="仿宋"/>
          <w:b/>
          <w:i w:val="0"/>
          <w:iCs w:val="0"/>
          <w:strike w:val="0"/>
          <w:dstrike w:val="0"/>
          <w:color w:val="auto"/>
          <w:sz w:val="24"/>
          <w:highlight w:val="none"/>
        </w:rPr>
        <w:t>可按上述时间表的格式自行编制切合实际的具体时间表。</w:t>
      </w:r>
    </w:p>
    <w:p w14:paraId="060BF881">
      <w:pPr>
        <w:pStyle w:val="25"/>
        <w:rPr>
          <w:rFonts w:hint="eastAsia" w:ascii="仿宋" w:hAnsi="仿宋" w:eastAsia="仿宋" w:cs="仿宋"/>
          <w:i w:val="0"/>
          <w:iCs w:val="0"/>
          <w:strike w:val="0"/>
          <w:dstrike w:val="0"/>
          <w:color w:val="auto"/>
          <w:highlight w:val="none"/>
        </w:rPr>
      </w:pPr>
    </w:p>
    <w:p w14:paraId="76D436FC">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1461E59B">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1F5FF6D2">
      <w:pPr>
        <w:spacing w:line="360" w:lineRule="auto"/>
        <w:rPr>
          <w:rFonts w:hint="eastAsia" w:ascii="仿宋" w:hAnsi="仿宋" w:eastAsia="仿宋" w:cs="仿宋"/>
          <w:i w:val="0"/>
          <w:iCs w:val="0"/>
          <w:strike w:val="0"/>
          <w:dstrike w:val="0"/>
          <w:color w:val="auto"/>
          <w:kern w:val="0"/>
          <w:sz w:val="24"/>
          <w:highlight w:val="none"/>
        </w:rPr>
      </w:pPr>
    </w:p>
    <w:p w14:paraId="0432F91B">
      <w:pPr>
        <w:pStyle w:val="25"/>
        <w:rPr>
          <w:rFonts w:hint="eastAsia" w:ascii="仿宋" w:hAnsi="仿宋" w:eastAsia="仿宋" w:cs="仿宋"/>
          <w:i w:val="0"/>
          <w:iCs w:val="0"/>
          <w:strike w:val="0"/>
          <w:dstrike w:val="0"/>
          <w:color w:val="auto"/>
          <w:highlight w:val="none"/>
        </w:rPr>
      </w:pPr>
    </w:p>
    <w:p w14:paraId="30EB9965">
      <w:pPr>
        <w:pStyle w:val="81"/>
        <w:rPr>
          <w:rFonts w:hint="eastAsia" w:ascii="仿宋" w:hAnsi="仿宋" w:eastAsia="仿宋" w:cs="仿宋"/>
          <w:i w:val="0"/>
          <w:iCs w:val="0"/>
          <w:strike w:val="0"/>
          <w:dstrike w:val="0"/>
          <w:color w:val="auto"/>
          <w:highlight w:val="none"/>
        </w:rPr>
      </w:pPr>
    </w:p>
    <w:p w14:paraId="1C8244C4">
      <w:pPr>
        <w:rPr>
          <w:rFonts w:hint="eastAsia" w:ascii="仿宋" w:hAnsi="仿宋" w:eastAsia="仿宋" w:cs="仿宋"/>
          <w:i w:val="0"/>
          <w:iCs w:val="0"/>
          <w:strike w:val="0"/>
          <w:dstrike w:val="0"/>
          <w:color w:val="auto"/>
          <w:highlight w:val="none"/>
        </w:rPr>
      </w:pPr>
    </w:p>
    <w:p w14:paraId="536B92F7">
      <w:pPr>
        <w:pStyle w:val="25"/>
        <w:rPr>
          <w:rFonts w:hint="eastAsia" w:ascii="仿宋" w:hAnsi="仿宋" w:eastAsia="仿宋" w:cs="仿宋"/>
          <w:i w:val="0"/>
          <w:iCs w:val="0"/>
          <w:strike w:val="0"/>
          <w:dstrike w:val="0"/>
          <w:color w:val="auto"/>
          <w:highlight w:val="none"/>
        </w:rPr>
      </w:pPr>
    </w:p>
    <w:p w14:paraId="6FB15D4C">
      <w:pPr>
        <w:pStyle w:val="81"/>
        <w:rPr>
          <w:rFonts w:hint="eastAsia" w:ascii="仿宋" w:hAnsi="仿宋" w:eastAsia="仿宋" w:cs="仿宋"/>
          <w:i w:val="0"/>
          <w:iCs w:val="0"/>
          <w:strike w:val="0"/>
          <w:dstrike w:val="0"/>
          <w:color w:val="auto"/>
          <w:highlight w:val="none"/>
        </w:rPr>
      </w:pPr>
    </w:p>
    <w:p w14:paraId="1BA81D5E">
      <w:pPr>
        <w:rPr>
          <w:rFonts w:hint="eastAsia" w:ascii="仿宋" w:hAnsi="仿宋" w:eastAsia="仿宋" w:cs="仿宋"/>
          <w:i w:val="0"/>
          <w:iCs w:val="0"/>
          <w:strike w:val="0"/>
          <w:dstrike w:val="0"/>
          <w:color w:val="auto"/>
          <w:highlight w:val="none"/>
        </w:rPr>
      </w:pPr>
    </w:p>
    <w:p w14:paraId="3C5382BD">
      <w:pPr>
        <w:pStyle w:val="25"/>
        <w:rPr>
          <w:rFonts w:hint="eastAsia" w:ascii="仿宋" w:hAnsi="仿宋" w:eastAsia="仿宋" w:cs="仿宋"/>
          <w:i w:val="0"/>
          <w:iCs w:val="0"/>
          <w:strike w:val="0"/>
          <w:dstrike w:val="0"/>
          <w:color w:val="auto"/>
          <w:highlight w:val="none"/>
        </w:rPr>
      </w:pPr>
    </w:p>
    <w:p w14:paraId="71D4D559">
      <w:pPr>
        <w:pStyle w:val="81"/>
        <w:rPr>
          <w:rFonts w:hint="eastAsia" w:ascii="仿宋" w:hAnsi="仿宋" w:eastAsia="仿宋" w:cs="仿宋"/>
          <w:i w:val="0"/>
          <w:iCs w:val="0"/>
          <w:strike w:val="0"/>
          <w:dstrike w:val="0"/>
          <w:color w:val="auto"/>
          <w:highlight w:val="none"/>
        </w:rPr>
      </w:pPr>
    </w:p>
    <w:p w14:paraId="73DB26EA">
      <w:pPr>
        <w:rPr>
          <w:rFonts w:hint="eastAsia" w:ascii="仿宋" w:hAnsi="仿宋" w:eastAsia="仿宋" w:cs="仿宋"/>
          <w:i w:val="0"/>
          <w:iCs w:val="0"/>
          <w:strike w:val="0"/>
          <w:dstrike w:val="0"/>
          <w:color w:val="auto"/>
          <w:highlight w:val="none"/>
        </w:rPr>
      </w:pPr>
    </w:p>
    <w:p w14:paraId="5E86053C">
      <w:pPr>
        <w:pStyle w:val="25"/>
        <w:rPr>
          <w:rFonts w:hint="eastAsia" w:ascii="仿宋" w:hAnsi="仿宋" w:eastAsia="仿宋" w:cs="仿宋"/>
          <w:i w:val="0"/>
          <w:iCs w:val="0"/>
          <w:strike w:val="0"/>
          <w:dstrike w:val="0"/>
          <w:color w:val="auto"/>
          <w:highlight w:val="none"/>
        </w:rPr>
      </w:pPr>
    </w:p>
    <w:p w14:paraId="4D510D18">
      <w:pPr>
        <w:pStyle w:val="81"/>
        <w:rPr>
          <w:rFonts w:hint="eastAsia" w:ascii="仿宋" w:hAnsi="仿宋" w:eastAsia="仿宋" w:cs="仿宋"/>
          <w:i w:val="0"/>
          <w:iCs w:val="0"/>
          <w:strike w:val="0"/>
          <w:dstrike w:val="0"/>
          <w:color w:val="auto"/>
          <w:highlight w:val="none"/>
        </w:rPr>
      </w:pPr>
    </w:p>
    <w:p w14:paraId="50041339">
      <w:pPr>
        <w:rPr>
          <w:rFonts w:hint="eastAsia" w:ascii="仿宋" w:hAnsi="仿宋" w:eastAsia="仿宋" w:cs="仿宋"/>
          <w:i w:val="0"/>
          <w:iCs w:val="0"/>
          <w:strike w:val="0"/>
          <w:dstrike w:val="0"/>
          <w:color w:val="auto"/>
          <w:highlight w:val="none"/>
        </w:rPr>
      </w:pPr>
    </w:p>
    <w:p w14:paraId="5A9AEF8F">
      <w:pPr>
        <w:pStyle w:val="25"/>
        <w:rPr>
          <w:rFonts w:hint="eastAsia" w:ascii="仿宋" w:hAnsi="仿宋" w:eastAsia="仿宋" w:cs="仿宋"/>
          <w:i w:val="0"/>
          <w:iCs w:val="0"/>
          <w:strike w:val="0"/>
          <w:dstrike w:val="0"/>
          <w:color w:val="auto"/>
          <w:highlight w:val="none"/>
        </w:rPr>
      </w:pPr>
    </w:p>
    <w:p w14:paraId="3B0BECDA">
      <w:pPr>
        <w:pStyle w:val="81"/>
        <w:rPr>
          <w:rFonts w:hint="eastAsia" w:ascii="仿宋" w:hAnsi="仿宋" w:eastAsia="仿宋" w:cs="仿宋"/>
          <w:i w:val="0"/>
          <w:iCs w:val="0"/>
          <w:strike w:val="0"/>
          <w:dstrike w:val="0"/>
          <w:color w:val="auto"/>
          <w:highlight w:val="none"/>
        </w:rPr>
      </w:pPr>
    </w:p>
    <w:p w14:paraId="1581A512">
      <w:pPr>
        <w:rPr>
          <w:rFonts w:hint="eastAsia" w:ascii="仿宋" w:hAnsi="仿宋" w:eastAsia="仿宋" w:cs="仿宋"/>
          <w:i w:val="0"/>
          <w:iCs w:val="0"/>
          <w:strike w:val="0"/>
          <w:dstrike w:val="0"/>
          <w:color w:val="auto"/>
          <w:highlight w:val="none"/>
        </w:rPr>
      </w:pPr>
    </w:p>
    <w:p w14:paraId="7AE10E57">
      <w:pPr>
        <w:pStyle w:val="25"/>
        <w:rPr>
          <w:rFonts w:hint="eastAsia" w:ascii="仿宋" w:hAnsi="仿宋" w:eastAsia="仿宋" w:cs="仿宋"/>
          <w:i w:val="0"/>
          <w:iCs w:val="0"/>
          <w:strike w:val="0"/>
          <w:dstrike w:val="0"/>
          <w:color w:val="auto"/>
          <w:highlight w:val="none"/>
        </w:rPr>
      </w:pPr>
    </w:p>
    <w:p w14:paraId="50FE95F3">
      <w:pPr>
        <w:pStyle w:val="81"/>
        <w:rPr>
          <w:rFonts w:hint="eastAsia" w:ascii="仿宋" w:hAnsi="仿宋" w:eastAsia="仿宋" w:cs="仿宋"/>
          <w:i w:val="0"/>
          <w:iCs w:val="0"/>
          <w:strike w:val="0"/>
          <w:dstrike w:val="0"/>
          <w:color w:val="auto"/>
          <w:highlight w:val="none"/>
        </w:rPr>
      </w:pPr>
    </w:p>
    <w:p w14:paraId="08AA92F5">
      <w:pPr>
        <w:rPr>
          <w:rFonts w:hint="eastAsia" w:ascii="仿宋" w:hAnsi="仿宋" w:eastAsia="仿宋" w:cs="仿宋"/>
          <w:i w:val="0"/>
          <w:iCs w:val="0"/>
          <w:strike w:val="0"/>
          <w:dstrike w:val="0"/>
          <w:color w:val="auto"/>
          <w:highlight w:val="none"/>
        </w:rPr>
      </w:pPr>
    </w:p>
    <w:p w14:paraId="76C42676">
      <w:pPr>
        <w:pStyle w:val="25"/>
        <w:rPr>
          <w:rFonts w:hint="eastAsia" w:ascii="仿宋" w:hAnsi="仿宋" w:eastAsia="仿宋" w:cs="仿宋"/>
          <w:i w:val="0"/>
          <w:iCs w:val="0"/>
          <w:strike w:val="0"/>
          <w:dstrike w:val="0"/>
          <w:color w:val="auto"/>
          <w:highlight w:val="none"/>
        </w:rPr>
      </w:pPr>
    </w:p>
    <w:p w14:paraId="123031D9">
      <w:pPr>
        <w:pStyle w:val="81"/>
        <w:rPr>
          <w:rFonts w:hint="eastAsia" w:ascii="仿宋" w:hAnsi="仿宋" w:eastAsia="仿宋" w:cs="仿宋"/>
          <w:i w:val="0"/>
          <w:iCs w:val="0"/>
          <w:strike w:val="0"/>
          <w:dstrike w:val="0"/>
          <w:color w:val="auto"/>
          <w:highlight w:val="none"/>
        </w:rPr>
      </w:pPr>
    </w:p>
    <w:p w14:paraId="40CDA532">
      <w:pPr>
        <w:rPr>
          <w:rFonts w:hint="eastAsia" w:ascii="仿宋" w:hAnsi="仿宋" w:eastAsia="仿宋" w:cs="仿宋"/>
          <w:i w:val="0"/>
          <w:iCs w:val="0"/>
          <w:strike w:val="0"/>
          <w:dstrike w:val="0"/>
          <w:color w:val="auto"/>
          <w:highlight w:val="none"/>
        </w:rPr>
      </w:pPr>
    </w:p>
    <w:p w14:paraId="3675BCF6">
      <w:pPr>
        <w:pStyle w:val="25"/>
        <w:rPr>
          <w:rFonts w:hint="eastAsia" w:ascii="仿宋" w:hAnsi="仿宋" w:eastAsia="仿宋" w:cs="仿宋"/>
          <w:i w:val="0"/>
          <w:iCs w:val="0"/>
          <w:strike w:val="0"/>
          <w:dstrike w:val="0"/>
          <w:color w:val="auto"/>
          <w:highlight w:val="none"/>
        </w:rPr>
      </w:pPr>
    </w:p>
    <w:p w14:paraId="40BCFA18">
      <w:pPr>
        <w:pStyle w:val="81"/>
        <w:rPr>
          <w:rFonts w:hint="eastAsia" w:ascii="仿宋" w:hAnsi="仿宋" w:eastAsia="仿宋" w:cs="仿宋"/>
          <w:i w:val="0"/>
          <w:iCs w:val="0"/>
          <w:strike w:val="0"/>
          <w:dstrike w:val="0"/>
          <w:color w:val="auto"/>
          <w:highlight w:val="none"/>
        </w:rPr>
      </w:pPr>
    </w:p>
    <w:p w14:paraId="445D9C73">
      <w:pPr>
        <w:rPr>
          <w:rFonts w:hint="eastAsia" w:ascii="仿宋" w:hAnsi="仿宋" w:eastAsia="仿宋" w:cs="仿宋"/>
          <w:i w:val="0"/>
          <w:iCs w:val="0"/>
          <w:strike w:val="0"/>
          <w:dstrike w:val="0"/>
          <w:color w:val="auto"/>
          <w:highlight w:val="none"/>
        </w:rPr>
      </w:pPr>
    </w:p>
    <w:p w14:paraId="1659EF2F">
      <w:pPr>
        <w:pStyle w:val="25"/>
        <w:rPr>
          <w:rFonts w:hint="eastAsia" w:ascii="仿宋" w:hAnsi="仿宋" w:eastAsia="仿宋" w:cs="仿宋"/>
          <w:i w:val="0"/>
          <w:iCs w:val="0"/>
          <w:strike w:val="0"/>
          <w:dstrike w:val="0"/>
          <w:color w:val="auto"/>
          <w:highlight w:val="none"/>
        </w:rPr>
      </w:pPr>
    </w:p>
    <w:p w14:paraId="22FF0826">
      <w:pPr>
        <w:spacing w:line="360" w:lineRule="auto"/>
        <w:jc w:val="center"/>
        <w:rPr>
          <w:rFonts w:hint="eastAsia" w:ascii="仿宋" w:hAnsi="仿宋" w:eastAsia="仿宋" w:cs="仿宋"/>
          <w:b/>
          <w:bCs/>
          <w:i w:val="0"/>
          <w:iCs w:val="0"/>
          <w:strike w:val="0"/>
          <w:dstrike w:val="0"/>
          <w:color w:val="auto"/>
          <w:sz w:val="32"/>
          <w:szCs w:val="32"/>
          <w:highlight w:val="none"/>
        </w:rPr>
      </w:pPr>
      <w:r>
        <w:rPr>
          <w:rFonts w:hint="eastAsia" w:ascii="仿宋" w:hAnsi="仿宋" w:eastAsia="仿宋" w:cs="仿宋"/>
          <w:b/>
          <w:bCs/>
          <w:i w:val="0"/>
          <w:iCs w:val="0"/>
          <w:strike w:val="0"/>
          <w:dstrike w:val="0"/>
          <w:color w:val="auto"/>
          <w:sz w:val="32"/>
          <w:szCs w:val="32"/>
          <w:highlight w:val="none"/>
        </w:rPr>
        <w:t>十、售后服务方案</w:t>
      </w:r>
    </w:p>
    <w:p w14:paraId="29208332">
      <w:pPr>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及招标文件要求编制</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w:t>
      </w:r>
    </w:p>
    <w:p w14:paraId="13930A6E">
      <w:pPr>
        <w:pStyle w:val="25"/>
        <w:rPr>
          <w:rFonts w:hint="eastAsia" w:ascii="仿宋" w:hAnsi="仿宋" w:eastAsia="仿宋" w:cs="仿宋"/>
          <w:i w:val="0"/>
          <w:iCs w:val="0"/>
          <w:strike w:val="0"/>
          <w:dstrike w:val="0"/>
          <w:color w:val="auto"/>
          <w:highlight w:val="none"/>
        </w:rPr>
      </w:pPr>
    </w:p>
    <w:p w14:paraId="67E824F5">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附表A:售后服务机构情况表</w:t>
      </w:r>
      <w:r>
        <w:rPr>
          <w:rFonts w:hint="eastAsia" w:ascii="仿宋" w:hAnsi="仿宋" w:eastAsia="仿宋" w:cs="仿宋"/>
          <w:i w:val="0"/>
          <w:iCs w:val="0"/>
          <w:strike w:val="0"/>
          <w:dstrike w:val="0"/>
          <w:color w:val="auto"/>
          <w:sz w:val="24"/>
          <w:highlight w:val="none"/>
        </w:rPr>
        <w:t>（按此格式自制）</w:t>
      </w:r>
    </w:p>
    <w:tbl>
      <w:tblPr>
        <w:tblStyle w:val="64"/>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53C9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C072905">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序号</w:t>
            </w:r>
          </w:p>
        </w:tc>
        <w:tc>
          <w:tcPr>
            <w:tcW w:w="2160" w:type="dxa"/>
            <w:vAlign w:val="center"/>
          </w:tcPr>
          <w:p w14:paraId="71BCCECD">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机构名称</w:t>
            </w:r>
          </w:p>
        </w:tc>
        <w:tc>
          <w:tcPr>
            <w:tcW w:w="1620" w:type="dxa"/>
            <w:vAlign w:val="center"/>
          </w:tcPr>
          <w:p w14:paraId="05DD84CA">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机构性质</w:t>
            </w:r>
          </w:p>
        </w:tc>
        <w:tc>
          <w:tcPr>
            <w:tcW w:w="1245" w:type="dxa"/>
            <w:vAlign w:val="center"/>
          </w:tcPr>
          <w:p w14:paraId="1388443E">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注册地址</w:t>
            </w:r>
          </w:p>
        </w:tc>
        <w:tc>
          <w:tcPr>
            <w:tcW w:w="2175" w:type="dxa"/>
            <w:vAlign w:val="center"/>
          </w:tcPr>
          <w:p w14:paraId="398C0F1B">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服务技术人员数量</w:t>
            </w:r>
          </w:p>
        </w:tc>
        <w:tc>
          <w:tcPr>
            <w:tcW w:w="1260" w:type="dxa"/>
            <w:vAlign w:val="center"/>
          </w:tcPr>
          <w:p w14:paraId="5371627D">
            <w:pPr>
              <w:autoSpaceDE w:val="0"/>
              <w:autoSpaceDN w:val="0"/>
              <w:spacing w:line="360" w:lineRule="auto"/>
              <w:jc w:val="center"/>
              <w:textAlignment w:val="center"/>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联系电话</w:t>
            </w:r>
          </w:p>
        </w:tc>
      </w:tr>
      <w:tr w14:paraId="0048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F6B219D">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2160" w:type="dxa"/>
            <w:vAlign w:val="center"/>
          </w:tcPr>
          <w:p w14:paraId="56217953">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620" w:type="dxa"/>
            <w:vAlign w:val="center"/>
          </w:tcPr>
          <w:p w14:paraId="56161F29">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45" w:type="dxa"/>
            <w:vAlign w:val="center"/>
          </w:tcPr>
          <w:p w14:paraId="1ACBF1E9">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2175" w:type="dxa"/>
            <w:vAlign w:val="center"/>
          </w:tcPr>
          <w:p w14:paraId="19C2EA76">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vAlign w:val="center"/>
          </w:tcPr>
          <w:p w14:paraId="5E38A643">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r>
      <w:tr w14:paraId="2E99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B4D7D41">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2160" w:type="dxa"/>
            <w:vAlign w:val="center"/>
          </w:tcPr>
          <w:p w14:paraId="153C9DDD">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620" w:type="dxa"/>
            <w:vAlign w:val="center"/>
          </w:tcPr>
          <w:p w14:paraId="0592E381">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45" w:type="dxa"/>
            <w:vAlign w:val="center"/>
          </w:tcPr>
          <w:p w14:paraId="326F062E">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2175" w:type="dxa"/>
            <w:vAlign w:val="center"/>
          </w:tcPr>
          <w:p w14:paraId="6FE22FD5">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vAlign w:val="center"/>
          </w:tcPr>
          <w:p w14:paraId="7EDC9EAB">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r>
      <w:tr w14:paraId="395F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B861FA8">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2160" w:type="dxa"/>
            <w:vAlign w:val="center"/>
          </w:tcPr>
          <w:p w14:paraId="13434DFD">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620" w:type="dxa"/>
            <w:vAlign w:val="center"/>
          </w:tcPr>
          <w:p w14:paraId="7C369E98">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45" w:type="dxa"/>
            <w:vAlign w:val="center"/>
          </w:tcPr>
          <w:p w14:paraId="18548489">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2175" w:type="dxa"/>
            <w:vAlign w:val="center"/>
          </w:tcPr>
          <w:p w14:paraId="51CE230A">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vAlign w:val="center"/>
          </w:tcPr>
          <w:p w14:paraId="3611CB5E">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r>
    </w:tbl>
    <w:p w14:paraId="1F7DEFA0">
      <w:pPr>
        <w:autoSpaceDE w:val="0"/>
        <w:autoSpaceDN w:val="0"/>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注：关于项目涉及的所有售后服务机构均在本表注明，包括</w:t>
      </w:r>
      <w:r>
        <w:rPr>
          <w:rFonts w:hint="eastAsia" w:ascii="仿宋" w:hAnsi="仿宋" w:eastAsia="仿宋" w:cs="仿宋"/>
          <w:b/>
          <w:i w:val="0"/>
          <w:iCs w:val="0"/>
          <w:strike w:val="0"/>
          <w:dstrike w:val="0"/>
          <w:color w:val="auto"/>
          <w:sz w:val="24"/>
          <w:highlight w:val="none"/>
          <w:lang w:eastAsia="zh-CN"/>
        </w:rPr>
        <w:t>投标人</w:t>
      </w:r>
      <w:r>
        <w:rPr>
          <w:rFonts w:hint="eastAsia" w:ascii="仿宋" w:hAnsi="仿宋" w:eastAsia="仿宋" w:cs="仿宋"/>
          <w:b/>
          <w:i w:val="0"/>
          <w:iCs w:val="0"/>
          <w:strike w:val="0"/>
          <w:dstrike w:val="0"/>
          <w:color w:val="auto"/>
          <w:sz w:val="24"/>
          <w:highlight w:val="none"/>
        </w:rPr>
        <w:t>本单位和符合条件的第三方服务机构。</w:t>
      </w:r>
    </w:p>
    <w:p w14:paraId="3B38A72E">
      <w:pPr>
        <w:pStyle w:val="25"/>
        <w:rPr>
          <w:rFonts w:hint="eastAsia" w:ascii="仿宋" w:hAnsi="仿宋" w:eastAsia="仿宋" w:cs="仿宋"/>
          <w:i w:val="0"/>
          <w:iCs w:val="0"/>
          <w:strike w:val="0"/>
          <w:dstrike w:val="0"/>
          <w:color w:val="auto"/>
          <w:highlight w:val="none"/>
        </w:rPr>
      </w:pPr>
    </w:p>
    <w:p w14:paraId="3767F38B">
      <w:pPr>
        <w:autoSpaceDE w:val="0"/>
        <w:autoSpaceDN w:val="0"/>
        <w:rPr>
          <w:rFonts w:hint="eastAsia" w:ascii="仿宋" w:hAnsi="仿宋" w:eastAsia="仿宋" w:cs="仿宋"/>
          <w:i w:val="0"/>
          <w:iCs w:val="0"/>
          <w:strike w:val="0"/>
          <w:dstrike w:val="0"/>
          <w:color w:val="auto"/>
          <w:kern w:val="0"/>
          <w:sz w:val="24"/>
          <w:highlight w:val="none"/>
        </w:rPr>
      </w:pPr>
      <w:r>
        <w:rPr>
          <w:rFonts w:hint="eastAsia" w:ascii="仿宋" w:hAnsi="仿宋" w:eastAsia="仿宋" w:cs="仿宋"/>
          <w:b/>
          <w:i w:val="0"/>
          <w:iCs w:val="0"/>
          <w:strike w:val="0"/>
          <w:dstrike w:val="0"/>
          <w:color w:val="auto"/>
          <w:kern w:val="0"/>
          <w:sz w:val="24"/>
          <w:highlight w:val="none"/>
        </w:rPr>
        <w:t>附表B：售后服务人员情况表</w:t>
      </w:r>
      <w:r>
        <w:rPr>
          <w:rFonts w:hint="eastAsia" w:ascii="仿宋" w:hAnsi="仿宋" w:eastAsia="仿宋" w:cs="仿宋"/>
          <w:i w:val="0"/>
          <w:iCs w:val="0"/>
          <w:strike w:val="0"/>
          <w:dstrike w:val="0"/>
          <w:color w:val="auto"/>
          <w:sz w:val="24"/>
          <w:highlight w:val="none"/>
        </w:rPr>
        <w:t>（按此格式自制）</w:t>
      </w:r>
    </w:p>
    <w:tbl>
      <w:tblPr>
        <w:tblStyle w:val="64"/>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7436D501">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7ADD64AD">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086180A">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545C71A">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6A0D493">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33FF46A">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5030F4EE">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D240100">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2C1B8D8C">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65969977">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3E50137">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06730B21">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到达现场时间</w:t>
            </w:r>
          </w:p>
        </w:tc>
      </w:tr>
      <w:tr w14:paraId="44BF0839">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72FAD9C6">
            <w:pPr>
              <w:keepNext/>
              <w:keepLines/>
              <w:tabs>
                <w:tab w:val="left" w:pos="432"/>
              </w:tabs>
              <w:autoSpaceDE w:val="0"/>
              <w:autoSpaceDN w:val="0"/>
              <w:spacing w:line="240" w:lineRule="exact"/>
              <w:ind w:left="432" w:hanging="432"/>
              <w:jc w:val="center"/>
              <w:outlineLvl w:val="0"/>
              <w:rPr>
                <w:rFonts w:hint="eastAsia" w:ascii="仿宋" w:hAnsi="仿宋" w:eastAsia="仿宋" w:cs="仿宋"/>
                <w:i w:val="0"/>
                <w:iCs w:val="0"/>
                <w:strike w:val="0"/>
                <w:d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60FA8F8">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F9A19E9">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846ADDD">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0AB8EAB">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790F74D">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D7A96C2">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FB0228C">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0972A21">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8C34070">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04494769">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r>
      <w:tr w14:paraId="6307FBBD">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33BED252">
            <w:pPr>
              <w:keepNext/>
              <w:keepLines/>
              <w:tabs>
                <w:tab w:val="left" w:pos="432"/>
              </w:tabs>
              <w:autoSpaceDE w:val="0"/>
              <w:autoSpaceDN w:val="0"/>
              <w:spacing w:line="240" w:lineRule="exact"/>
              <w:ind w:left="432" w:hanging="432"/>
              <w:jc w:val="center"/>
              <w:outlineLvl w:val="0"/>
              <w:rPr>
                <w:rFonts w:hint="eastAsia" w:ascii="仿宋" w:hAnsi="仿宋" w:eastAsia="仿宋" w:cs="仿宋"/>
                <w:i w:val="0"/>
                <w:iCs w:val="0"/>
                <w:strike w:val="0"/>
                <w:d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6FF77EF">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34ECD1B">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C4F6E38">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29C441A">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0C09A27">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7DCFD3">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846EAB5">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63CEA69">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EA2C285">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2909605">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r>
      <w:tr w14:paraId="317FE11C">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4DFBC5EC">
            <w:pPr>
              <w:keepNext/>
              <w:keepLines/>
              <w:tabs>
                <w:tab w:val="left" w:pos="432"/>
              </w:tabs>
              <w:autoSpaceDE w:val="0"/>
              <w:autoSpaceDN w:val="0"/>
              <w:spacing w:line="240" w:lineRule="exact"/>
              <w:ind w:left="432" w:hanging="432"/>
              <w:jc w:val="center"/>
              <w:outlineLvl w:val="0"/>
              <w:rPr>
                <w:rFonts w:hint="eastAsia" w:ascii="仿宋" w:hAnsi="仿宋" w:eastAsia="仿宋" w:cs="仿宋"/>
                <w:i w:val="0"/>
                <w:iCs w:val="0"/>
                <w:strike w:val="0"/>
                <w:d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8DAC7BD">
            <w:pPr>
              <w:autoSpaceDE w:val="0"/>
              <w:autoSpaceDN w:val="0"/>
              <w:spacing w:line="240" w:lineRule="exact"/>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13CF74B2">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7FAED44">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DD56C1">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9D45BF9">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6E016F">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8B1CAB1">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8C9F69D">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3A343C3">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7E07A158">
            <w:pPr>
              <w:keepNext/>
              <w:keepLines/>
              <w:tabs>
                <w:tab w:val="left" w:pos="432"/>
              </w:tabs>
              <w:autoSpaceDE w:val="0"/>
              <w:autoSpaceDN w:val="0"/>
              <w:spacing w:line="240" w:lineRule="exact"/>
              <w:ind w:left="432" w:hanging="432"/>
              <w:outlineLvl w:val="0"/>
              <w:rPr>
                <w:rFonts w:hint="eastAsia" w:ascii="仿宋" w:hAnsi="仿宋" w:eastAsia="仿宋" w:cs="仿宋"/>
                <w:i w:val="0"/>
                <w:iCs w:val="0"/>
                <w:strike w:val="0"/>
                <w:dstrike w:val="0"/>
                <w:color w:val="auto"/>
                <w:sz w:val="24"/>
                <w:highlight w:val="none"/>
              </w:rPr>
            </w:pPr>
          </w:p>
        </w:tc>
      </w:tr>
    </w:tbl>
    <w:p w14:paraId="39955C39">
      <w:pPr>
        <w:spacing w:line="360" w:lineRule="auto"/>
        <w:ind w:firstLine="480" w:firstLineChars="200"/>
        <w:rPr>
          <w:rFonts w:hint="eastAsia" w:ascii="仿宋" w:hAnsi="仿宋" w:eastAsia="仿宋" w:cs="仿宋"/>
          <w:i w:val="0"/>
          <w:iCs w:val="0"/>
          <w:strike w:val="0"/>
          <w:dstrike w:val="0"/>
          <w:color w:val="auto"/>
          <w:sz w:val="24"/>
          <w:szCs w:val="20"/>
          <w:highlight w:val="none"/>
        </w:rPr>
      </w:pPr>
    </w:p>
    <w:p w14:paraId="3B2081FA">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lang w:val="en-US" w:eastAsia="zh-CN"/>
        </w:rPr>
        <w:t>）</w:t>
      </w:r>
      <w:r>
        <w:rPr>
          <w:rFonts w:hint="eastAsia" w:ascii="仿宋" w:hAnsi="仿宋" w:eastAsia="仿宋" w:cs="仿宋"/>
          <w:i w:val="0"/>
          <w:iCs w:val="0"/>
          <w:strike w:val="0"/>
          <w:dstrike w:val="0"/>
          <w:color w:val="auto"/>
          <w:sz w:val="24"/>
          <w:highlight w:val="none"/>
        </w:rPr>
        <w:t xml:space="preserve">：                          </w:t>
      </w:r>
    </w:p>
    <w:p w14:paraId="1D181491">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3834BB34">
      <w:pPr>
        <w:spacing w:line="360" w:lineRule="auto"/>
        <w:rPr>
          <w:rFonts w:hint="eastAsia" w:ascii="仿宋" w:hAnsi="仿宋" w:eastAsia="仿宋" w:cs="仿宋"/>
          <w:b/>
          <w:i w:val="0"/>
          <w:iCs w:val="0"/>
          <w:strike w:val="0"/>
          <w:dstrike w:val="0"/>
          <w:color w:val="auto"/>
          <w:sz w:val="30"/>
          <w:szCs w:val="30"/>
          <w:highlight w:val="none"/>
        </w:rPr>
      </w:pPr>
    </w:p>
    <w:p w14:paraId="2E257021">
      <w:pPr>
        <w:spacing w:line="360" w:lineRule="auto"/>
        <w:rPr>
          <w:rFonts w:hint="eastAsia" w:ascii="仿宋" w:hAnsi="仿宋" w:eastAsia="仿宋" w:cs="仿宋"/>
          <w:b/>
          <w:i w:val="0"/>
          <w:iCs w:val="0"/>
          <w:strike w:val="0"/>
          <w:dstrike w:val="0"/>
          <w:color w:val="auto"/>
          <w:sz w:val="30"/>
          <w:szCs w:val="30"/>
          <w:highlight w:val="none"/>
        </w:rPr>
      </w:pPr>
    </w:p>
    <w:p w14:paraId="16AA2483">
      <w:pPr>
        <w:spacing w:line="360" w:lineRule="auto"/>
        <w:rPr>
          <w:rFonts w:hint="eastAsia" w:ascii="仿宋" w:hAnsi="仿宋" w:eastAsia="仿宋" w:cs="仿宋"/>
          <w:b/>
          <w:i w:val="0"/>
          <w:iCs w:val="0"/>
          <w:strike w:val="0"/>
          <w:dstrike w:val="0"/>
          <w:color w:val="auto"/>
          <w:sz w:val="30"/>
          <w:szCs w:val="30"/>
          <w:highlight w:val="none"/>
        </w:rPr>
      </w:pPr>
    </w:p>
    <w:p w14:paraId="0161521A">
      <w:pPr>
        <w:spacing w:line="360" w:lineRule="auto"/>
        <w:jc w:val="center"/>
        <w:rPr>
          <w:rFonts w:hint="eastAsia" w:ascii="仿宋" w:hAnsi="仿宋" w:eastAsia="仿宋" w:cs="仿宋"/>
          <w:b/>
          <w:i w:val="0"/>
          <w:iCs w:val="0"/>
          <w:strike w:val="0"/>
          <w:dstrike w:val="0"/>
          <w:color w:val="auto"/>
          <w:sz w:val="30"/>
          <w:szCs w:val="30"/>
          <w:highlight w:val="none"/>
        </w:rPr>
      </w:pPr>
      <w:r>
        <w:rPr>
          <w:rFonts w:hint="eastAsia" w:ascii="仿宋" w:hAnsi="仿宋" w:eastAsia="仿宋" w:cs="仿宋"/>
          <w:b/>
          <w:i w:val="0"/>
          <w:iCs w:val="0"/>
          <w:strike w:val="0"/>
          <w:dstrike w:val="0"/>
          <w:color w:val="auto"/>
          <w:sz w:val="30"/>
          <w:szCs w:val="30"/>
          <w:highlight w:val="none"/>
        </w:rPr>
        <w:t>十</w:t>
      </w:r>
      <w:r>
        <w:rPr>
          <w:rFonts w:hint="eastAsia" w:ascii="仿宋" w:hAnsi="仿宋" w:eastAsia="仿宋" w:cs="仿宋"/>
          <w:b/>
          <w:i w:val="0"/>
          <w:iCs w:val="0"/>
          <w:strike w:val="0"/>
          <w:dstrike w:val="0"/>
          <w:color w:val="auto"/>
          <w:sz w:val="30"/>
          <w:szCs w:val="30"/>
          <w:highlight w:val="none"/>
          <w:lang w:val="en-US" w:eastAsia="zh-CN"/>
        </w:rPr>
        <w:t>一</w:t>
      </w:r>
      <w:r>
        <w:rPr>
          <w:rFonts w:hint="eastAsia" w:ascii="仿宋" w:hAnsi="仿宋" w:eastAsia="仿宋" w:cs="仿宋"/>
          <w:b/>
          <w:i w:val="0"/>
          <w:iCs w:val="0"/>
          <w:strike w:val="0"/>
          <w:dstrike w:val="0"/>
          <w:color w:val="auto"/>
          <w:sz w:val="30"/>
          <w:szCs w:val="30"/>
          <w:highlight w:val="none"/>
        </w:rPr>
        <w:t>、</w:t>
      </w:r>
      <w:r>
        <w:rPr>
          <w:rFonts w:hint="eastAsia" w:ascii="仿宋" w:hAnsi="仿宋" w:eastAsia="仿宋" w:cs="仿宋"/>
          <w:b/>
          <w:i w:val="0"/>
          <w:iCs w:val="0"/>
          <w:strike w:val="0"/>
          <w:dstrike w:val="0"/>
          <w:color w:val="auto"/>
          <w:sz w:val="30"/>
          <w:szCs w:val="30"/>
          <w:highlight w:val="none"/>
          <w:lang w:eastAsia="zh-CN"/>
        </w:rPr>
        <w:t>投标人</w:t>
      </w:r>
      <w:r>
        <w:rPr>
          <w:rFonts w:hint="eastAsia" w:ascii="仿宋" w:hAnsi="仿宋" w:eastAsia="仿宋" w:cs="仿宋"/>
          <w:b/>
          <w:i w:val="0"/>
          <w:iCs w:val="0"/>
          <w:strike w:val="0"/>
          <w:dstrike w:val="0"/>
          <w:color w:val="auto"/>
          <w:sz w:val="30"/>
          <w:szCs w:val="30"/>
          <w:highlight w:val="none"/>
        </w:rPr>
        <w:t>售后服务能力证明材料</w:t>
      </w:r>
    </w:p>
    <w:p w14:paraId="16D48AF1">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及</w:t>
      </w:r>
      <w:r>
        <w:rPr>
          <w:rFonts w:hint="eastAsia" w:ascii="仿宋" w:hAnsi="仿宋" w:eastAsia="仿宋" w:cs="仿宋"/>
          <w:i w:val="0"/>
          <w:iCs w:val="0"/>
          <w:strike w:val="0"/>
          <w:dstrike w:val="0"/>
          <w:color w:val="auto"/>
          <w:sz w:val="24"/>
          <w:highlight w:val="none"/>
          <w:lang w:val="en-US" w:eastAsia="zh-CN"/>
        </w:rPr>
        <w:t>招标</w:t>
      </w:r>
      <w:r>
        <w:rPr>
          <w:rFonts w:hint="eastAsia" w:ascii="仿宋" w:hAnsi="仿宋" w:eastAsia="仿宋" w:cs="仿宋"/>
          <w:i w:val="0"/>
          <w:iCs w:val="0"/>
          <w:strike w:val="0"/>
          <w:dstrike w:val="0"/>
          <w:color w:val="auto"/>
          <w:sz w:val="24"/>
          <w:highlight w:val="none"/>
        </w:rPr>
        <w:t>文件要求编制）</w:t>
      </w:r>
    </w:p>
    <w:p w14:paraId="0F6FE5CB">
      <w:pPr>
        <w:spacing w:line="336" w:lineRule="auto"/>
        <w:ind w:firstLine="3600" w:firstLineChars="1500"/>
        <w:rPr>
          <w:rFonts w:hint="eastAsia" w:ascii="仿宋" w:hAnsi="仿宋" w:eastAsia="仿宋" w:cs="仿宋"/>
          <w:i w:val="0"/>
          <w:iCs w:val="0"/>
          <w:strike w:val="0"/>
          <w:dstrike w:val="0"/>
          <w:color w:val="auto"/>
          <w:sz w:val="24"/>
          <w:highlight w:val="none"/>
        </w:rPr>
      </w:pPr>
    </w:p>
    <w:p w14:paraId="4BF39AA4">
      <w:pPr>
        <w:pStyle w:val="25"/>
        <w:rPr>
          <w:rFonts w:hint="eastAsia" w:ascii="仿宋" w:hAnsi="仿宋" w:eastAsia="仿宋" w:cs="仿宋"/>
          <w:i w:val="0"/>
          <w:iCs w:val="0"/>
          <w:strike w:val="0"/>
          <w:dstrike w:val="0"/>
          <w:color w:val="auto"/>
          <w:highlight w:val="none"/>
        </w:rPr>
      </w:pPr>
    </w:p>
    <w:p w14:paraId="0893FAD6">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297AD91B">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3ABD9A49">
      <w:pPr>
        <w:pageBreakBefore/>
        <w:spacing w:line="360" w:lineRule="auto"/>
        <w:jc w:val="center"/>
        <w:rPr>
          <w:rFonts w:hint="eastAsia" w:ascii="仿宋" w:hAnsi="仿宋" w:eastAsia="仿宋" w:cs="仿宋"/>
          <w:b/>
          <w:bCs/>
          <w:i w:val="0"/>
          <w:iCs w:val="0"/>
          <w:strike w:val="0"/>
          <w:dstrike w:val="0"/>
          <w:color w:val="auto"/>
          <w:sz w:val="32"/>
          <w:szCs w:val="32"/>
          <w:highlight w:val="none"/>
        </w:rPr>
      </w:pPr>
      <w:r>
        <w:rPr>
          <w:rFonts w:hint="eastAsia" w:ascii="仿宋" w:hAnsi="仿宋" w:eastAsia="仿宋" w:cs="仿宋"/>
          <w:b/>
          <w:bCs/>
          <w:i w:val="0"/>
          <w:iCs w:val="0"/>
          <w:strike w:val="0"/>
          <w:dstrike w:val="0"/>
          <w:color w:val="auto"/>
          <w:sz w:val="32"/>
          <w:szCs w:val="32"/>
          <w:highlight w:val="none"/>
        </w:rPr>
        <w:t>十</w:t>
      </w:r>
      <w:r>
        <w:rPr>
          <w:rFonts w:hint="eastAsia" w:ascii="仿宋" w:hAnsi="仿宋" w:eastAsia="仿宋" w:cs="仿宋"/>
          <w:b/>
          <w:bCs/>
          <w:i w:val="0"/>
          <w:iCs w:val="0"/>
          <w:strike w:val="0"/>
          <w:dstrike w:val="0"/>
          <w:color w:val="auto"/>
          <w:sz w:val="32"/>
          <w:szCs w:val="32"/>
          <w:highlight w:val="none"/>
          <w:lang w:val="en-US" w:eastAsia="zh-CN"/>
        </w:rPr>
        <w:t>二</w:t>
      </w:r>
      <w:r>
        <w:rPr>
          <w:rFonts w:hint="eastAsia" w:ascii="仿宋" w:hAnsi="仿宋" w:eastAsia="仿宋" w:cs="仿宋"/>
          <w:b/>
          <w:bCs/>
          <w:i w:val="0"/>
          <w:iCs w:val="0"/>
          <w:strike w:val="0"/>
          <w:dstrike w:val="0"/>
          <w:color w:val="auto"/>
          <w:sz w:val="32"/>
          <w:szCs w:val="32"/>
          <w:highlight w:val="none"/>
        </w:rPr>
        <w:t>、项目小组人员名单</w:t>
      </w:r>
    </w:p>
    <w:p w14:paraId="4610DB91">
      <w:pPr>
        <w:spacing w:line="360" w:lineRule="auto"/>
        <w:jc w:val="center"/>
        <w:rPr>
          <w:rFonts w:hint="eastAsia" w:ascii="仿宋" w:hAnsi="仿宋" w:eastAsia="仿宋" w:cs="仿宋"/>
          <w:b/>
          <w:bCs/>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及招标文件要求编制</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w:t>
      </w:r>
    </w:p>
    <w:p w14:paraId="31868207">
      <w:pPr>
        <w:keepNext/>
        <w:autoSpaceDE w:val="0"/>
        <w:autoSpaceDN w:val="0"/>
        <w:spacing w:line="360" w:lineRule="auto"/>
        <w:ind w:firstLine="477"/>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附表A:本项目的项目经理情况表</w:t>
      </w:r>
    </w:p>
    <w:tbl>
      <w:tblPr>
        <w:tblStyle w:val="64"/>
        <w:tblW w:w="9136" w:type="dxa"/>
        <w:tblInd w:w="0" w:type="dxa"/>
        <w:tblLayout w:type="fixed"/>
        <w:tblCellMar>
          <w:top w:w="0" w:type="dxa"/>
          <w:left w:w="108" w:type="dxa"/>
          <w:bottom w:w="0" w:type="dxa"/>
          <w:right w:w="108" w:type="dxa"/>
        </w:tblCellMar>
      </w:tblPr>
      <w:tblGrid>
        <w:gridCol w:w="2061"/>
        <w:gridCol w:w="1287"/>
        <w:gridCol w:w="1260"/>
        <w:gridCol w:w="4528"/>
      </w:tblGrid>
      <w:tr w14:paraId="0128A4BB">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74A77E3">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29349C1">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C10FB10">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页码</w:t>
            </w:r>
          </w:p>
        </w:tc>
        <w:tc>
          <w:tcPr>
            <w:tcW w:w="4528" w:type="dxa"/>
            <w:tcBorders>
              <w:top w:val="single" w:color="auto" w:sz="6" w:space="0"/>
              <w:left w:val="single" w:color="auto" w:sz="6" w:space="0"/>
              <w:bottom w:val="single" w:color="auto" w:sz="6" w:space="0"/>
              <w:right w:val="single" w:color="auto" w:sz="6" w:space="0"/>
            </w:tcBorders>
            <w:vAlign w:val="center"/>
          </w:tcPr>
          <w:p w14:paraId="50F26D23">
            <w:pPr>
              <w:autoSpaceDE w:val="0"/>
              <w:autoSpaceDN w:val="0"/>
              <w:spacing w:line="360" w:lineRule="auto"/>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截止投标时间近3年业绩及承担的主要工作情况，曾担任项目经理的项目应列明细</w:t>
            </w:r>
          </w:p>
        </w:tc>
      </w:tr>
      <w:tr w14:paraId="0D867E7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228067E">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68BBF30">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89CAD91">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restart"/>
            <w:tcBorders>
              <w:top w:val="single" w:color="auto" w:sz="6" w:space="0"/>
              <w:left w:val="single" w:color="auto" w:sz="6" w:space="0"/>
              <w:bottom w:val="single" w:color="auto" w:sz="6" w:space="0"/>
              <w:right w:val="single" w:color="auto" w:sz="6" w:space="0"/>
            </w:tcBorders>
            <w:vAlign w:val="center"/>
          </w:tcPr>
          <w:p w14:paraId="58A86395">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749BED81">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829D6C1">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F32A5AC">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E7B46E4">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52674F6D">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05C13566">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27D9E62">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E0149AE">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ECB76C0">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6BC468FE">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5F200F7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15F12EE">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AC4FC6A">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0407E37">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1BD5B8BD">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0213A84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4EBD341A">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6B56A6">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0284D69">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2F7D2027">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400AB8F1">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9F01251">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555982E">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0DB33AC">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49E9754F">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6434759F">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63D17F5">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32264BE">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6DD3B0C">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66ECA77A">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396E63F9">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709C5A4">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6287086">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D76982F">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163A8DD9">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r w14:paraId="2B084A25">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ABD194A">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083B119">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370EDB5">
            <w:pPr>
              <w:keepNext/>
              <w:keepLines/>
              <w:tabs>
                <w:tab w:val="left" w:pos="432"/>
              </w:tabs>
              <w:autoSpaceDE w:val="0"/>
              <w:autoSpaceDN w:val="0"/>
              <w:spacing w:line="360" w:lineRule="auto"/>
              <w:ind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4528" w:type="dxa"/>
            <w:vMerge w:val="continue"/>
            <w:tcBorders>
              <w:top w:val="single" w:color="auto" w:sz="6" w:space="0"/>
              <w:left w:val="single" w:color="auto" w:sz="6" w:space="0"/>
              <w:bottom w:val="single" w:color="auto" w:sz="6" w:space="0"/>
              <w:right w:val="single" w:color="auto" w:sz="6" w:space="0"/>
            </w:tcBorders>
            <w:vAlign w:val="center"/>
          </w:tcPr>
          <w:p w14:paraId="47738B64">
            <w:pPr>
              <w:keepNext/>
              <w:keepLines/>
              <w:tabs>
                <w:tab w:val="left" w:pos="432"/>
              </w:tabs>
              <w:autoSpaceDE w:val="0"/>
              <w:autoSpaceDN w:val="0"/>
              <w:spacing w:line="360" w:lineRule="auto"/>
              <w:ind w:hanging="432"/>
              <w:jc w:val="center"/>
              <w:outlineLvl w:val="0"/>
              <w:rPr>
                <w:rFonts w:hint="eastAsia" w:ascii="仿宋" w:hAnsi="仿宋" w:eastAsia="仿宋" w:cs="仿宋"/>
                <w:i w:val="0"/>
                <w:iCs w:val="0"/>
                <w:strike w:val="0"/>
                <w:dstrike w:val="0"/>
                <w:color w:val="auto"/>
                <w:sz w:val="24"/>
                <w:highlight w:val="none"/>
              </w:rPr>
            </w:pPr>
          </w:p>
        </w:tc>
      </w:tr>
    </w:tbl>
    <w:p w14:paraId="155FD714">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注：须随表提交相应的证书</w:t>
      </w:r>
      <w:r>
        <w:rPr>
          <w:rFonts w:hint="eastAsia" w:ascii="仿宋" w:hAnsi="仿宋" w:eastAsia="仿宋" w:cs="仿宋"/>
          <w:b/>
          <w:i w:val="0"/>
          <w:iCs w:val="0"/>
          <w:strike w:val="0"/>
          <w:dstrike w:val="0"/>
          <w:color w:val="auto"/>
          <w:sz w:val="24"/>
          <w:highlight w:val="none"/>
          <w:lang w:eastAsia="zh-CN"/>
        </w:rPr>
        <w:t>复制件</w:t>
      </w:r>
      <w:r>
        <w:rPr>
          <w:rFonts w:hint="eastAsia" w:ascii="仿宋" w:hAnsi="仿宋" w:eastAsia="仿宋" w:cs="仿宋"/>
          <w:b/>
          <w:i w:val="0"/>
          <w:iCs w:val="0"/>
          <w:strike w:val="0"/>
          <w:dstrike w:val="0"/>
          <w:color w:val="auto"/>
          <w:sz w:val="24"/>
          <w:highlight w:val="none"/>
        </w:rPr>
        <w:t>并注明所在投标技术文件页码。</w:t>
      </w:r>
    </w:p>
    <w:p w14:paraId="0D29598B">
      <w:pPr>
        <w:pStyle w:val="25"/>
        <w:rPr>
          <w:rFonts w:hint="eastAsia" w:ascii="仿宋" w:hAnsi="仿宋" w:eastAsia="仿宋" w:cs="仿宋"/>
          <w:i w:val="0"/>
          <w:iCs w:val="0"/>
          <w:strike w:val="0"/>
          <w:dstrike w:val="0"/>
          <w:color w:val="auto"/>
          <w:highlight w:val="none"/>
        </w:rPr>
      </w:pPr>
    </w:p>
    <w:p w14:paraId="338188D8">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附表B:本项目的项目小组人员情况表</w:t>
      </w:r>
      <w:r>
        <w:rPr>
          <w:rFonts w:hint="eastAsia" w:ascii="仿宋" w:hAnsi="仿宋" w:eastAsia="仿宋" w:cs="仿宋"/>
          <w:i w:val="0"/>
          <w:iCs w:val="0"/>
          <w:strike w:val="0"/>
          <w:dstrike w:val="0"/>
          <w:color w:val="auto"/>
          <w:sz w:val="24"/>
          <w:highlight w:val="none"/>
        </w:rPr>
        <w:t>（按此格式自制）</w:t>
      </w:r>
    </w:p>
    <w:tbl>
      <w:tblPr>
        <w:tblStyle w:val="64"/>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B3240B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94E6A97">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7E97C613">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5F1323C">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4467D787">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2933B26">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学历</w:t>
            </w:r>
          </w:p>
          <w:p w14:paraId="083CF878">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F68FF48">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专业</w:t>
            </w:r>
          </w:p>
          <w:p w14:paraId="27C546C4">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239B980">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职称</w:t>
            </w:r>
          </w:p>
          <w:p w14:paraId="0BDD4562">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CC539ED">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361FEBF">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2C24125C">
            <w:pPr>
              <w:autoSpaceDE w:val="0"/>
              <w:autoSpaceDN w:val="0"/>
              <w:spacing w:line="360" w:lineRule="auto"/>
              <w:jc w:val="center"/>
              <w:textAlignment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参与本项目的到位情况</w:t>
            </w:r>
          </w:p>
        </w:tc>
      </w:tr>
      <w:tr w14:paraId="19F25F26">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FC81E88">
            <w:pPr>
              <w:keepNext/>
              <w:keepLines/>
              <w:tabs>
                <w:tab w:val="left" w:pos="432"/>
              </w:tabs>
              <w:autoSpaceDE w:val="0"/>
              <w:autoSpaceDN w:val="0"/>
              <w:spacing w:line="360" w:lineRule="auto"/>
              <w:ind w:left="432"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C5683F0">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28B4190">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8FCA2B4">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223F37F">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E7A7FAC">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2FCF99">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3C519E2">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B34C7A6">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DB030B6">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r>
      <w:tr w14:paraId="5E505FA7">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260CE47E">
            <w:pPr>
              <w:keepNext/>
              <w:keepLines/>
              <w:tabs>
                <w:tab w:val="left" w:pos="432"/>
              </w:tabs>
              <w:autoSpaceDE w:val="0"/>
              <w:autoSpaceDN w:val="0"/>
              <w:spacing w:line="360" w:lineRule="auto"/>
              <w:ind w:left="432" w:hanging="432"/>
              <w:jc w:val="center"/>
              <w:textAlignment w:val="center"/>
              <w:outlineLvl w:val="0"/>
              <w:rPr>
                <w:rFonts w:hint="eastAsia" w:ascii="仿宋" w:hAnsi="仿宋" w:eastAsia="仿宋" w:cs="仿宋"/>
                <w:i w:val="0"/>
                <w:iCs w:val="0"/>
                <w:strike w:val="0"/>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9E83980">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A237D73">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5EEF2FA">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93A12FD">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FF8C94">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DFF67F2">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2F45F69">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B2096AF">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A427665">
            <w:pPr>
              <w:keepNext/>
              <w:keepLines/>
              <w:tabs>
                <w:tab w:val="left" w:pos="432"/>
              </w:tabs>
              <w:autoSpaceDE w:val="0"/>
              <w:autoSpaceDN w:val="0"/>
              <w:spacing w:line="360" w:lineRule="auto"/>
              <w:ind w:left="432" w:hanging="432"/>
              <w:textAlignment w:val="center"/>
              <w:outlineLvl w:val="0"/>
              <w:rPr>
                <w:rFonts w:hint="eastAsia" w:ascii="仿宋" w:hAnsi="仿宋" w:eastAsia="仿宋" w:cs="仿宋"/>
                <w:i w:val="0"/>
                <w:iCs w:val="0"/>
                <w:strike w:val="0"/>
                <w:dstrike w:val="0"/>
                <w:color w:val="auto"/>
                <w:sz w:val="24"/>
                <w:highlight w:val="none"/>
              </w:rPr>
            </w:pPr>
          </w:p>
        </w:tc>
      </w:tr>
    </w:tbl>
    <w:p w14:paraId="59E582AD">
      <w:pPr>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w:t>
      </w:r>
      <w:r>
        <w:rPr>
          <w:rFonts w:hint="eastAsia" w:ascii="仿宋" w:hAnsi="仿宋" w:eastAsia="仿宋" w:cs="仿宋"/>
          <w:b/>
          <w:i w:val="0"/>
          <w:iCs w:val="0"/>
          <w:strike w:val="0"/>
          <w:dstrike w:val="0"/>
          <w:color w:val="auto"/>
          <w:sz w:val="24"/>
          <w:highlight w:val="none"/>
          <w:lang w:eastAsia="zh-CN"/>
        </w:rPr>
        <w:t>投标人</w:t>
      </w:r>
      <w:r>
        <w:rPr>
          <w:rFonts w:hint="eastAsia" w:ascii="仿宋" w:hAnsi="仿宋" w:eastAsia="仿宋" w:cs="仿宋"/>
          <w:b/>
          <w:i w:val="0"/>
          <w:iCs w:val="0"/>
          <w:strike w:val="0"/>
          <w:dstrike w:val="0"/>
          <w:color w:val="auto"/>
          <w:sz w:val="24"/>
          <w:highlight w:val="none"/>
        </w:rPr>
        <w:t>可按上述的格式自行编制，须随表提交相应的证书</w:t>
      </w:r>
      <w:r>
        <w:rPr>
          <w:rFonts w:hint="eastAsia" w:ascii="仿宋" w:hAnsi="仿宋" w:eastAsia="仿宋" w:cs="仿宋"/>
          <w:b/>
          <w:i w:val="0"/>
          <w:iCs w:val="0"/>
          <w:strike w:val="0"/>
          <w:dstrike w:val="0"/>
          <w:color w:val="auto"/>
          <w:sz w:val="24"/>
          <w:highlight w:val="none"/>
          <w:lang w:eastAsia="zh-CN"/>
        </w:rPr>
        <w:t>复制件</w:t>
      </w:r>
      <w:r>
        <w:rPr>
          <w:rFonts w:hint="eastAsia" w:ascii="仿宋" w:hAnsi="仿宋" w:eastAsia="仿宋" w:cs="仿宋"/>
          <w:b/>
          <w:i w:val="0"/>
          <w:iCs w:val="0"/>
          <w:strike w:val="0"/>
          <w:dstrike w:val="0"/>
          <w:color w:val="auto"/>
          <w:sz w:val="24"/>
          <w:highlight w:val="none"/>
        </w:rPr>
        <w:t>并注明所在投标技术文件页码。</w:t>
      </w:r>
    </w:p>
    <w:p w14:paraId="66955972">
      <w:pPr>
        <w:spacing w:line="360" w:lineRule="auto"/>
        <w:rPr>
          <w:rFonts w:hint="eastAsia" w:ascii="仿宋" w:hAnsi="仿宋" w:eastAsia="仿宋" w:cs="仿宋"/>
          <w:b/>
          <w:bCs/>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附表C:本项目的项目负责人和小组人员社会保障资金记录情况表</w:t>
      </w:r>
      <w:r>
        <w:rPr>
          <w:rFonts w:hint="eastAsia" w:ascii="仿宋" w:hAnsi="仿宋" w:eastAsia="仿宋" w:cs="仿宋"/>
          <w:i w:val="0"/>
          <w:iCs w:val="0"/>
          <w:strike w:val="0"/>
          <w:dstrike w:val="0"/>
          <w:color w:val="auto"/>
          <w:sz w:val="24"/>
          <w:highlight w:val="none"/>
        </w:rPr>
        <w:t>（以社保部门出具缴纳凭证作附件）</w:t>
      </w:r>
    </w:p>
    <w:p w14:paraId="7E65FF5E">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w:t>
      </w:r>
    </w:p>
    <w:p w14:paraId="1AD3756C">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7E9C0315">
      <w:pPr>
        <w:spacing w:line="336" w:lineRule="auto"/>
        <w:jc w:val="center"/>
        <w:rPr>
          <w:rFonts w:hint="eastAsia" w:ascii="仿宋" w:hAnsi="仿宋" w:eastAsia="仿宋" w:cs="仿宋"/>
          <w:i w:val="0"/>
          <w:iCs w:val="0"/>
          <w:strike w:val="0"/>
          <w:dstrike w:val="0"/>
          <w:color w:val="auto"/>
          <w:sz w:val="24"/>
          <w:highlight w:val="none"/>
        </w:rPr>
      </w:pPr>
    </w:p>
    <w:p w14:paraId="20D10ACF">
      <w:pPr>
        <w:snapToGrid w:val="0"/>
        <w:spacing w:line="360" w:lineRule="auto"/>
        <w:ind w:right="960"/>
        <w:jc w:val="center"/>
        <w:rPr>
          <w:rFonts w:hint="eastAsia" w:ascii="仿宋" w:hAnsi="仿宋" w:eastAsia="仿宋" w:cs="仿宋"/>
          <w:b/>
          <w:i w:val="0"/>
          <w:iCs w:val="0"/>
          <w:strike w:val="0"/>
          <w:dstrike w:val="0"/>
          <w:color w:val="auto"/>
          <w:kern w:val="0"/>
          <w:sz w:val="32"/>
          <w:szCs w:val="32"/>
          <w:highlight w:val="none"/>
          <w:lang w:val="zh-CN"/>
        </w:rPr>
      </w:pPr>
      <w:r>
        <w:rPr>
          <w:rFonts w:hint="eastAsia" w:ascii="仿宋" w:hAnsi="仿宋" w:eastAsia="仿宋" w:cs="仿宋"/>
          <w:b/>
          <w:bCs/>
          <w:i w:val="0"/>
          <w:iCs w:val="0"/>
          <w:strike w:val="0"/>
          <w:dstrike w:val="0"/>
          <w:color w:val="auto"/>
          <w:sz w:val="32"/>
          <w:szCs w:val="32"/>
          <w:highlight w:val="none"/>
        </w:rPr>
        <w:t>十</w:t>
      </w:r>
      <w:r>
        <w:rPr>
          <w:rFonts w:hint="eastAsia" w:ascii="仿宋" w:hAnsi="仿宋" w:eastAsia="仿宋" w:cs="仿宋"/>
          <w:b/>
          <w:bCs/>
          <w:i w:val="0"/>
          <w:iCs w:val="0"/>
          <w:strike w:val="0"/>
          <w:dstrike w:val="0"/>
          <w:color w:val="auto"/>
          <w:sz w:val="32"/>
          <w:szCs w:val="32"/>
          <w:highlight w:val="none"/>
          <w:lang w:val="en-US" w:eastAsia="zh-CN"/>
        </w:rPr>
        <w:t>三</w:t>
      </w:r>
      <w:r>
        <w:rPr>
          <w:rFonts w:hint="eastAsia" w:ascii="仿宋" w:hAnsi="仿宋" w:eastAsia="仿宋" w:cs="仿宋"/>
          <w:b/>
          <w:bCs/>
          <w:i w:val="0"/>
          <w:iCs w:val="0"/>
          <w:strike w:val="0"/>
          <w:dstrike w:val="0"/>
          <w:color w:val="auto"/>
          <w:sz w:val="32"/>
          <w:szCs w:val="32"/>
          <w:highlight w:val="none"/>
        </w:rPr>
        <w:t>、</w:t>
      </w:r>
      <w:r>
        <w:rPr>
          <w:rFonts w:hint="eastAsia" w:ascii="仿宋" w:hAnsi="仿宋" w:eastAsia="仿宋" w:cs="仿宋"/>
          <w:b/>
          <w:i w:val="0"/>
          <w:iCs w:val="0"/>
          <w:strike w:val="0"/>
          <w:dstrike w:val="0"/>
          <w:color w:val="auto"/>
          <w:kern w:val="0"/>
          <w:sz w:val="32"/>
          <w:szCs w:val="32"/>
          <w:highlight w:val="none"/>
          <w:lang w:val="zh-CN"/>
        </w:rPr>
        <w:t>优惠条件及特殊承诺</w:t>
      </w:r>
    </w:p>
    <w:p w14:paraId="4ABD8166">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自行编制）</w:t>
      </w:r>
    </w:p>
    <w:p w14:paraId="33826364">
      <w:pPr>
        <w:spacing w:line="360" w:lineRule="auto"/>
        <w:rPr>
          <w:rFonts w:hint="eastAsia" w:ascii="仿宋" w:hAnsi="仿宋" w:eastAsia="仿宋" w:cs="仿宋"/>
          <w:i w:val="0"/>
          <w:iCs w:val="0"/>
          <w:strike w:val="0"/>
          <w:dstrike w:val="0"/>
          <w:color w:val="auto"/>
          <w:sz w:val="18"/>
          <w:szCs w:val="18"/>
          <w:highlight w:val="none"/>
        </w:rPr>
      </w:pPr>
    </w:p>
    <w:p w14:paraId="38620BB0">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203933C3">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18C21F94">
      <w:pPr>
        <w:pStyle w:val="25"/>
        <w:rPr>
          <w:rFonts w:hint="eastAsia" w:ascii="仿宋" w:hAnsi="仿宋" w:eastAsia="仿宋" w:cs="仿宋"/>
          <w:i w:val="0"/>
          <w:iCs w:val="0"/>
          <w:strike w:val="0"/>
          <w:dstrike w:val="0"/>
          <w:color w:val="auto"/>
          <w:highlight w:val="none"/>
        </w:rPr>
      </w:pPr>
    </w:p>
    <w:p w14:paraId="6CEBCF0B">
      <w:pPr>
        <w:spacing w:line="360" w:lineRule="auto"/>
        <w:jc w:val="center"/>
        <w:rPr>
          <w:rFonts w:hint="eastAsia" w:ascii="仿宋" w:hAnsi="仿宋" w:eastAsia="仿宋" w:cs="仿宋"/>
          <w:b/>
          <w:i w:val="0"/>
          <w:iCs w:val="0"/>
          <w:strike w:val="0"/>
          <w:dstrike w:val="0"/>
          <w:color w:val="auto"/>
          <w:kern w:val="0"/>
          <w:sz w:val="32"/>
          <w:szCs w:val="32"/>
          <w:highlight w:val="none"/>
          <w:lang w:val="zh-CN"/>
        </w:rPr>
      </w:pPr>
      <w:r>
        <w:rPr>
          <w:rFonts w:hint="eastAsia" w:ascii="仿宋" w:hAnsi="仿宋" w:eastAsia="仿宋" w:cs="仿宋"/>
          <w:b/>
          <w:bCs/>
          <w:i w:val="0"/>
          <w:iCs w:val="0"/>
          <w:strike w:val="0"/>
          <w:dstrike w:val="0"/>
          <w:color w:val="auto"/>
          <w:sz w:val="32"/>
          <w:szCs w:val="32"/>
          <w:highlight w:val="none"/>
        </w:rPr>
        <w:t>十</w:t>
      </w:r>
      <w:r>
        <w:rPr>
          <w:rFonts w:hint="eastAsia" w:ascii="仿宋" w:hAnsi="仿宋" w:eastAsia="仿宋" w:cs="仿宋"/>
          <w:b/>
          <w:bCs/>
          <w:i w:val="0"/>
          <w:iCs w:val="0"/>
          <w:strike w:val="0"/>
          <w:dstrike w:val="0"/>
          <w:color w:val="auto"/>
          <w:sz w:val="32"/>
          <w:szCs w:val="32"/>
          <w:highlight w:val="none"/>
          <w:lang w:val="en-US" w:eastAsia="zh-CN"/>
        </w:rPr>
        <w:t>四</w:t>
      </w:r>
      <w:r>
        <w:rPr>
          <w:rFonts w:hint="eastAsia" w:ascii="仿宋" w:hAnsi="仿宋" w:eastAsia="仿宋" w:cs="仿宋"/>
          <w:b/>
          <w:bCs/>
          <w:i w:val="0"/>
          <w:iCs w:val="0"/>
          <w:strike w:val="0"/>
          <w:dstrike w:val="0"/>
          <w:color w:val="auto"/>
          <w:sz w:val="32"/>
          <w:szCs w:val="32"/>
          <w:highlight w:val="none"/>
        </w:rPr>
        <w:t>、</w:t>
      </w:r>
      <w:r>
        <w:rPr>
          <w:rFonts w:hint="eastAsia" w:ascii="仿宋" w:hAnsi="仿宋" w:eastAsia="仿宋" w:cs="仿宋"/>
          <w:b/>
          <w:i w:val="0"/>
          <w:iCs w:val="0"/>
          <w:strike w:val="0"/>
          <w:dstrike w:val="0"/>
          <w:color w:val="auto"/>
          <w:kern w:val="0"/>
          <w:sz w:val="32"/>
          <w:szCs w:val="32"/>
          <w:highlight w:val="none"/>
          <w:lang w:val="zh-CN"/>
        </w:rPr>
        <w:t>备品备件及供选择的配套零部件清单</w:t>
      </w:r>
    </w:p>
    <w:p w14:paraId="63320C43">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自行编制）</w:t>
      </w:r>
    </w:p>
    <w:p w14:paraId="2408360D">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341B4AC0">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32BAEBAB">
      <w:pPr>
        <w:pStyle w:val="25"/>
        <w:rPr>
          <w:rFonts w:hint="eastAsia" w:ascii="仿宋" w:hAnsi="仿宋" w:eastAsia="仿宋" w:cs="仿宋"/>
          <w:i w:val="0"/>
          <w:iCs w:val="0"/>
          <w:strike w:val="0"/>
          <w:dstrike w:val="0"/>
          <w:color w:val="auto"/>
          <w:highlight w:val="none"/>
        </w:rPr>
      </w:pPr>
    </w:p>
    <w:p w14:paraId="3271766B">
      <w:pPr>
        <w:spacing w:line="360" w:lineRule="auto"/>
        <w:jc w:val="center"/>
        <w:rPr>
          <w:rFonts w:hint="eastAsia" w:ascii="仿宋" w:hAnsi="仿宋" w:eastAsia="仿宋" w:cs="仿宋"/>
          <w:b/>
          <w:i w:val="0"/>
          <w:iCs w:val="0"/>
          <w:strike w:val="0"/>
          <w:dstrike w:val="0"/>
          <w:color w:val="auto"/>
          <w:kern w:val="0"/>
          <w:sz w:val="32"/>
          <w:szCs w:val="32"/>
          <w:highlight w:val="none"/>
          <w:lang w:val="zh-CN"/>
        </w:rPr>
      </w:pPr>
      <w:r>
        <w:rPr>
          <w:rFonts w:hint="eastAsia" w:ascii="仿宋" w:hAnsi="仿宋" w:eastAsia="仿宋" w:cs="仿宋"/>
          <w:b/>
          <w:bCs/>
          <w:i w:val="0"/>
          <w:iCs w:val="0"/>
          <w:strike w:val="0"/>
          <w:dstrike w:val="0"/>
          <w:color w:val="auto"/>
          <w:sz w:val="32"/>
          <w:szCs w:val="32"/>
          <w:highlight w:val="none"/>
        </w:rPr>
        <w:t>十</w:t>
      </w:r>
      <w:r>
        <w:rPr>
          <w:rFonts w:hint="eastAsia" w:ascii="仿宋" w:hAnsi="仿宋" w:eastAsia="仿宋" w:cs="仿宋"/>
          <w:b/>
          <w:bCs/>
          <w:i w:val="0"/>
          <w:iCs w:val="0"/>
          <w:strike w:val="0"/>
          <w:dstrike w:val="0"/>
          <w:color w:val="auto"/>
          <w:sz w:val="32"/>
          <w:szCs w:val="32"/>
          <w:highlight w:val="none"/>
          <w:lang w:val="en-US" w:eastAsia="zh-CN"/>
        </w:rPr>
        <w:t>五</w:t>
      </w:r>
      <w:r>
        <w:rPr>
          <w:rFonts w:hint="eastAsia" w:ascii="仿宋" w:hAnsi="仿宋" w:eastAsia="仿宋" w:cs="仿宋"/>
          <w:b/>
          <w:bCs/>
          <w:i w:val="0"/>
          <w:iCs w:val="0"/>
          <w:strike w:val="0"/>
          <w:dstrike w:val="0"/>
          <w:color w:val="auto"/>
          <w:sz w:val="32"/>
          <w:szCs w:val="32"/>
          <w:highlight w:val="none"/>
        </w:rPr>
        <w:t>、</w:t>
      </w:r>
      <w:r>
        <w:rPr>
          <w:rFonts w:hint="eastAsia" w:ascii="仿宋" w:hAnsi="仿宋" w:eastAsia="仿宋" w:cs="仿宋"/>
          <w:b/>
          <w:i w:val="0"/>
          <w:iCs w:val="0"/>
          <w:strike w:val="0"/>
          <w:dstrike w:val="0"/>
          <w:color w:val="auto"/>
          <w:kern w:val="0"/>
          <w:sz w:val="32"/>
          <w:szCs w:val="32"/>
          <w:highlight w:val="none"/>
          <w:lang w:val="zh-CN"/>
        </w:rPr>
        <w:t>培训计划</w:t>
      </w:r>
    </w:p>
    <w:p w14:paraId="2A533574">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自行编制</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未要求的，无需提供</w:t>
      </w:r>
      <w:r>
        <w:rPr>
          <w:rFonts w:hint="eastAsia" w:ascii="仿宋" w:hAnsi="仿宋" w:eastAsia="仿宋" w:cs="仿宋"/>
          <w:i w:val="0"/>
          <w:iCs w:val="0"/>
          <w:strike w:val="0"/>
          <w:dstrike w:val="0"/>
          <w:color w:val="auto"/>
          <w:sz w:val="24"/>
          <w:highlight w:val="none"/>
          <w:lang w:eastAsia="zh-CN"/>
        </w:rPr>
        <w:t>。</w:t>
      </w:r>
      <w:r>
        <w:rPr>
          <w:rFonts w:hint="eastAsia" w:ascii="仿宋" w:hAnsi="仿宋" w:eastAsia="仿宋" w:cs="仿宋"/>
          <w:i w:val="0"/>
          <w:iCs w:val="0"/>
          <w:strike w:val="0"/>
          <w:dstrike w:val="0"/>
          <w:color w:val="auto"/>
          <w:sz w:val="24"/>
          <w:highlight w:val="none"/>
        </w:rPr>
        <w:t>）</w:t>
      </w:r>
    </w:p>
    <w:p w14:paraId="7FE016E7">
      <w:pPr>
        <w:keepNext/>
        <w:autoSpaceDE w:val="0"/>
        <w:autoSpaceDN w:val="0"/>
        <w:spacing w:line="360" w:lineRule="auto"/>
        <w:ind w:firstLine="477"/>
        <w:jc w:val="left"/>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附表: 培训日程及费用</w:t>
      </w:r>
    </w:p>
    <w:tbl>
      <w:tblPr>
        <w:tblStyle w:val="64"/>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45965BBA">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18429A7E">
            <w:pPr>
              <w:tabs>
                <w:tab w:val="center" w:pos="1690"/>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11120314">
            <w:pPr>
              <w:tabs>
                <w:tab w:val="center" w:pos="595"/>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68173A5A">
            <w:pPr>
              <w:tabs>
                <w:tab w:val="center" w:pos="595"/>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568492C0">
            <w:pPr>
              <w:tabs>
                <w:tab w:val="center" w:pos="1028"/>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1A6F6D9F">
            <w:pPr>
              <w:tabs>
                <w:tab w:val="center" w:pos="595"/>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3FC4BA30">
            <w:pPr>
              <w:tabs>
                <w:tab w:val="center" w:pos="520"/>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35D248E4">
            <w:pPr>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课程费用</w:t>
            </w:r>
          </w:p>
        </w:tc>
      </w:tr>
      <w:tr w14:paraId="6ACFDDFF">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05B1776">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27E4095E">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930" w:type="dxa"/>
            <w:tcBorders>
              <w:top w:val="single" w:color="auto" w:sz="6" w:space="0"/>
              <w:left w:val="single" w:color="auto" w:sz="6" w:space="0"/>
              <w:bottom w:val="nil"/>
              <w:right w:val="nil"/>
            </w:tcBorders>
          </w:tcPr>
          <w:p w14:paraId="77988326">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953" w:type="dxa"/>
            <w:tcBorders>
              <w:top w:val="single" w:color="auto" w:sz="6" w:space="0"/>
              <w:left w:val="single" w:color="auto" w:sz="6" w:space="0"/>
              <w:bottom w:val="nil"/>
              <w:right w:val="nil"/>
            </w:tcBorders>
          </w:tcPr>
          <w:p w14:paraId="0ECF5746">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305" w:type="dxa"/>
            <w:tcBorders>
              <w:top w:val="single" w:color="auto" w:sz="6" w:space="0"/>
              <w:left w:val="single" w:color="auto" w:sz="6" w:space="0"/>
              <w:bottom w:val="nil"/>
              <w:right w:val="nil"/>
            </w:tcBorders>
          </w:tcPr>
          <w:p w14:paraId="53CAD991">
            <w:pPr>
              <w:keepNext/>
              <w:keepLines/>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276" w:type="dxa"/>
            <w:tcBorders>
              <w:top w:val="single" w:color="auto" w:sz="6" w:space="0"/>
              <w:left w:val="single" w:color="auto" w:sz="6" w:space="0"/>
              <w:bottom w:val="nil"/>
              <w:right w:val="nil"/>
            </w:tcBorders>
          </w:tcPr>
          <w:p w14:paraId="2EA8C5E2">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32E93C9A">
            <w:pPr>
              <w:keepNext/>
              <w:keepLines/>
              <w:tabs>
                <w:tab w:val="left" w:pos="432"/>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r>
      <w:tr w14:paraId="5A44F122">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7979B324">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5D4CEA9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4A705EB">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2DB26839">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683DE6EC">
            <w:pPr>
              <w:keepNext/>
              <w:keepLines/>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774E116D">
            <w:pPr>
              <w:keepNext/>
              <w:keepLines/>
              <w:tabs>
                <w:tab w:val="left" w:pos="7"/>
                <w:tab w:val="left" w:pos="432"/>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5D917D79">
            <w:pPr>
              <w:keepNext/>
              <w:keepLines/>
              <w:tabs>
                <w:tab w:val="left" w:pos="432"/>
              </w:tabs>
              <w:suppressAutoHyphens/>
              <w:autoSpaceDE w:val="0"/>
              <w:autoSpaceDN w:val="0"/>
              <w:spacing w:line="360" w:lineRule="auto"/>
              <w:ind w:hanging="432"/>
              <w:outlineLvl w:val="0"/>
              <w:rPr>
                <w:rFonts w:hint="eastAsia" w:ascii="仿宋" w:hAnsi="仿宋" w:eastAsia="仿宋" w:cs="仿宋"/>
                <w:i w:val="0"/>
                <w:iCs w:val="0"/>
                <w:strike w:val="0"/>
                <w:dstrike w:val="0"/>
                <w:color w:val="auto"/>
                <w:sz w:val="24"/>
                <w:highlight w:val="none"/>
              </w:rPr>
            </w:pPr>
          </w:p>
        </w:tc>
      </w:tr>
    </w:tbl>
    <w:p w14:paraId="7DB37429">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注解:A</w:t>
      </w:r>
      <w:r>
        <w:rPr>
          <w:rFonts w:hint="eastAsia" w:ascii="仿宋" w:hAnsi="仿宋" w:eastAsia="仿宋" w:cs="仿宋"/>
          <w:i w:val="0"/>
          <w:iCs w:val="0"/>
          <w:strike w:val="0"/>
          <w:dstrike w:val="0"/>
          <w:color w:val="auto"/>
          <w:sz w:val="24"/>
          <w:highlight w:val="none"/>
        </w:rPr>
        <w:tab/>
      </w:r>
      <w:r>
        <w:rPr>
          <w:rFonts w:hint="eastAsia" w:ascii="仿宋" w:hAnsi="仿宋" w:eastAsia="仿宋" w:cs="仿宋"/>
          <w:i w:val="0"/>
          <w:iCs w:val="0"/>
          <w:strike w:val="0"/>
          <w:dstrike w:val="0"/>
          <w:color w:val="auto"/>
          <w:sz w:val="24"/>
          <w:highlight w:val="none"/>
        </w:rPr>
        <w:t>课程清单按时间顺序排列，并提供以下详细资料：</w:t>
      </w:r>
    </w:p>
    <w:p w14:paraId="3CE5A934">
      <w:pPr>
        <w:numPr>
          <w:ilvl w:val="0"/>
          <w:numId w:val="11"/>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课程概要</w:t>
      </w:r>
    </w:p>
    <w:p w14:paraId="1E7E9DDF">
      <w:pPr>
        <w:numPr>
          <w:ilvl w:val="0"/>
          <w:numId w:val="11"/>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课程目的</w:t>
      </w:r>
    </w:p>
    <w:p w14:paraId="66B6CB11">
      <w:pPr>
        <w:numPr>
          <w:ilvl w:val="0"/>
          <w:numId w:val="11"/>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教学方式</w:t>
      </w:r>
    </w:p>
    <w:p w14:paraId="0D77B1C3">
      <w:pPr>
        <w:numPr>
          <w:ilvl w:val="0"/>
          <w:numId w:val="11"/>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先决条件</w:t>
      </w:r>
    </w:p>
    <w:p w14:paraId="6C044EB5">
      <w:pPr>
        <w:numPr>
          <w:ilvl w:val="0"/>
          <w:numId w:val="11"/>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教材目录</w:t>
      </w:r>
    </w:p>
    <w:p w14:paraId="0031F22C">
      <w:pPr>
        <w:autoSpaceDE w:val="0"/>
        <w:autoSpaceDN w:val="0"/>
        <w:spacing w:line="360" w:lineRule="auto"/>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B  按照附表A提供授课教师的简历</w:t>
      </w:r>
    </w:p>
    <w:p w14:paraId="50F7D0FE">
      <w:pPr>
        <w:autoSpaceDE w:val="0"/>
        <w:autoSpaceDN w:val="0"/>
        <w:spacing w:line="360" w:lineRule="auto"/>
        <w:rPr>
          <w:rFonts w:hint="eastAsia" w:ascii="仿宋" w:hAnsi="仿宋" w:eastAsia="仿宋" w:cs="仿宋"/>
          <w:b/>
          <w:i w:val="0"/>
          <w:iCs w:val="0"/>
          <w:strike w:val="0"/>
          <w:dstrike w:val="0"/>
          <w:color w:val="auto"/>
          <w:sz w:val="24"/>
          <w:highlight w:val="none"/>
        </w:rPr>
      </w:pPr>
      <w:r>
        <w:rPr>
          <w:rFonts w:hint="eastAsia" w:ascii="仿宋" w:hAnsi="仿宋" w:eastAsia="仿宋" w:cs="仿宋"/>
          <w:b/>
          <w:i w:val="0"/>
          <w:iCs w:val="0"/>
          <w:strike w:val="0"/>
          <w:dstrike w:val="0"/>
          <w:color w:val="auto"/>
          <w:sz w:val="24"/>
          <w:highlight w:val="none"/>
        </w:rPr>
        <w:t>注：须随表提交相应的证书</w:t>
      </w:r>
      <w:r>
        <w:rPr>
          <w:rFonts w:hint="eastAsia" w:ascii="仿宋" w:hAnsi="仿宋" w:eastAsia="仿宋" w:cs="仿宋"/>
          <w:b/>
          <w:i w:val="0"/>
          <w:iCs w:val="0"/>
          <w:strike w:val="0"/>
          <w:dstrike w:val="0"/>
          <w:color w:val="auto"/>
          <w:sz w:val="24"/>
          <w:highlight w:val="none"/>
          <w:lang w:eastAsia="zh-CN"/>
        </w:rPr>
        <w:t>复制件</w:t>
      </w:r>
      <w:r>
        <w:rPr>
          <w:rFonts w:hint="eastAsia" w:ascii="仿宋" w:hAnsi="仿宋" w:eastAsia="仿宋" w:cs="仿宋"/>
          <w:b/>
          <w:i w:val="0"/>
          <w:iCs w:val="0"/>
          <w:strike w:val="0"/>
          <w:dstrike w:val="0"/>
          <w:color w:val="auto"/>
          <w:sz w:val="24"/>
          <w:highlight w:val="none"/>
        </w:rPr>
        <w:t>并注明所在投标技术文件页码。</w:t>
      </w:r>
    </w:p>
    <w:p w14:paraId="5D7E755D">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10E0A63B">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4433C21C">
      <w:pPr>
        <w:pageBreakBefore/>
        <w:spacing w:line="360" w:lineRule="auto"/>
        <w:jc w:val="center"/>
        <w:rPr>
          <w:rFonts w:hint="eastAsia" w:ascii="仿宋" w:hAnsi="仿宋" w:eastAsia="仿宋" w:cs="仿宋"/>
          <w:b/>
          <w:bCs/>
          <w:i w:val="0"/>
          <w:iCs w:val="0"/>
          <w:strike w:val="0"/>
          <w:dstrike w:val="0"/>
          <w:color w:val="auto"/>
          <w:sz w:val="32"/>
          <w:szCs w:val="32"/>
          <w:highlight w:val="none"/>
        </w:rPr>
      </w:pPr>
      <w:r>
        <w:rPr>
          <w:rFonts w:hint="eastAsia" w:ascii="仿宋" w:hAnsi="仿宋" w:eastAsia="仿宋" w:cs="仿宋"/>
          <w:b/>
          <w:bCs/>
          <w:i w:val="0"/>
          <w:iCs w:val="0"/>
          <w:strike w:val="0"/>
          <w:dstrike w:val="0"/>
          <w:color w:val="auto"/>
          <w:sz w:val="32"/>
          <w:szCs w:val="32"/>
          <w:highlight w:val="none"/>
        </w:rPr>
        <w:t>十</w:t>
      </w:r>
      <w:r>
        <w:rPr>
          <w:rFonts w:hint="eastAsia" w:ascii="仿宋" w:hAnsi="仿宋" w:eastAsia="仿宋" w:cs="仿宋"/>
          <w:b/>
          <w:bCs/>
          <w:i w:val="0"/>
          <w:iCs w:val="0"/>
          <w:strike w:val="0"/>
          <w:dstrike w:val="0"/>
          <w:color w:val="auto"/>
          <w:sz w:val="32"/>
          <w:szCs w:val="32"/>
          <w:highlight w:val="none"/>
          <w:lang w:val="en-US" w:eastAsia="zh-CN"/>
        </w:rPr>
        <w:t>六</w:t>
      </w:r>
      <w:r>
        <w:rPr>
          <w:rFonts w:hint="eastAsia" w:ascii="仿宋" w:hAnsi="仿宋" w:eastAsia="仿宋" w:cs="仿宋"/>
          <w:b/>
          <w:bCs/>
          <w:i w:val="0"/>
          <w:iCs w:val="0"/>
          <w:strike w:val="0"/>
          <w:dstrike w:val="0"/>
          <w:color w:val="auto"/>
          <w:sz w:val="32"/>
          <w:szCs w:val="32"/>
          <w:highlight w:val="none"/>
        </w:rPr>
        <w:t>、验收方案</w:t>
      </w:r>
    </w:p>
    <w:p w14:paraId="4EFAB547">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自行编制）</w:t>
      </w:r>
    </w:p>
    <w:p w14:paraId="17F6E450">
      <w:pPr>
        <w:spacing w:line="360" w:lineRule="auto"/>
        <w:jc w:val="center"/>
        <w:rPr>
          <w:rFonts w:hint="eastAsia" w:ascii="仿宋" w:hAnsi="仿宋" w:eastAsia="仿宋" w:cs="仿宋"/>
          <w:i w:val="0"/>
          <w:iCs w:val="0"/>
          <w:strike w:val="0"/>
          <w:dstrike w:val="0"/>
          <w:color w:val="auto"/>
          <w:sz w:val="24"/>
          <w:highlight w:val="none"/>
        </w:rPr>
      </w:pPr>
    </w:p>
    <w:p w14:paraId="5F0869E5">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2CFC5778">
      <w:pPr>
        <w:spacing w:line="336"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 xml:space="preserve">     日期：  年   月   日</w:t>
      </w:r>
    </w:p>
    <w:p w14:paraId="691A24D0">
      <w:pPr>
        <w:spacing w:line="360" w:lineRule="auto"/>
        <w:jc w:val="center"/>
        <w:rPr>
          <w:rFonts w:hint="eastAsia" w:ascii="仿宋" w:hAnsi="仿宋" w:eastAsia="仿宋" w:cs="仿宋"/>
          <w:b/>
          <w:bCs/>
          <w:i w:val="0"/>
          <w:iCs w:val="0"/>
          <w:strike w:val="0"/>
          <w:dstrike w:val="0"/>
          <w:color w:val="auto"/>
          <w:sz w:val="30"/>
          <w:szCs w:val="30"/>
          <w:highlight w:val="none"/>
        </w:rPr>
      </w:pPr>
    </w:p>
    <w:p w14:paraId="0B1F1FE6">
      <w:pPr>
        <w:spacing w:line="360" w:lineRule="auto"/>
        <w:jc w:val="center"/>
        <w:rPr>
          <w:rFonts w:hint="eastAsia" w:ascii="仿宋" w:hAnsi="仿宋" w:eastAsia="仿宋" w:cs="仿宋"/>
          <w:b/>
          <w:bCs/>
          <w:i w:val="0"/>
          <w:iCs w:val="0"/>
          <w:strike w:val="0"/>
          <w:dstrike w:val="0"/>
          <w:color w:val="auto"/>
          <w:sz w:val="24"/>
          <w:highlight w:val="none"/>
        </w:rPr>
      </w:pPr>
    </w:p>
    <w:p w14:paraId="79F4E094">
      <w:pPr>
        <w:spacing w:line="360" w:lineRule="auto"/>
        <w:jc w:val="center"/>
        <w:rPr>
          <w:rFonts w:hint="eastAsia" w:ascii="仿宋" w:hAnsi="仿宋" w:eastAsia="仿宋" w:cs="仿宋"/>
          <w:b/>
          <w:i w:val="0"/>
          <w:iCs w:val="0"/>
          <w:strike w:val="0"/>
          <w:dstrike w:val="0"/>
          <w:color w:val="auto"/>
          <w:kern w:val="0"/>
          <w:sz w:val="32"/>
          <w:szCs w:val="32"/>
          <w:highlight w:val="none"/>
          <w:lang w:val="zh-CN"/>
        </w:rPr>
      </w:pPr>
      <w:r>
        <w:rPr>
          <w:rFonts w:hint="eastAsia" w:ascii="仿宋" w:hAnsi="仿宋" w:eastAsia="仿宋" w:cs="仿宋"/>
          <w:b/>
          <w:bCs/>
          <w:i w:val="0"/>
          <w:iCs w:val="0"/>
          <w:strike w:val="0"/>
          <w:dstrike w:val="0"/>
          <w:color w:val="auto"/>
          <w:sz w:val="32"/>
          <w:szCs w:val="32"/>
          <w:highlight w:val="none"/>
        </w:rPr>
        <w:t>十</w:t>
      </w:r>
      <w:r>
        <w:rPr>
          <w:rFonts w:hint="eastAsia" w:ascii="仿宋" w:hAnsi="仿宋" w:eastAsia="仿宋" w:cs="仿宋"/>
          <w:b/>
          <w:bCs/>
          <w:i w:val="0"/>
          <w:iCs w:val="0"/>
          <w:strike w:val="0"/>
          <w:dstrike w:val="0"/>
          <w:color w:val="auto"/>
          <w:sz w:val="32"/>
          <w:szCs w:val="32"/>
          <w:highlight w:val="none"/>
          <w:lang w:val="en-US" w:eastAsia="zh-CN"/>
        </w:rPr>
        <w:t>七</w:t>
      </w:r>
      <w:r>
        <w:rPr>
          <w:rFonts w:hint="eastAsia" w:ascii="仿宋" w:hAnsi="仿宋" w:eastAsia="仿宋" w:cs="仿宋"/>
          <w:b/>
          <w:bCs/>
          <w:i w:val="0"/>
          <w:iCs w:val="0"/>
          <w:strike w:val="0"/>
          <w:dstrike w:val="0"/>
          <w:color w:val="auto"/>
          <w:sz w:val="32"/>
          <w:szCs w:val="32"/>
          <w:highlight w:val="none"/>
        </w:rPr>
        <w:t>、认为需要的</w:t>
      </w:r>
      <w:r>
        <w:rPr>
          <w:rFonts w:hint="eastAsia" w:ascii="仿宋" w:hAnsi="仿宋" w:eastAsia="仿宋" w:cs="仿宋"/>
          <w:b/>
          <w:i w:val="0"/>
          <w:iCs w:val="0"/>
          <w:strike w:val="0"/>
          <w:dstrike w:val="0"/>
          <w:color w:val="auto"/>
          <w:kern w:val="0"/>
          <w:sz w:val="32"/>
          <w:szCs w:val="32"/>
          <w:highlight w:val="none"/>
          <w:lang w:val="zh-CN"/>
        </w:rPr>
        <w:t>其他商务技术（资信）文件或说明</w:t>
      </w:r>
    </w:p>
    <w:p w14:paraId="45AE4303">
      <w:pPr>
        <w:spacing w:line="360" w:lineRule="auto"/>
        <w:jc w:val="center"/>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rPr>
        <w:t>（由</w:t>
      </w: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根据</w:t>
      </w:r>
      <w:r>
        <w:rPr>
          <w:rFonts w:hint="eastAsia" w:ascii="仿宋" w:hAnsi="仿宋" w:eastAsia="仿宋" w:cs="仿宋"/>
          <w:i w:val="0"/>
          <w:iCs w:val="0"/>
          <w:strike w:val="0"/>
          <w:dstrike w:val="0"/>
          <w:color w:val="auto"/>
          <w:sz w:val="24"/>
          <w:highlight w:val="none"/>
          <w:lang w:eastAsia="zh-CN"/>
        </w:rPr>
        <w:t>招标需求</w:t>
      </w:r>
      <w:r>
        <w:rPr>
          <w:rFonts w:hint="eastAsia" w:ascii="仿宋" w:hAnsi="仿宋" w:eastAsia="仿宋" w:cs="仿宋"/>
          <w:i w:val="0"/>
          <w:iCs w:val="0"/>
          <w:strike w:val="0"/>
          <w:dstrike w:val="0"/>
          <w:color w:val="auto"/>
          <w:sz w:val="24"/>
          <w:highlight w:val="none"/>
        </w:rPr>
        <w:t>自行编制）</w:t>
      </w:r>
    </w:p>
    <w:p w14:paraId="6D939080">
      <w:pPr>
        <w:spacing w:line="360" w:lineRule="auto"/>
        <w:rPr>
          <w:rFonts w:hint="eastAsia" w:ascii="仿宋" w:hAnsi="仿宋" w:eastAsia="仿宋" w:cs="仿宋"/>
          <w:i w:val="0"/>
          <w:iCs w:val="0"/>
          <w:strike w:val="0"/>
          <w:dstrike w:val="0"/>
          <w:color w:val="auto"/>
          <w:sz w:val="24"/>
          <w:highlight w:val="none"/>
        </w:rPr>
      </w:pPr>
    </w:p>
    <w:p w14:paraId="1D6CAA3D">
      <w:pPr>
        <w:pStyle w:val="25"/>
        <w:rPr>
          <w:rFonts w:hint="eastAsia" w:ascii="仿宋" w:hAnsi="仿宋" w:eastAsia="仿宋" w:cs="仿宋"/>
          <w:i w:val="0"/>
          <w:iCs w:val="0"/>
          <w:strike w:val="0"/>
          <w:dstrike w:val="0"/>
          <w:color w:val="auto"/>
          <w:highlight w:val="none"/>
        </w:rPr>
      </w:pPr>
    </w:p>
    <w:p w14:paraId="6C5756C9">
      <w:pPr>
        <w:spacing w:line="336" w:lineRule="auto"/>
        <w:ind w:firstLine="3600" w:firstLineChars="1500"/>
        <w:rPr>
          <w:rFonts w:hint="eastAsia" w:ascii="仿宋" w:hAnsi="仿宋" w:eastAsia="仿宋" w:cs="仿宋"/>
          <w:i w:val="0"/>
          <w:iCs w:val="0"/>
          <w:strike w:val="0"/>
          <w:dstrike w:val="0"/>
          <w:color w:val="auto"/>
          <w:sz w:val="24"/>
          <w:highlight w:val="none"/>
        </w:rPr>
      </w:pPr>
      <w:r>
        <w:rPr>
          <w:rFonts w:hint="eastAsia" w:ascii="仿宋" w:hAnsi="仿宋" w:eastAsia="仿宋" w:cs="仿宋"/>
          <w:i w:val="0"/>
          <w:iCs w:val="0"/>
          <w:strike w:val="0"/>
          <w:dstrike w:val="0"/>
          <w:color w:val="auto"/>
          <w:sz w:val="24"/>
          <w:highlight w:val="none"/>
          <w:lang w:eastAsia="zh-CN"/>
        </w:rPr>
        <w:t>投标人</w:t>
      </w:r>
      <w:r>
        <w:rPr>
          <w:rFonts w:hint="eastAsia" w:ascii="仿宋" w:hAnsi="仿宋" w:eastAsia="仿宋" w:cs="仿宋"/>
          <w:i w:val="0"/>
          <w:iCs w:val="0"/>
          <w:strike w:val="0"/>
          <w:dstrike w:val="0"/>
          <w:color w:val="auto"/>
          <w:sz w:val="24"/>
          <w:highlight w:val="none"/>
        </w:rPr>
        <w:t>名称（</w:t>
      </w:r>
      <w:r>
        <w:rPr>
          <w:rFonts w:hint="eastAsia" w:ascii="仿宋" w:hAnsi="仿宋" w:eastAsia="仿宋" w:cs="仿宋"/>
          <w:i w:val="0"/>
          <w:iCs w:val="0"/>
          <w:strike w:val="0"/>
          <w:dstrike w:val="0"/>
          <w:color w:val="auto"/>
          <w:sz w:val="24"/>
          <w:highlight w:val="none"/>
          <w:lang w:eastAsia="zh-CN"/>
        </w:rPr>
        <w:t>电子印章</w:t>
      </w:r>
      <w:r>
        <w:rPr>
          <w:rFonts w:hint="eastAsia" w:ascii="仿宋" w:hAnsi="仿宋" w:eastAsia="仿宋" w:cs="仿宋"/>
          <w:i w:val="0"/>
          <w:iCs w:val="0"/>
          <w:strike w:val="0"/>
          <w:dstrike w:val="0"/>
          <w:color w:val="auto"/>
          <w:sz w:val="24"/>
          <w:highlight w:val="none"/>
        </w:rPr>
        <w:t xml:space="preserve">）：                          </w:t>
      </w:r>
    </w:p>
    <w:p w14:paraId="061DCAD1">
      <w:pPr>
        <w:spacing w:line="336" w:lineRule="auto"/>
        <w:jc w:val="center"/>
        <w:rPr>
          <w:rFonts w:hint="eastAsia" w:ascii="仿宋" w:hAnsi="仿宋" w:eastAsia="仿宋" w:cs="仿宋"/>
          <w:i w:val="0"/>
          <w:iCs w:val="0"/>
          <w:color w:val="auto"/>
          <w:sz w:val="24"/>
          <w:highlight w:val="none"/>
        </w:rPr>
      </w:pPr>
      <w:r>
        <w:rPr>
          <w:rFonts w:hint="eastAsia" w:ascii="仿宋" w:hAnsi="仿宋" w:eastAsia="仿宋" w:cs="仿宋"/>
          <w:i w:val="0"/>
          <w:iCs w:val="0"/>
          <w:strike w:val="0"/>
          <w:dstrike w:val="0"/>
          <w:color w:val="auto"/>
          <w:sz w:val="24"/>
          <w:highlight w:val="none"/>
        </w:rPr>
        <w:t xml:space="preserve">     </w:t>
      </w:r>
      <w:r>
        <w:rPr>
          <w:rFonts w:hint="eastAsia" w:ascii="仿宋" w:hAnsi="仿宋" w:eastAsia="仿宋" w:cs="仿宋"/>
          <w:i w:val="0"/>
          <w:iCs w:val="0"/>
          <w:color w:val="auto"/>
          <w:sz w:val="24"/>
          <w:highlight w:val="none"/>
        </w:rPr>
        <w:t>日期：  年   月   日</w:t>
      </w:r>
    </w:p>
    <w:p w14:paraId="3CE8FF30">
      <w:pPr>
        <w:pStyle w:val="81"/>
        <w:rPr>
          <w:rFonts w:hint="eastAsia" w:ascii="仿宋" w:hAnsi="仿宋" w:eastAsia="仿宋" w:cs="仿宋"/>
          <w:i w:val="0"/>
          <w:iCs w:val="0"/>
          <w:color w:val="auto"/>
          <w:highlight w:val="none"/>
        </w:rPr>
        <w:sectPr>
          <w:headerReference r:id="rId18" w:type="first"/>
          <w:footerReference r:id="rId20" w:type="first"/>
          <w:headerReference r:id="rId17" w:type="default"/>
          <w:footerReference r:id="rId19" w:type="default"/>
          <w:pgSz w:w="11905" w:h="16838"/>
          <w:pgMar w:top="1474" w:right="1474" w:bottom="147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p>
    <w:p w14:paraId="40B15D41">
      <w:pPr>
        <w:spacing w:line="360" w:lineRule="auto"/>
        <w:jc w:val="center"/>
        <w:outlineLvl w:val="0"/>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243A7785">
      <w:pPr>
        <w:spacing w:line="360" w:lineRule="auto"/>
        <w:jc w:val="center"/>
        <w:outlineLvl w:val="0"/>
        <w:rPr>
          <w:rFonts w:hint="eastAsia"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6CDBE1B0">
      <w:pPr>
        <w:spacing w:line="360" w:lineRule="auto"/>
        <w:jc w:val="center"/>
        <w:outlineLvl w:val="0"/>
        <w:rPr>
          <w:rFonts w:hint="eastAsia" w:ascii="仿宋" w:hAnsi="仿宋" w:eastAsia="仿宋" w:cs="仿宋"/>
          <w:b/>
          <w:i w:val="0"/>
          <w:iCs w:val="0"/>
          <w:color w:val="auto"/>
          <w:kern w:val="0"/>
          <w:sz w:val="36"/>
          <w:szCs w:val="36"/>
          <w:highlight w:val="none"/>
        </w:rPr>
      </w:pPr>
    </w:p>
    <w:p w14:paraId="45863491">
      <w:pPr>
        <w:snapToGrid w:val="0"/>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（1）开标一览表（报价表）………………………………………………………（页码）</w:t>
      </w:r>
    </w:p>
    <w:p w14:paraId="60C8A88D">
      <w:pPr>
        <w:snapToGrid w:val="0"/>
        <w:spacing w:line="360" w:lineRule="auto"/>
        <w:ind w:right="480"/>
        <w:jc w:val="center"/>
        <w:rPr>
          <w:rFonts w:hint="eastAsia" w:ascii="仿宋" w:hAnsi="仿宋" w:eastAsia="仿宋" w:cs="仿宋"/>
          <w:b/>
          <w:i w:val="0"/>
          <w:iCs w:val="0"/>
          <w:color w:val="auto"/>
          <w:kern w:val="0"/>
          <w:sz w:val="32"/>
          <w:szCs w:val="32"/>
          <w:highlight w:val="none"/>
        </w:rPr>
        <w:sectPr>
          <w:headerReference r:id="rId22" w:type="first"/>
          <w:footerReference r:id="rId24" w:type="first"/>
          <w:headerReference r:id="rId21" w:type="default"/>
          <w:footerReference r:id="rId23" w:type="default"/>
          <w:pgSz w:w="11905" w:h="16838"/>
          <w:pgMar w:top="1814" w:right="1474" w:bottom="1814" w:left="1474" w:header="851" w:footer="992" w:gutter="0"/>
          <w:pgBorders>
            <w:top w:val="none" w:sz="0" w:space="0"/>
            <w:left w:val="none" w:sz="0" w:space="0"/>
            <w:bottom w:val="none" w:sz="0" w:space="0"/>
            <w:right w:val="none" w:sz="0" w:space="0"/>
          </w:pgBorders>
          <w:pgNumType w:fmt="decimal"/>
          <w:cols w:space="0" w:num="1"/>
          <w:titlePg/>
          <w:rtlGutter w:val="0"/>
          <w:docGrid w:linePitch="312" w:charSpace="0"/>
        </w:sectPr>
      </w:pPr>
    </w:p>
    <w:p w14:paraId="149E31E0">
      <w:pPr>
        <w:pStyle w:val="693"/>
        <w:keepNext w:val="0"/>
        <w:pageBreakBefore w:val="0"/>
        <w:numPr>
          <w:ilvl w:val="0"/>
          <w:numId w:val="12"/>
        </w:numPr>
        <w:tabs>
          <w:tab w:val="clear" w:pos="720"/>
        </w:tabs>
        <w:snapToGrid w:val="0"/>
        <w:spacing w:before="120" w:after="120"/>
        <w:ind w:firstLine="643"/>
        <w:outlineLvl w:val="9"/>
        <w:rPr>
          <w:rFonts w:hint="eastAsia" w:ascii="仿宋" w:hAnsi="仿宋" w:eastAsia="仿宋" w:cs="仿宋"/>
          <w:i w:val="0"/>
          <w:iCs w:val="0"/>
          <w:color w:val="auto"/>
          <w:kern w:val="2"/>
          <w:sz w:val="32"/>
          <w:szCs w:val="32"/>
          <w:highlight w:val="none"/>
        </w:rPr>
      </w:pPr>
      <w:r>
        <w:rPr>
          <w:rFonts w:hint="eastAsia" w:ascii="仿宋" w:hAnsi="仿宋" w:eastAsia="仿宋" w:cs="仿宋"/>
          <w:i w:val="0"/>
          <w:iCs w:val="0"/>
          <w:color w:val="auto"/>
          <w:kern w:val="2"/>
          <w:sz w:val="32"/>
          <w:szCs w:val="32"/>
          <w:highlight w:val="none"/>
        </w:rPr>
        <w:t>开标一览表（报价表）</w:t>
      </w:r>
    </w:p>
    <w:p w14:paraId="3B4801FA">
      <w:pPr>
        <w:pStyle w:val="23"/>
        <w:spacing w:before="78" w:line="222" w:lineRule="auto"/>
        <w:ind w:left="988"/>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lang w:eastAsia="zh-CN"/>
        </w:rPr>
        <w:t>招标人</w:t>
      </w:r>
      <w:r>
        <w:rPr>
          <w:rFonts w:hint="eastAsia" w:ascii="仿宋" w:hAnsi="仿宋" w:eastAsia="仿宋" w:cs="仿宋"/>
          <w:color w:val="auto"/>
          <w:spacing w:val="-2"/>
          <w:sz w:val="24"/>
          <w:szCs w:val="24"/>
          <w:highlight w:val="none"/>
        </w:rPr>
        <w:t>）</w:t>
      </w:r>
      <w:r>
        <w:rPr>
          <w:rFonts w:hint="eastAsia" w:ascii="仿宋" w:hAnsi="仿宋" w:eastAsia="仿宋" w:cs="仿宋"/>
          <w:strike w:val="0"/>
          <w:dstrike w:val="0"/>
          <w:color w:val="auto"/>
          <w:spacing w:val="-2"/>
          <w:sz w:val="24"/>
          <w:szCs w:val="24"/>
          <w:highlight w:val="none"/>
        </w:rPr>
        <w:t>、（</w:t>
      </w:r>
      <w:r>
        <w:rPr>
          <w:rFonts w:hint="eastAsia" w:ascii="仿宋" w:hAnsi="仿宋" w:eastAsia="仿宋" w:cs="仿宋"/>
          <w:strike w:val="0"/>
          <w:dstrike w:val="0"/>
          <w:color w:val="auto"/>
          <w:spacing w:val="-2"/>
          <w:sz w:val="24"/>
          <w:szCs w:val="24"/>
          <w:highlight w:val="none"/>
          <w:lang w:eastAsia="zh-CN"/>
        </w:rPr>
        <w:t>招标代理机构</w:t>
      </w:r>
      <w:r>
        <w:rPr>
          <w:rFonts w:hint="eastAsia" w:ascii="仿宋" w:hAnsi="仿宋" w:eastAsia="仿宋" w:cs="仿宋"/>
          <w:strike w:val="0"/>
          <w:dstrike w:val="0"/>
          <w:color w:val="auto"/>
          <w:spacing w:val="2"/>
          <w:sz w:val="24"/>
          <w:szCs w:val="24"/>
          <w:highlight w:val="none"/>
        </w:rPr>
        <w:t>）：</w:t>
      </w:r>
    </w:p>
    <w:p w14:paraId="009C0C02">
      <w:pPr>
        <w:pStyle w:val="23"/>
        <w:spacing w:before="175" w:line="345" w:lineRule="auto"/>
        <w:ind w:left="987" w:right="966" w:firstLine="477"/>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按你方招标文件要求，我方</w:t>
      </w:r>
      <w:r>
        <w:rPr>
          <w:rFonts w:hint="eastAsia" w:ascii="仿宋" w:hAnsi="仿宋" w:eastAsia="仿宋" w:cs="仿宋"/>
          <w:color w:val="auto"/>
          <w:spacing w:val="-2"/>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u w:val="single" w:color="auto"/>
          <w:lang w:eastAsia="zh-CN"/>
        </w:rPr>
        <w:t>投标人</w:t>
      </w:r>
      <w:r>
        <w:rPr>
          <w:rFonts w:hint="eastAsia" w:ascii="仿宋" w:hAnsi="仿宋" w:eastAsia="仿宋" w:cs="仿宋"/>
          <w:color w:val="auto"/>
          <w:spacing w:val="-2"/>
          <w:sz w:val="24"/>
          <w:szCs w:val="24"/>
          <w:highlight w:val="none"/>
        </w:rPr>
        <w:t>全称</w:t>
      </w:r>
      <w:r>
        <w:rPr>
          <w:rFonts w:hint="eastAsia" w:ascii="仿宋" w:hAnsi="仿宋" w:eastAsia="仿宋" w:cs="仿宋"/>
          <w:color w:val="auto"/>
          <w:spacing w:val="-8"/>
          <w:sz w:val="24"/>
          <w:szCs w:val="24"/>
          <w:highlight w:val="none"/>
        </w:rPr>
        <w:t>），</w:t>
      </w:r>
      <w:r>
        <w:rPr>
          <w:rFonts w:hint="eastAsia" w:ascii="仿宋" w:hAnsi="仿宋" w:eastAsia="仿宋" w:cs="仿宋"/>
          <w:color w:val="auto"/>
          <w:spacing w:val="-2"/>
          <w:sz w:val="24"/>
          <w:szCs w:val="24"/>
          <w:highlight w:val="none"/>
        </w:rPr>
        <w:t>谨此向你方发出要约如下：如你方接受本投标，我方承诺按照如</w:t>
      </w:r>
      <w:r>
        <w:rPr>
          <w:rFonts w:hint="eastAsia" w:ascii="仿宋" w:hAnsi="仿宋" w:eastAsia="仿宋" w:cs="仿宋"/>
          <w:color w:val="auto"/>
          <w:sz w:val="24"/>
          <w:szCs w:val="24"/>
          <w:highlight w:val="none"/>
        </w:rPr>
        <w:t>下开标一览表（报价表）的价格完成（项目名称）【招标编号</w:t>
      </w:r>
      <w:r>
        <w:rPr>
          <w:rFonts w:hint="eastAsia" w:ascii="仿宋" w:hAnsi="仿宋" w:eastAsia="仿宋" w:cs="仿宋"/>
          <w:color w:val="auto"/>
          <w:spacing w:val="-11"/>
          <w:sz w:val="24"/>
          <w:szCs w:val="24"/>
          <w:highlight w:val="none"/>
        </w:rPr>
        <w:t>：</w:t>
      </w:r>
      <w:r>
        <w:rPr>
          <w:rFonts w:hint="eastAsia" w:ascii="仿宋" w:hAnsi="仿宋" w:eastAsia="仿宋" w:cs="仿宋"/>
          <w:color w:val="auto"/>
          <w:sz w:val="24"/>
          <w:szCs w:val="24"/>
          <w:highlight w:val="none"/>
        </w:rPr>
        <w:t>】的实施。</w:t>
      </w:r>
    </w:p>
    <w:p w14:paraId="66C6FEDE">
      <w:pPr>
        <w:spacing w:line="400" w:lineRule="exact"/>
        <w:jc w:val="center"/>
        <w:rPr>
          <w:rFonts w:hint="eastAsia" w:ascii="仿宋" w:hAnsi="仿宋" w:eastAsia="仿宋" w:cs="仿宋"/>
          <w:color w:val="auto"/>
          <w:sz w:val="24"/>
          <w:highlight w:val="none"/>
          <w:u w:val="single"/>
        </w:rPr>
      </w:pPr>
      <w:r>
        <w:rPr>
          <w:rFonts w:hint="eastAsia" w:ascii="仿宋" w:hAnsi="仿宋" w:eastAsia="仿宋" w:cs="仿宋"/>
          <w:b/>
          <w:i w:val="0"/>
          <w:iCs w:val="0"/>
          <w:color w:val="auto"/>
          <w:kern w:val="0"/>
          <w:sz w:val="24"/>
          <w:highlight w:val="none"/>
          <w:lang w:val="zh-CN"/>
        </w:rPr>
        <w:t>开标一览表（报价表）(单位均为</w:t>
      </w:r>
      <w:r>
        <w:rPr>
          <w:rFonts w:hint="eastAsia" w:ascii="仿宋" w:hAnsi="仿宋" w:eastAsia="仿宋" w:cs="仿宋"/>
          <w:b/>
          <w:i w:val="0"/>
          <w:iCs w:val="0"/>
          <w:color w:val="auto"/>
          <w:kern w:val="0"/>
          <w:sz w:val="24"/>
          <w:highlight w:val="none"/>
          <w:lang w:val="en-US" w:eastAsia="zh-CN"/>
        </w:rPr>
        <w:t>百分比</w:t>
      </w:r>
      <w:r>
        <w:rPr>
          <w:rFonts w:hint="eastAsia" w:ascii="仿宋" w:hAnsi="仿宋" w:eastAsia="仿宋" w:cs="仿宋"/>
          <w:b/>
          <w:i w:val="0"/>
          <w:iCs w:val="0"/>
          <w:color w:val="auto"/>
          <w:kern w:val="0"/>
          <w:sz w:val="24"/>
          <w:highlight w:val="none"/>
          <w:lang w:val="zh-CN"/>
        </w:rPr>
        <w:t>)【</w:t>
      </w:r>
      <w:r>
        <w:rPr>
          <w:rFonts w:hint="eastAsia" w:ascii="仿宋" w:hAnsi="仿宋" w:eastAsia="仿宋" w:cs="仿宋"/>
          <w:b/>
          <w:i w:val="0"/>
          <w:iCs w:val="0"/>
          <w:color w:val="auto"/>
          <w:kern w:val="0"/>
          <w:sz w:val="24"/>
          <w:highlight w:val="none"/>
          <w:lang w:val="en-US" w:eastAsia="zh-CN"/>
        </w:rPr>
        <w:t>货物适用</w:t>
      </w:r>
      <w:r>
        <w:rPr>
          <w:rFonts w:hint="eastAsia" w:ascii="仿宋" w:hAnsi="仿宋" w:eastAsia="仿宋" w:cs="仿宋"/>
          <w:b/>
          <w:i w:val="0"/>
          <w:iCs w:val="0"/>
          <w:color w:val="auto"/>
          <w:kern w:val="0"/>
          <w:sz w:val="24"/>
          <w:highlight w:val="none"/>
          <w:lang w:val="zh-CN"/>
        </w:rPr>
        <w:t>】</w:t>
      </w:r>
      <w:r>
        <w:rPr>
          <w:rFonts w:hint="eastAsia" w:ascii="仿宋" w:hAnsi="仿宋" w:eastAsia="仿宋" w:cs="仿宋"/>
          <w:color w:val="auto"/>
          <w:sz w:val="24"/>
          <w:highlight w:val="none"/>
          <w:lang w:eastAsia="zh-CN"/>
        </w:rPr>
        <w:t>投标人</w:t>
      </w:r>
      <w:r>
        <w:rPr>
          <w:rFonts w:hint="eastAsia" w:ascii="仿宋" w:hAnsi="仿宋" w:eastAsia="仿宋" w:cs="仿宋"/>
          <w:color w:val="auto"/>
          <w:sz w:val="24"/>
          <w:highlight w:val="none"/>
        </w:rPr>
        <w:t>名称</w:t>
      </w:r>
      <w:r>
        <w:rPr>
          <w:rFonts w:hint="eastAsia" w:ascii="仿宋" w:hAnsi="仿宋" w:eastAsia="仿宋" w:cs="仿宋"/>
          <w:color w:val="auto"/>
          <w:sz w:val="24"/>
          <w:highlight w:val="none"/>
          <w:lang w:eastAsia="zh-CN"/>
        </w:rPr>
        <w:t>（盖</w:t>
      </w:r>
      <w:r>
        <w:rPr>
          <w:rFonts w:hint="eastAsia" w:ascii="仿宋" w:hAnsi="仿宋" w:eastAsia="仿宋" w:cs="仿宋"/>
          <w:color w:val="auto"/>
          <w:sz w:val="24"/>
          <w:highlight w:val="none"/>
          <w:lang w:val="en-US" w:eastAsia="zh-CN"/>
        </w:rPr>
        <w:t>公章</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w:t>
      </w:r>
    </w:p>
    <w:p w14:paraId="3199D1DF">
      <w:pPr>
        <w:snapToGrid w:val="0"/>
        <w:spacing w:line="400" w:lineRule="exact"/>
        <w:jc w:val="center"/>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项目编号：</w:t>
      </w:r>
    </w:p>
    <w:tbl>
      <w:tblPr>
        <w:tblStyle w:val="6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3668"/>
        <w:gridCol w:w="1074"/>
        <w:gridCol w:w="1566"/>
        <w:gridCol w:w="1900"/>
        <w:gridCol w:w="1291"/>
        <w:gridCol w:w="840"/>
        <w:gridCol w:w="3236"/>
      </w:tblGrid>
      <w:tr w14:paraId="086D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199C8DD7">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序号</w:t>
            </w:r>
          </w:p>
        </w:tc>
        <w:tc>
          <w:tcPr>
            <w:tcW w:w="1290" w:type="pct"/>
            <w:tcBorders>
              <w:top w:val="single" w:color="auto" w:sz="4" w:space="0"/>
              <w:left w:val="single" w:color="auto" w:sz="4" w:space="0"/>
              <w:bottom w:val="single" w:color="auto" w:sz="4" w:space="0"/>
              <w:right w:val="single" w:color="auto" w:sz="4" w:space="0"/>
            </w:tcBorders>
            <w:noWrap/>
            <w:vAlign w:val="center"/>
          </w:tcPr>
          <w:p w14:paraId="090D7FA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货物名称或其他服务报价项</w:t>
            </w:r>
          </w:p>
        </w:tc>
        <w:tc>
          <w:tcPr>
            <w:tcW w:w="377" w:type="pct"/>
            <w:tcBorders>
              <w:top w:val="single" w:color="auto" w:sz="4" w:space="0"/>
              <w:left w:val="single" w:color="auto" w:sz="4" w:space="0"/>
              <w:bottom w:val="single" w:color="auto" w:sz="4" w:space="0"/>
              <w:right w:val="single" w:color="auto" w:sz="4" w:space="0"/>
            </w:tcBorders>
            <w:noWrap/>
            <w:vAlign w:val="center"/>
          </w:tcPr>
          <w:p w14:paraId="083EE8D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品牌</w:t>
            </w:r>
          </w:p>
        </w:tc>
        <w:tc>
          <w:tcPr>
            <w:tcW w:w="550" w:type="pct"/>
            <w:tcBorders>
              <w:top w:val="single" w:color="auto" w:sz="4" w:space="0"/>
              <w:left w:val="single" w:color="auto" w:sz="4" w:space="0"/>
              <w:bottom w:val="single" w:color="auto" w:sz="4" w:space="0"/>
              <w:right w:val="single" w:color="auto" w:sz="4" w:space="0"/>
            </w:tcBorders>
            <w:noWrap/>
            <w:vAlign w:val="center"/>
          </w:tcPr>
          <w:p w14:paraId="12033A3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制造商</w:t>
            </w:r>
          </w:p>
        </w:tc>
        <w:tc>
          <w:tcPr>
            <w:tcW w:w="668" w:type="pct"/>
            <w:tcBorders>
              <w:top w:val="single" w:color="auto" w:sz="4" w:space="0"/>
              <w:left w:val="single" w:color="auto" w:sz="4" w:space="0"/>
              <w:bottom w:val="single" w:color="auto" w:sz="4" w:space="0"/>
              <w:right w:val="single" w:color="auto" w:sz="4" w:space="0"/>
            </w:tcBorders>
            <w:noWrap/>
            <w:vAlign w:val="center"/>
          </w:tcPr>
          <w:p w14:paraId="571F24F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型号规格</w:t>
            </w:r>
          </w:p>
        </w:tc>
        <w:tc>
          <w:tcPr>
            <w:tcW w:w="454" w:type="pct"/>
            <w:tcBorders>
              <w:top w:val="single" w:color="auto" w:sz="4" w:space="0"/>
              <w:left w:val="single" w:color="auto" w:sz="4" w:space="0"/>
              <w:bottom w:val="single" w:color="auto" w:sz="4" w:space="0"/>
              <w:right w:val="single" w:color="auto" w:sz="4" w:space="0"/>
            </w:tcBorders>
            <w:noWrap/>
            <w:vAlign w:val="center"/>
          </w:tcPr>
          <w:p w14:paraId="38A4309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lang w:val="en-US" w:eastAsia="zh-CN"/>
              </w:rPr>
              <w:t>上限</w:t>
            </w:r>
            <w:r>
              <w:rPr>
                <w:rFonts w:hint="eastAsia" w:ascii="仿宋" w:hAnsi="仿宋" w:eastAsia="仿宋" w:cs="仿宋"/>
                <w:b/>
                <w:color w:val="auto"/>
                <w:sz w:val="21"/>
                <w:szCs w:val="21"/>
                <w:highlight w:val="none"/>
                <w:lang w:eastAsia="zh-CN"/>
              </w:rPr>
              <w:t>综合</w:t>
            </w:r>
            <w:r>
              <w:rPr>
                <w:rFonts w:hint="eastAsia" w:ascii="仿宋" w:hAnsi="仿宋" w:eastAsia="仿宋" w:cs="仿宋"/>
                <w:b/>
                <w:color w:val="auto"/>
                <w:sz w:val="21"/>
                <w:szCs w:val="21"/>
                <w:highlight w:val="none"/>
              </w:rPr>
              <w:t>单价</w:t>
            </w:r>
            <w:r>
              <w:rPr>
                <w:rFonts w:hint="eastAsia" w:ascii="仿宋" w:hAnsi="仿宋" w:eastAsia="仿宋" w:cs="仿宋"/>
                <w:b/>
                <w:color w:val="auto"/>
                <w:sz w:val="21"/>
                <w:szCs w:val="21"/>
                <w:highlight w:val="none"/>
                <w:lang w:eastAsia="zh-CN"/>
              </w:rPr>
              <w:t>（元</w:t>
            </w:r>
            <w:r>
              <w:rPr>
                <w:rFonts w:hint="eastAsia" w:ascii="仿宋" w:hAnsi="仿宋" w:eastAsia="仿宋" w:cs="仿宋"/>
                <w:b/>
                <w:color w:val="auto"/>
                <w:sz w:val="21"/>
                <w:szCs w:val="21"/>
                <w:highlight w:val="none"/>
                <w:lang w:val="en-US" w:eastAsia="zh-CN"/>
              </w:rPr>
              <w:t>/台</w:t>
            </w:r>
            <w:r>
              <w:rPr>
                <w:rFonts w:hint="eastAsia" w:ascii="仿宋" w:hAnsi="仿宋" w:eastAsia="仿宋" w:cs="仿宋"/>
                <w:b/>
                <w:color w:val="auto"/>
                <w:sz w:val="21"/>
                <w:szCs w:val="21"/>
                <w:highlight w:val="none"/>
                <w:lang w:eastAsia="zh-CN"/>
              </w:rPr>
              <w:t>）</w:t>
            </w:r>
          </w:p>
        </w:tc>
        <w:tc>
          <w:tcPr>
            <w:tcW w:w="295" w:type="pct"/>
            <w:tcBorders>
              <w:top w:val="single" w:color="auto" w:sz="4" w:space="0"/>
              <w:left w:val="single" w:color="auto" w:sz="4" w:space="0"/>
              <w:bottom w:val="single" w:color="auto" w:sz="4" w:space="0"/>
              <w:right w:val="single" w:color="auto" w:sz="4" w:space="0"/>
            </w:tcBorders>
            <w:noWrap/>
            <w:vAlign w:val="center"/>
          </w:tcPr>
          <w:p w14:paraId="7D5AC93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暂估</w:t>
            </w:r>
            <w:r>
              <w:rPr>
                <w:rFonts w:hint="eastAsia" w:ascii="仿宋" w:hAnsi="仿宋" w:eastAsia="仿宋" w:cs="仿宋"/>
                <w:b/>
                <w:color w:val="auto"/>
                <w:sz w:val="21"/>
                <w:szCs w:val="21"/>
                <w:highlight w:val="none"/>
              </w:rPr>
              <w:t>数量</w:t>
            </w:r>
          </w:p>
        </w:tc>
        <w:tc>
          <w:tcPr>
            <w:tcW w:w="1138" w:type="pct"/>
            <w:tcBorders>
              <w:top w:val="single" w:color="auto" w:sz="4" w:space="0"/>
              <w:left w:val="single" w:color="auto" w:sz="4" w:space="0"/>
              <w:bottom w:val="single" w:color="auto" w:sz="4" w:space="0"/>
              <w:right w:val="single" w:color="auto" w:sz="4" w:space="0"/>
            </w:tcBorders>
            <w:noWrap/>
            <w:vAlign w:val="center"/>
          </w:tcPr>
          <w:p w14:paraId="37BC28B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rPr>
            </w:pPr>
            <w:r>
              <w:rPr>
                <w:rFonts w:hint="eastAsia" w:ascii="仿宋" w:hAnsi="仿宋" w:eastAsia="仿宋" w:cs="仿宋"/>
                <w:b/>
                <w:color w:val="auto"/>
                <w:sz w:val="21"/>
                <w:szCs w:val="21"/>
                <w:highlight w:val="none"/>
                <w:lang w:val="en-US" w:eastAsia="zh-CN"/>
              </w:rPr>
              <w:t>投标总价（元）</w:t>
            </w:r>
          </w:p>
        </w:tc>
      </w:tr>
      <w:tr w14:paraId="7FFF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6216196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一、设备部分（仅报价所列核心设备）</w:t>
            </w:r>
          </w:p>
        </w:tc>
      </w:tr>
      <w:tr w14:paraId="3FBB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0C40102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w:t>
            </w:r>
          </w:p>
        </w:tc>
        <w:tc>
          <w:tcPr>
            <w:tcW w:w="1290" w:type="pct"/>
            <w:tcBorders>
              <w:top w:val="single" w:color="auto" w:sz="4" w:space="0"/>
              <w:left w:val="single" w:color="auto" w:sz="4" w:space="0"/>
              <w:bottom w:val="single" w:color="auto" w:sz="4" w:space="0"/>
              <w:right w:val="single" w:color="auto" w:sz="4" w:space="0"/>
            </w:tcBorders>
            <w:noWrap/>
            <w:vAlign w:val="center"/>
          </w:tcPr>
          <w:p w14:paraId="6FC20435">
            <w:pPr>
              <w:keepNext w:val="0"/>
              <w:keepLines w:val="0"/>
              <w:widowControl/>
              <w:suppressLineNumbers w:val="0"/>
              <w:jc w:val="center"/>
              <w:textAlignment w:val="center"/>
              <w:rPr>
                <w:rFonts w:hint="eastAsia" w:ascii="仿宋" w:hAnsi="仿宋" w:eastAsia="仿宋" w:cs="仿宋"/>
                <w:b/>
                <w:color w:val="auto"/>
                <w:sz w:val="21"/>
                <w:szCs w:val="21"/>
                <w:highlight w:val="none"/>
              </w:rPr>
            </w:pPr>
            <w:r>
              <w:rPr>
                <w:rFonts w:hint="eastAsia" w:ascii="仿宋" w:hAnsi="仿宋" w:eastAsia="仿宋" w:cs="仿宋"/>
                <w:i w:val="0"/>
                <w:iCs w:val="0"/>
                <w:color w:val="auto"/>
                <w:kern w:val="0"/>
                <w:sz w:val="24"/>
                <w:szCs w:val="24"/>
                <w:highlight w:val="none"/>
                <w:u w:val="none"/>
                <w:lang w:val="en-US" w:eastAsia="zh-CN" w:bidi="ar"/>
              </w:rPr>
              <w:t>7kW交流充电桩（单机版）</w:t>
            </w:r>
          </w:p>
        </w:tc>
        <w:tc>
          <w:tcPr>
            <w:tcW w:w="377" w:type="pct"/>
            <w:tcBorders>
              <w:top w:val="single" w:color="auto" w:sz="4" w:space="0"/>
              <w:left w:val="single" w:color="auto" w:sz="4" w:space="0"/>
              <w:bottom w:val="single" w:color="auto" w:sz="4" w:space="0"/>
              <w:right w:val="single" w:color="auto" w:sz="4" w:space="0"/>
            </w:tcBorders>
            <w:noWrap/>
            <w:vAlign w:val="center"/>
          </w:tcPr>
          <w:p w14:paraId="379136C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5309071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0CDBB15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9BE94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1209</w:t>
            </w:r>
          </w:p>
        </w:tc>
        <w:tc>
          <w:tcPr>
            <w:tcW w:w="295" w:type="pct"/>
            <w:tcBorders>
              <w:top w:val="single" w:color="auto" w:sz="4" w:space="0"/>
              <w:left w:val="single" w:color="auto" w:sz="4" w:space="0"/>
              <w:bottom w:val="single" w:color="auto" w:sz="4" w:space="0"/>
              <w:right w:val="single" w:color="auto" w:sz="4" w:space="0"/>
            </w:tcBorders>
            <w:noWrap/>
            <w:vAlign w:val="center"/>
          </w:tcPr>
          <w:p w14:paraId="1322EE3B">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5</w:t>
            </w:r>
          </w:p>
        </w:tc>
        <w:tc>
          <w:tcPr>
            <w:tcW w:w="1138" w:type="pct"/>
            <w:tcBorders>
              <w:left w:val="single" w:color="auto" w:sz="4" w:space="0"/>
              <w:right w:val="single" w:color="auto" w:sz="4" w:space="0"/>
            </w:tcBorders>
            <w:noWrap/>
            <w:vAlign w:val="center"/>
          </w:tcPr>
          <w:p w14:paraId="4CF09D3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color w:val="auto"/>
                <w:sz w:val="21"/>
                <w:szCs w:val="21"/>
                <w:highlight w:val="none"/>
              </w:rPr>
            </w:pPr>
          </w:p>
        </w:tc>
      </w:tr>
      <w:tr w14:paraId="64C5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5CEEB08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2</w:t>
            </w:r>
          </w:p>
        </w:tc>
        <w:tc>
          <w:tcPr>
            <w:tcW w:w="1290" w:type="pct"/>
            <w:tcBorders>
              <w:top w:val="single" w:color="auto" w:sz="4" w:space="0"/>
              <w:left w:val="single" w:color="auto" w:sz="4" w:space="0"/>
              <w:bottom w:val="single" w:color="auto" w:sz="4" w:space="0"/>
              <w:right w:val="single" w:color="auto" w:sz="4" w:space="0"/>
            </w:tcBorders>
            <w:noWrap/>
            <w:vAlign w:val="center"/>
          </w:tcPr>
          <w:p w14:paraId="64E4CCCC">
            <w:pPr>
              <w:keepNext w:val="0"/>
              <w:keepLines w:val="0"/>
              <w:widowControl/>
              <w:suppressLineNumbers w:val="0"/>
              <w:jc w:val="center"/>
              <w:textAlignment w:val="center"/>
              <w:rPr>
                <w:rFonts w:hint="eastAsia" w:ascii="仿宋" w:hAnsi="仿宋" w:eastAsia="仿宋" w:cs="仿宋"/>
                <w:b/>
                <w:color w:val="auto"/>
                <w:sz w:val="21"/>
                <w:szCs w:val="21"/>
                <w:highlight w:val="none"/>
              </w:rPr>
            </w:pPr>
            <w:r>
              <w:rPr>
                <w:rFonts w:hint="eastAsia" w:ascii="仿宋" w:hAnsi="仿宋" w:eastAsia="仿宋" w:cs="仿宋"/>
                <w:i w:val="0"/>
                <w:iCs w:val="0"/>
                <w:color w:val="auto"/>
                <w:kern w:val="0"/>
                <w:sz w:val="24"/>
                <w:szCs w:val="24"/>
                <w:highlight w:val="none"/>
                <w:u w:val="none"/>
                <w:lang w:val="en-US" w:eastAsia="zh-CN" w:bidi="ar"/>
              </w:rPr>
              <w:t>7kW交流充电桩（联网版）</w:t>
            </w:r>
          </w:p>
        </w:tc>
        <w:tc>
          <w:tcPr>
            <w:tcW w:w="377" w:type="pct"/>
            <w:tcBorders>
              <w:top w:val="single" w:color="auto" w:sz="4" w:space="0"/>
              <w:left w:val="single" w:color="auto" w:sz="4" w:space="0"/>
              <w:bottom w:val="single" w:color="auto" w:sz="4" w:space="0"/>
              <w:right w:val="single" w:color="auto" w:sz="4" w:space="0"/>
            </w:tcBorders>
            <w:noWrap/>
            <w:vAlign w:val="center"/>
          </w:tcPr>
          <w:p w14:paraId="78BE223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67479D1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1B659C3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9D5DA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1412</w:t>
            </w:r>
          </w:p>
        </w:tc>
        <w:tc>
          <w:tcPr>
            <w:tcW w:w="295" w:type="pct"/>
            <w:tcBorders>
              <w:top w:val="single" w:color="auto" w:sz="4" w:space="0"/>
              <w:left w:val="single" w:color="auto" w:sz="4" w:space="0"/>
              <w:bottom w:val="single" w:color="auto" w:sz="4" w:space="0"/>
              <w:right w:val="single" w:color="auto" w:sz="4" w:space="0"/>
            </w:tcBorders>
            <w:noWrap/>
            <w:vAlign w:val="center"/>
          </w:tcPr>
          <w:p w14:paraId="3369EB8A">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15</w:t>
            </w:r>
          </w:p>
        </w:tc>
        <w:tc>
          <w:tcPr>
            <w:tcW w:w="1138" w:type="pct"/>
            <w:tcBorders>
              <w:left w:val="single" w:color="auto" w:sz="4" w:space="0"/>
              <w:right w:val="single" w:color="auto" w:sz="4" w:space="0"/>
            </w:tcBorders>
            <w:noWrap/>
            <w:vAlign w:val="center"/>
          </w:tcPr>
          <w:p w14:paraId="39349BC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color w:val="auto"/>
                <w:sz w:val="21"/>
                <w:szCs w:val="21"/>
                <w:highlight w:val="none"/>
              </w:rPr>
            </w:pPr>
          </w:p>
        </w:tc>
      </w:tr>
      <w:tr w14:paraId="38CF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755DC26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3</w:t>
            </w:r>
          </w:p>
        </w:tc>
        <w:tc>
          <w:tcPr>
            <w:tcW w:w="1290" w:type="pct"/>
            <w:tcBorders>
              <w:top w:val="single" w:color="auto" w:sz="4" w:space="0"/>
              <w:left w:val="single" w:color="auto" w:sz="4" w:space="0"/>
              <w:bottom w:val="single" w:color="auto" w:sz="4" w:space="0"/>
              <w:right w:val="single" w:color="auto" w:sz="4" w:space="0"/>
            </w:tcBorders>
            <w:noWrap/>
            <w:vAlign w:val="center"/>
          </w:tcPr>
          <w:p w14:paraId="76F2B583">
            <w:pPr>
              <w:keepNext w:val="0"/>
              <w:keepLines w:val="0"/>
              <w:widowControl/>
              <w:suppressLineNumbers w:val="0"/>
              <w:jc w:val="center"/>
              <w:textAlignment w:val="center"/>
              <w:rPr>
                <w:rFonts w:hint="eastAsia" w:ascii="仿宋" w:hAnsi="仿宋" w:eastAsia="仿宋" w:cs="仿宋"/>
                <w:b/>
                <w:color w:val="auto"/>
                <w:sz w:val="21"/>
                <w:szCs w:val="21"/>
                <w:highlight w:val="none"/>
              </w:rPr>
            </w:pPr>
            <w:r>
              <w:rPr>
                <w:rFonts w:hint="eastAsia" w:ascii="仿宋" w:hAnsi="仿宋" w:eastAsia="仿宋" w:cs="仿宋"/>
                <w:i w:val="0"/>
                <w:iCs w:val="0"/>
                <w:color w:val="auto"/>
                <w:kern w:val="0"/>
                <w:sz w:val="24"/>
                <w:szCs w:val="24"/>
                <w:highlight w:val="none"/>
                <w:u w:val="none"/>
                <w:lang w:val="en-US" w:eastAsia="zh-CN" w:bidi="ar"/>
              </w:rPr>
              <w:t>21kW交流充电桩（联网版）</w:t>
            </w:r>
          </w:p>
        </w:tc>
        <w:tc>
          <w:tcPr>
            <w:tcW w:w="377" w:type="pct"/>
            <w:tcBorders>
              <w:top w:val="single" w:color="auto" w:sz="4" w:space="0"/>
              <w:left w:val="single" w:color="auto" w:sz="4" w:space="0"/>
              <w:bottom w:val="single" w:color="auto" w:sz="4" w:space="0"/>
              <w:right w:val="single" w:color="auto" w:sz="4" w:space="0"/>
            </w:tcBorders>
            <w:noWrap/>
            <w:vAlign w:val="center"/>
          </w:tcPr>
          <w:p w14:paraId="046C0FF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7BCDCFE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3F4D634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7ECD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2737</w:t>
            </w:r>
          </w:p>
        </w:tc>
        <w:tc>
          <w:tcPr>
            <w:tcW w:w="295" w:type="pct"/>
            <w:tcBorders>
              <w:top w:val="single" w:color="auto" w:sz="4" w:space="0"/>
              <w:left w:val="single" w:color="auto" w:sz="4" w:space="0"/>
              <w:bottom w:val="single" w:color="auto" w:sz="4" w:space="0"/>
              <w:right w:val="single" w:color="auto" w:sz="4" w:space="0"/>
            </w:tcBorders>
            <w:noWrap/>
            <w:vAlign w:val="center"/>
          </w:tcPr>
          <w:p w14:paraId="4D1567F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10</w:t>
            </w:r>
          </w:p>
        </w:tc>
        <w:tc>
          <w:tcPr>
            <w:tcW w:w="1138" w:type="pct"/>
            <w:tcBorders>
              <w:left w:val="single" w:color="auto" w:sz="4" w:space="0"/>
              <w:right w:val="single" w:color="auto" w:sz="4" w:space="0"/>
            </w:tcBorders>
            <w:noWrap/>
            <w:vAlign w:val="center"/>
          </w:tcPr>
          <w:p w14:paraId="7CBB449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1D09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5349CCB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4</w:t>
            </w:r>
          </w:p>
        </w:tc>
        <w:tc>
          <w:tcPr>
            <w:tcW w:w="1290" w:type="pct"/>
            <w:tcBorders>
              <w:top w:val="single" w:color="auto" w:sz="4" w:space="0"/>
              <w:left w:val="single" w:color="auto" w:sz="4" w:space="0"/>
              <w:bottom w:val="single" w:color="auto" w:sz="4" w:space="0"/>
              <w:right w:val="single" w:color="auto" w:sz="4" w:space="0"/>
            </w:tcBorders>
            <w:noWrap/>
            <w:vAlign w:val="center"/>
          </w:tcPr>
          <w:p w14:paraId="30B4D5E7">
            <w:pPr>
              <w:keepNext w:val="0"/>
              <w:keepLines w:val="0"/>
              <w:widowControl/>
              <w:suppressLineNumbers w:val="0"/>
              <w:jc w:val="center"/>
              <w:textAlignment w:val="center"/>
              <w:rPr>
                <w:rFonts w:hint="eastAsia" w:ascii="仿宋" w:hAnsi="仿宋" w:eastAsia="仿宋" w:cs="仿宋"/>
                <w:b/>
                <w:color w:val="auto"/>
                <w:sz w:val="21"/>
                <w:szCs w:val="21"/>
                <w:highlight w:val="none"/>
              </w:rPr>
            </w:pPr>
            <w:r>
              <w:rPr>
                <w:rFonts w:hint="eastAsia" w:ascii="仿宋" w:hAnsi="仿宋" w:eastAsia="仿宋" w:cs="仿宋"/>
                <w:i w:val="0"/>
                <w:iCs w:val="0"/>
                <w:color w:val="auto"/>
                <w:kern w:val="0"/>
                <w:sz w:val="24"/>
                <w:szCs w:val="24"/>
                <w:highlight w:val="none"/>
                <w:u w:val="none"/>
                <w:lang w:val="en-US" w:eastAsia="zh-CN" w:bidi="ar"/>
              </w:rPr>
              <w:t>交流充电桩支架</w:t>
            </w:r>
          </w:p>
        </w:tc>
        <w:tc>
          <w:tcPr>
            <w:tcW w:w="377" w:type="pct"/>
            <w:tcBorders>
              <w:top w:val="single" w:color="auto" w:sz="4" w:space="0"/>
              <w:left w:val="single" w:color="auto" w:sz="4" w:space="0"/>
              <w:bottom w:val="single" w:color="auto" w:sz="4" w:space="0"/>
              <w:right w:val="single" w:color="auto" w:sz="4" w:space="0"/>
            </w:tcBorders>
            <w:noWrap/>
            <w:vAlign w:val="center"/>
          </w:tcPr>
          <w:p w14:paraId="4B6FFAE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40A1F29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18B8D767">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0F710B">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231</w:t>
            </w:r>
          </w:p>
        </w:tc>
        <w:tc>
          <w:tcPr>
            <w:tcW w:w="295" w:type="pct"/>
            <w:tcBorders>
              <w:top w:val="single" w:color="auto" w:sz="4" w:space="0"/>
              <w:left w:val="single" w:color="auto" w:sz="4" w:space="0"/>
              <w:bottom w:val="single" w:color="auto" w:sz="4" w:space="0"/>
              <w:right w:val="single" w:color="auto" w:sz="4" w:space="0"/>
            </w:tcBorders>
            <w:noWrap/>
            <w:vAlign w:val="center"/>
          </w:tcPr>
          <w:p w14:paraId="38F3B805">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30</w:t>
            </w:r>
          </w:p>
        </w:tc>
        <w:tc>
          <w:tcPr>
            <w:tcW w:w="1138" w:type="pct"/>
            <w:tcBorders>
              <w:left w:val="single" w:color="auto" w:sz="4" w:space="0"/>
              <w:right w:val="single" w:color="auto" w:sz="4" w:space="0"/>
            </w:tcBorders>
            <w:noWrap/>
            <w:vAlign w:val="center"/>
          </w:tcPr>
          <w:p w14:paraId="1A9CF15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0C93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65E9533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5</w:t>
            </w:r>
          </w:p>
        </w:tc>
        <w:tc>
          <w:tcPr>
            <w:tcW w:w="1290" w:type="pct"/>
            <w:tcBorders>
              <w:top w:val="single" w:color="auto" w:sz="4" w:space="0"/>
              <w:left w:val="single" w:color="auto" w:sz="4" w:space="0"/>
              <w:bottom w:val="single" w:color="auto" w:sz="4" w:space="0"/>
              <w:right w:val="single" w:color="auto" w:sz="4" w:space="0"/>
            </w:tcBorders>
            <w:noWrap/>
            <w:vAlign w:val="center"/>
          </w:tcPr>
          <w:p w14:paraId="514599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80kW一体式直流充电桩（双枪）</w:t>
            </w:r>
          </w:p>
        </w:tc>
        <w:tc>
          <w:tcPr>
            <w:tcW w:w="377" w:type="pct"/>
            <w:tcBorders>
              <w:top w:val="single" w:color="auto" w:sz="4" w:space="0"/>
              <w:left w:val="single" w:color="auto" w:sz="4" w:space="0"/>
              <w:bottom w:val="single" w:color="auto" w:sz="4" w:space="0"/>
              <w:right w:val="single" w:color="auto" w:sz="4" w:space="0"/>
            </w:tcBorders>
            <w:noWrap/>
            <w:vAlign w:val="center"/>
          </w:tcPr>
          <w:p w14:paraId="13CD4B57">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58D7700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60A7571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49E0E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26211</w:t>
            </w:r>
          </w:p>
        </w:tc>
        <w:tc>
          <w:tcPr>
            <w:tcW w:w="295" w:type="pct"/>
            <w:tcBorders>
              <w:top w:val="single" w:color="auto" w:sz="4" w:space="0"/>
              <w:left w:val="single" w:color="auto" w:sz="4" w:space="0"/>
              <w:bottom w:val="single" w:color="auto" w:sz="4" w:space="0"/>
              <w:right w:val="single" w:color="auto" w:sz="4" w:space="0"/>
            </w:tcBorders>
            <w:noWrap/>
            <w:vAlign w:val="center"/>
          </w:tcPr>
          <w:p w14:paraId="75CF293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6</w:t>
            </w:r>
          </w:p>
        </w:tc>
        <w:tc>
          <w:tcPr>
            <w:tcW w:w="1138" w:type="pct"/>
            <w:tcBorders>
              <w:left w:val="single" w:color="auto" w:sz="4" w:space="0"/>
              <w:right w:val="single" w:color="auto" w:sz="4" w:space="0"/>
            </w:tcBorders>
            <w:noWrap/>
            <w:vAlign w:val="center"/>
          </w:tcPr>
          <w:p w14:paraId="7E9FA95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77AD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1E234C5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6</w:t>
            </w:r>
          </w:p>
        </w:tc>
        <w:tc>
          <w:tcPr>
            <w:tcW w:w="1290" w:type="pct"/>
            <w:tcBorders>
              <w:top w:val="single" w:color="auto" w:sz="4" w:space="0"/>
              <w:left w:val="single" w:color="auto" w:sz="4" w:space="0"/>
              <w:bottom w:val="single" w:color="auto" w:sz="4" w:space="0"/>
              <w:right w:val="single" w:color="auto" w:sz="4" w:space="0"/>
            </w:tcBorders>
            <w:noWrap/>
            <w:vAlign w:val="center"/>
          </w:tcPr>
          <w:p w14:paraId="5BD2C49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120kW一体式直流充电桩（双枪）</w:t>
            </w:r>
          </w:p>
        </w:tc>
        <w:tc>
          <w:tcPr>
            <w:tcW w:w="377" w:type="pct"/>
            <w:tcBorders>
              <w:top w:val="single" w:color="auto" w:sz="4" w:space="0"/>
              <w:left w:val="single" w:color="auto" w:sz="4" w:space="0"/>
              <w:bottom w:val="single" w:color="auto" w:sz="4" w:space="0"/>
              <w:right w:val="single" w:color="auto" w:sz="4" w:space="0"/>
            </w:tcBorders>
            <w:noWrap/>
            <w:vAlign w:val="center"/>
          </w:tcPr>
          <w:p w14:paraId="140612F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05F283C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041A8458">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9FD63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37684</w:t>
            </w:r>
          </w:p>
        </w:tc>
        <w:tc>
          <w:tcPr>
            <w:tcW w:w="295" w:type="pct"/>
            <w:tcBorders>
              <w:top w:val="single" w:color="auto" w:sz="4" w:space="0"/>
              <w:left w:val="single" w:color="auto" w:sz="4" w:space="0"/>
              <w:bottom w:val="single" w:color="auto" w:sz="4" w:space="0"/>
              <w:right w:val="single" w:color="auto" w:sz="4" w:space="0"/>
            </w:tcBorders>
            <w:noWrap/>
            <w:vAlign w:val="center"/>
          </w:tcPr>
          <w:p w14:paraId="1CC35068">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4</w:t>
            </w:r>
          </w:p>
        </w:tc>
        <w:tc>
          <w:tcPr>
            <w:tcW w:w="1138" w:type="pct"/>
            <w:tcBorders>
              <w:left w:val="single" w:color="auto" w:sz="4" w:space="0"/>
              <w:right w:val="single" w:color="auto" w:sz="4" w:space="0"/>
            </w:tcBorders>
            <w:noWrap/>
            <w:vAlign w:val="center"/>
          </w:tcPr>
          <w:p w14:paraId="6CF0576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3831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512B091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7</w:t>
            </w:r>
          </w:p>
        </w:tc>
        <w:tc>
          <w:tcPr>
            <w:tcW w:w="1290" w:type="pct"/>
            <w:tcBorders>
              <w:top w:val="single" w:color="auto" w:sz="4" w:space="0"/>
              <w:left w:val="single" w:color="auto" w:sz="4" w:space="0"/>
              <w:bottom w:val="single" w:color="auto" w:sz="4" w:space="0"/>
              <w:right w:val="single" w:color="auto" w:sz="4" w:space="0"/>
            </w:tcBorders>
            <w:noWrap/>
            <w:vAlign w:val="center"/>
          </w:tcPr>
          <w:p w14:paraId="198309C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160kW一体式直流充电桩（双枪）</w:t>
            </w:r>
          </w:p>
        </w:tc>
        <w:tc>
          <w:tcPr>
            <w:tcW w:w="377" w:type="pct"/>
            <w:tcBorders>
              <w:top w:val="single" w:color="auto" w:sz="4" w:space="0"/>
              <w:left w:val="single" w:color="auto" w:sz="4" w:space="0"/>
              <w:bottom w:val="single" w:color="auto" w:sz="4" w:space="0"/>
              <w:right w:val="single" w:color="auto" w:sz="4" w:space="0"/>
            </w:tcBorders>
            <w:noWrap/>
            <w:vAlign w:val="center"/>
          </w:tcPr>
          <w:p w14:paraId="231B1CF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5D05D06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30B1E60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15A31F">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42000</w:t>
            </w:r>
          </w:p>
        </w:tc>
        <w:tc>
          <w:tcPr>
            <w:tcW w:w="295" w:type="pct"/>
            <w:tcBorders>
              <w:top w:val="single" w:color="auto" w:sz="4" w:space="0"/>
              <w:left w:val="single" w:color="auto" w:sz="4" w:space="0"/>
              <w:bottom w:val="single" w:color="auto" w:sz="4" w:space="0"/>
              <w:right w:val="single" w:color="auto" w:sz="4" w:space="0"/>
            </w:tcBorders>
            <w:noWrap/>
            <w:vAlign w:val="center"/>
          </w:tcPr>
          <w:p w14:paraId="5D45CF1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w:t>
            </w:r>
          </w:p>
        </w:tc>
        <w:tc>
          <w:tcPr>
            <w:tcW w:w="1138" w:type="pct"/>
            <w:tcBorders>
              <w:left w:val="single" w:color="auto" w:sz="4" w:space="0"/>
              <w:right w:val="single" w:color="auto" w:sz="4" w:space="0"/>
            </w:tcBorders>
            <w:noWrap/>
            <w:vAlign w:val="center"/>
          </w:tcPr>
          <w:p w14:paraId="7800EC8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5884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0C48973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8</w:t>
            </w:r>
          </w:p>
        </w:tc>
        <w:tc>
          <w:tcPr>
            <w:tcW w:w="1290" w:type="pct"/>
            <w:tcBorders>
              <w:top w:val="single" w:color="auto" w:sz="4" w:space="0"/>
              <w:left w:val="single" w:color="auto" w:sz="4" w:space="0"/>
              <w:bottom w:val="single" w:color="auto" w:sz="4" w:space="0"/>
              <w:right w:val="single" w:color="auto" w:sz="4" w:space="0"/>
            </w:tcBorders>
            <w:noWrap/>
            <w:vAlign w:val="center"/>
          </w:tcPr>
          <w:p w14:paraId="681E83F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240kW一体式直流充电桩（双枪）</w:t>
            </w:r>
          </w:p>
        </w:tc>
        <w:tc>
          <w:tcPr>
            <w:tcW w:w="377" w:type="pct"/>
            <w:tcBorders>
              <w:top w:val="single" w:color="auto" w:sz="4" w:space="0"/>
              <w:left w:val="single" w:color="auto" w:sz="4" w:space="0"/>
              <w:bottom w:val="single" w:color="auto" w:sz="4" w:space="0"/>
              <w:right w:val="single" w:color="auto" w:sz="4" w:space="0"/>
            </w:tcBorders>
            <w:noWrap/>
            <w:vAlign w:val="center"/>
          </w:tcPr>
          <w:p w14:paraId="21E0711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71E9471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39DAE81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4B0B2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55474</w:t>
            </w:r>
          </w:p>
        </w:tc>
        <w:tc>
          <w:tcPr>
            <w:tcW w:w="295" w:type="pct"/>
            <w:tcBorders>
              <w:top w:val="single" w:color="auto" w:sz="4" w:space="0"/>
              <w:left w:val="single" w:color="auto" w:sz="4" w:space="0"/>
              <w:bottom w:val="single" w:color="auto" w:sz="4" w:space="0"/>
              <w:right w:val="single" w:color="auto" w:sz="4" w:space="0"/>
            </w:tcBorders>
            <w:noWrap/>
            <w:vAlign w:val="center"/>
          </w:tcPr>
          <w:p w14:paraId="54F19E5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w:t>
            </w:r>
          </w:p>
        </w:tc>
        <w:tc>
          <w:tcPr>
            <w:tcW w:w="1138" w:type="pct"/>
            <w:tcBorders>
              <w:left w:val="single" w:color="auto" w:sz="4" w:space="0"/>
              <w:right w:val="single" w:color="auto" w:sz="4" w:space="0"/>
            </w:tcBorders>
            <w:noWrap/>
            <w:vAlign w:val="center"/>
          </w:tcPr>
          <w:p w14:paraId="621B828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1D5C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5D546B8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9</w:t>
            </w:r>
          </w:p>
        </w:tc>
        <w:tc>
          <w:tcPr>
            <w:tcW w:w="1290" w:type="pct"/>
            <w:tcBorders>
              <w:top w:val="single" w:color="auto" w:sz="4" w:space="0"/>
              <w:left w:val="single" w:color="auto" w:sz="4" w:space="0"/>
              <w:bottom w:val="single" w:color="auto" w:sz="4" w:space="0"/>
              <w:right w:val="single" w:color="auto" w:sz="4" w:space="0"/>
            </w:tcBorders>
            <w:noWrap/>
            <w:vAlign w:val="center"/>
          </w:tcPr>
          <w:p w14:paraId="2F239A8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直流充（放）电终端（单枪4m枪线）</w:t>
            </w:r>
          </w:p>
        </w:tc>
        <w:tc>
          <w:tcPr>
            <w:tcW w:w="377" w:type="pct"/>
            <w:tcBorders>
              <w:top w:val="single" w:color="auto" w:sz="4" w:space="0"/>
              <w:left w:val="single" w:color="auto" w:sz="4" w:space="0"/>
              <w:bottom w:val="single" w:color="auto" w:sz="4" w:space="0"/>
              <w:right w:val="single" w:color="auto" w:sz="4" w:space="0"/>
            </w:tcBorders>
            <w:noWrap/>
            <w:vAlign w:val="center"/>
          </w:tcPr>
          <w:p w14:paraId="4E7DC51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00A4E89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2E50D976">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82D0A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5095</w:t>
            </w:r>
          </w:p>
        </w:tc>
        <w:tc>
          <w:tcPr>
            <w:tcW w:w="295" w:type="pct"/>
            <w:tcBorders>
              <w:top w:val="single" w:color="auto" w:sz="4" w:space="0"/>
              <w:left w:val="single" w:color="auto" w:sz="4" w:space="0"/>
              <w:bottom w:val="single" w:color="auto" w:sz="4" w:space="0"/>
              <w:right w:val="single" w:color="auto" w:sz="4" w:space="0"/>
            </w:tcBorders>
            <w:noWrap/>
            <w:vAlign w:val="center"/>
          </w:tcPr>
          <w:p w14:paraId="6D3B0770">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29</w:t>
            </w:r>
          </w:p>
        </w:tc>
        <w:tc>
          <w:tcPr>
            <w:tcW w:w="1138" w:type="pct"/>
            <w:tcBorders>
              <w:left w:val="single" w:color="auto" w:sz="4" w:space="0"/>
              <w:right w:val="single" w:color="auto" w:sz="4" w:space="0"/>
            </w:tcBorders>
            <w:noWrap/>
            <w:vAlign w:val="center"/>
          </w:tcPr>
          <w:p w14:paraId="2685477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412D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0ABDBA7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10</w:t>
            </w:r>
          </w:p>
        </w:tc>
        <w:tc>
          <w:tcPr>
            <w:tcW w:w="1290" w:type="pct"/>
            <w:tcBorders>
              <w:top w:val="single" w:color="auto" w:sz="4" w:space="0"/>
              <w:left w:val="single" w:color="auto" w:sz="4" w:space="0"/>
              <w:bottom w:val="single" w:color="auto" w:sz="4" w:space="0"/>
              <w:right w:val="single" w:color="auto" w:sz="4" w:space="0"/>
            </w:tcBorders>
            <w:noWrap/>
            <w:vAlign w:val="center"/>
          </w:tcPr>
          <w:p w14:paraId="45228A0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直流充电终端（双枪各5m枪线）</w:t>
            </w:r>
          </w:p>
        </w:tc>
        <w:tc>
          <w:tcPr>
            <w:tcW w:w="377" w:type="pct"/>
            <w:tcBorders>
              <w:top w:val="single" w:color="auto" w:sz="4" w:space="0"/>
              <w:left w:val="single" w:color="auto" w:sz="4" w:space="0"/>
              <w:bottom w:val="single" w:color="auto" w:sz="4" w:space="0"/>
              <w:right w:val="single" w:color="auto" w:sz="4" w:space="0"/>
            </w:tcBorders>
            <w:noWrap/>
            <w:vAlign w:val="center"/>
          </w:tcPr>
          <w:p w14:paraId="3B97897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7333EA8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3D58AF8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9EE06B">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10705</w:t>
            </w:r>
          </w:p>
        </w:tc>
        <w:tc>
          <w:tcPr>
            <w:tcW w:w="295" w:type="pct"/>
            <w:tcBorders>
              <w:top w:val="single" w:color="auto" w:sz="4" w:space="0"/>
              <w:left w:val="single" w:color="auto" w:sz="4" w:space="0"/>
              <w:bottom w:val="single" w:color="auto" w:sz="4" w:space="0"/>
              <w:right w:val="single" w:color="auto" w:sz="4" w:space="0"/>
            </w:tcBorders>
            <w:noWrap/>
            <w:vAlign w:val="center"/>
          </w:tcPr>
          <w:p w14:paraId="54F9EECF">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5</w:t>
            </w:r>
          </w:p>
        </w:tc>
        <w:tc>
          <w:tcPr>
            <w:tcW w:w="1138" w:type="pct"/>
            <w:tcBorders>
              <w:left w:val="single" w:color="auto" w:sz="4" w:space="0"/>
              <w:right w:val="single" w:color="auto" w:sz="4" w:space="0"/>
            </w:tcBorders>
            <w:noWrap/>
            <w:vAlign w:val="center"/>
          </w:tcPr>
          <w:p w14:paraId="054AC6D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7981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79A447A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11</w:t>
            </w:r>
          </w:p>
        </w:tc>
        <w:tc>
          <w:tcPr>
            <w:tcW w:w="1290" w:type="pct"/>
            <w:tcBorders>
              <w:top w:val="single" w:color="auto" w:sz="4" w:space="0"/>
              <w:left w:val="single" w:color="auto" w:sz="4" w:space="0"/>
              <w:bottom w:val="single" w:color="auto" w:sz="4" w:space="0"/>
              <w:right w:val="single" w:color="auto" w:sz="4" w:space="0"/>
            </w:tcBorders>
            <w:noWrap/>
            <w:vAlign w:val="center"/>
          </w:tcPr>
          <w:p w14:paraId="6D40E4B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直流充（放）电终端6m枪线</w:t>
            </w:r>
          </w:p>
        </w:tc>
        <w:tc>
          <w:tcPr>
            <w:tcW w:w="377" w:type="pct"/>
            <w:tcBorders>
              <w:top w:val="single" w:color="auto" w:sz="4" w:space="0"/>
              <w:left w:val="single" w:color="auto" w:sz="4" w:space="0"/>
              <w:bottom w:val="single" w:color="auto" w:sz="4" w:space="0"/>
              <w:right w:val="single" w:color="auto" w:sz="4" w:space="0"/>
            </w:tcBorders>
            <w:noWrap/>
            <w:vAlign w:val="center"/>
          </w:tcPr>
          <w:p w14:paraId="350A8AD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50C4104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2E8F96E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127A53">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5915</w:t>
            </w:r>
          </w:p>
        </w:tc>
        <w:tc>
          <w:tcPr>
            <w:tcW w:w="295" w:type="pct"/>
            <w:tcBorders>
              <w:top w:val="single" w:color="auto" w:sz="4" w:space="0"/>
              <w:left w:val="single" w:color="auto" w:sz="4" w:space="0"/>
              <w:bottom w:val="single" w:color="auto" w:sz="4" w:space="0"/>
              <w:right w:val="single" w:color="auto" w:sz="4" w:space="0"/>
            </w:tcBorders>
            <w:noWrap/>
            <w:vAlign w:val="center"/>
          </w:tcPr>
          <w:p w14:paraId="5C5A081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10</w:t>
            </w:r>
          </w:p>
        </w:tc>
        <w:tc>
          <w:tcPr>
            <w:tcW w:w="1138" w:type="pct"/>
            <w:tcBorders>
              <w:left w:val="single" w:color="auto" w:sz="4" w:space="0"/>
              <w:right w:val="single" w:color="auto" w:sz="4" w:space="0"/>
            </w:tcBorders>
            <w:noWrap/>
            <w:vAlign w:val="center"/>
          </w:tcPr>
          <w:p w14:paraId="3095017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76D9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74E626F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12</w:t>
            </w:r>
          </w:p>
        </w:tc>
        <w:tc>
          <w:tcPr>
            <w:tcW w:w="1290" w:type="pct"/>
            <w:tcBorders>
              <w:top w:val="single" w:color="auto" w:sz="4" w:space="0"/>
              <w:left w:val="single" w:color="auto" w:sz="4" w:space="0"/>
              <w:bottom w:val="single" w:color="auto" w:sz="4" w:space="0"/>
              <w:right w:val="single" w:color="auto" w:sz="4" w:space="0"/>
            </w:tcBorders>
            <w:noWrap/>
            <w:vAlign w:val="center"/>
          </w:tcPr>
          <w:p w14:paraId="1E61630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直流充电终端I（400A液冷）</w:t>
            </w:r>
          </w:p>
        </w:tc>
        <w:tc>
          <w:tcPr>
            <w:tcW w:w="377" w:type="pct"/>
            <w:tcBorders>
              <w:top w:val="single" w:color="auto" w:sz="4" w:space="0"/>
              <w:left w:val="single" w:color="auto" w:sz="4" w:space="0"/>
              <w:bottom w:val="single" w:color="auto" w:sz="4" w:space="0"/>
              <w:right w:val="single" w:color="auto" w:sz="4" w:space="0"/>
            </w:tcBorders>
            <w:noWrap/>
            <w:vAlign w:val="center"/>
          </w:tcPr>
          <w:p w14:paraId="73B60B3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76AFDFC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3742AC07">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92205F">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9580</w:t>
            </w:r>
          </w:p>
        </w:tc>
        <w:tc>
          <w:tcPr>
            <w:tcW w:w="295" w:type="pct"/>
            <w:tcBorders>
              <w:top w:val="single" w:color="auto" w:sz="4" w:space="0"/>
              <w:left w:val="single" w:color="auto" w:sz="4" w:space="0"/>
              <w:bottom w:val="single" w:color="auto" w:sz="4" w:space="0"/>
              <w:right w:val="single" w:color="auto" w:sz="4" w:space="0"/>
            </w:tcBorders>
            <w:noWrap/>
            <w:vAlign w:val="center"/>
          </w:tcPr>
          <w:p w14:paraId="38183CB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35</w:t>
            </w:r>
          </w:p>
        </w:tc>
        <w:tc>
          <w:tcPr>
            <w:tcW w:w="1138" w:type="pct"/>
            <w:tcBorders>
              <w:left w:val="single" w:color="auto" w:sz="4" w:space="0"/>
              <w:right w:val="single" w:color="auto" w:sz="4" w:space="0"/>
            </w:tcBorders>
            <w:noWrap/>
            <w:vAlign w:val="center"/>
          </w:tcPr>
          <w:p w14:paraId="281F5FC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2351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496E74C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13</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21D3B1">
            <w:pPr>
              <w:keepNext w:val="0"/>
              <w:keepLines w:val="0"/>
              <w:widowControl/>
              <w:suppressLineNumbers w:val="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直流充电终端II（600A液冷）</w:t>
            </w:r>
          </w:p>
        </w:tc>
        <w:tc>
          <w:tcPr>
            <w:tcW w:w="377" w:type="pct"/>
            <w:tcBorders>
              <w:top w:val="single" w:color="auto" w:sz="4" w:space="0"/>
              <w:left w:val="single" w:color="auto" w:sz="4" w:space="0"/>
              <w:bottom w:val="single" w:color="auto" w:sz="4" w:space="0"/>
              <w:right w:val="single" w:color="auto" w:sz="4" w:space="0"/>
            </w:tcBorders>
            <w:noWrap/>
            <w:vAlign w:val="center"/>
          </w:tcPr>
          <w:p w14:paraId="2925C0DD">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3B615F4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5335B99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14F3A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18817</w:t>
            </w:r>
          </w:p>
        </w:tc>
        <w:tc>
          <w:tcPr>
            <w:tcW w:w="295" w:type="pct"/>
            <w:tcBorders>
              <w:top w:val="single" w:color="auto" w:sz="4" w:space="0"/>
              <w:left w:val="single" w:color="auto" w:sz="4" w:space="0"/>
              <w:bottom w:val="single" w:color="auto" w:sz="4" w:space="0"/>
              <w:right w:val="single" w:color="auto" w:sz="4" w:space="0"/>
            </w:tcBorders>
            <w:noWrap/>
            <w:vAlign w:val="center"/>
          </w:tcPr>
          <w:p w14:paraId="43A57D7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4</w:t>
            </w:r>
          </w:p>
        </w:tc>
        <w:tc>
          <w:tcPr>
            <w:tcW w:w="1138" w:type="pct"/>
            <w:tcBorders>
              <w:left w:val="single" w:color="auto" w:sz="4" w:space="0"/>
              <w:right w:val="single" w:color="auto" w:sz="4" w:space="0"/>
            </w:tcBorders>
            <w:noWrap/>
            <w:vAlign w:val="center"/>
          </w:tcPr>
          <w:p w14:paraId="0E169C8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72ED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70A0867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14</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25AF3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240kW拖4分体式直流充放电机 含双向模块</w:t>
            </w:r>
          </w:p>
        </w:tc>
        <w:tc>
          <w:tcPr>
            <w:tcW w:w="377" w:type="pct"/>
            <w:tcBorders>
              <w:top w:val="single" w:color="auto" w:sz="4" w:space="0"/>
              <w:left w:val="single" w:color="auto" w:sz="4" w:space="0"/>
              <w:bottom w:val="single" w:color="auto" w:sz="4" w:space="0"/>
              <w:right w:val="single" w:color="auto" w:sz="4" w:space="0"/>
            </w:tcBorders>
            <w:noWrap/>
            <w:vAlign w:val="center"/>
          </w:tcPr>
          <w:p w14:paraId="7A747C6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17BE84B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5A55341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56304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103650</w:t>
            </w:r>
          </w:p>
        </w:tc>
        <w:tc>
          <w:tcPr>
            <w:tcW w:w="295" w:type="pct"/>
            <w:tcBorders>
              <w:top w:val="single" w:color="auto" w:sz="4" w:space="0"/>
              <w:left w:val="single" w:color="auto" w:sz="4" w:space="0"/>
              <w:bottom w:val="single" w:color="auto" w:sz="4" w:space="0"/>
              <w:right w:val="single" w:color="auto" w:sz="4" w:space="0"/>
            </w:tcBorders>
            <w:noWrap/>
            <w:vAlign w:val="center"/>
          </w:tcPr>
          <w:p w14:paraId="36F97940">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w:t>
            </w:r>
          </w:p>
        </w:tc>
        <w:tc>
          <w:tcPr>
            <w:tcW w:w="1138" w:type="pct"/>
            <w:tcBorders>
              <w:left w:val="single" w:color="auto" w:sz="4" w:space="0"/>
              <w:right w:val="single" w:color="auto" w:sz="4" w:space="0"/>
            </w:tcBorders>
            <w:noWrap/>
            <w:vAlign w:val="center"/>
          </w:tcPr>
          <w:p w14:paraId="15ECA29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2AD1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714C5FB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15</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09582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240kW分体式直流充电机（主机）含模块不含PDU</w:t>
            </w:r>
          </w:p>
        </w:tc>
        <w:tc>
          <w:tcPr>
            <w:tcW w:w="377" w:type="pct"/>
            <w:tcBorders>
              <w:top w:val="single" w:color="auto" w:sz="4" w:space="0"/>
              <w:left w:val="single" w:color="auto" w:sz="4" w:space="0"/>
              <w:bottom w:val="single" w:color="auto" w:sz="4" w:space="0"/>
              <w:right w:val="single" w:color="auto" w:sz="4" w:space="0"/>
            </w:tcBorders>
            <w:noWrap/>
            <w:vAlign w:val="center"/>
          </w:tcPr>
          <w:p w14:paraId="022D242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1BEFC893">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046F891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B37E58">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71401</w:t>
            </w:r>
          </w:p>
        </w:tc>
        <w:tc>
          <w:tcPr>
            <w:tcW w:w="295" w:type="pct"/>
            <w:tcBorders>
              <w:top w:val="single" w:color="auto" w:sz="4" w:space="0"/>
              <w:left w:val="single" w:color="auto" w:sz="4" w:space="0"/>
              <w:bottom w:val="single" w:color="auto" w:sz="4" w:space="0"/>
              <w:right w:val="single" w:color="auto" w:sz="4" w:space="0"/>
            </w:tcBorders>
            <w:noWrap/>
            <w:vAlign w:val="center"/>
          </w:tcPr>
          <w:p w14:paraId="2674511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3</w:t>
            </w:r>
          </w:p>
        </w:tc>
        <w:tc>
          <w:tcPr>
            <w:tcW w:w="1138" w:type="pct"/>
            <w:tcBorders>
              <w:left w:val="single" w:color="auto" w:sz="4" w:space="0"/>
              <w:right w:val="single" w:color="auto" w:sz="4" w:space="0"/>
            </w:tcBorders>
            <w:noWrap/>
            <w:vAlign w:val="center"/>
          </w:tcPr>
          <w:p w14:paraId="2717CFA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07A2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2F1A6E5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16</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E319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480kW分体式直流充电机（主机）含模块不含PDU</w:t>
            </w:r>
          </w:p>
        </w:tc>
        <w:tc>
          <w:tcPr>
            <w:tcW w:w="377" w:type="pct"/>
            <w:tcBorders>
              <w:top w:val="single" w:color="auto" w:sz="4" w:space="0"/>
              <w:left w:val="single" w:color="auto" w:sz="4" w:space="0"/>
              <w:bottom w:val="single" w:color="auto" w:sz="4" w:space="0"/>
              <w:right w:val="single" w:color="auto" w:sz="4" w:space="0"/>
            </w:tcBorders>
            <w:noWrap/>
            <w:vAlign w:val="center"/>
          </w:tcPr>
          <w:p w14:paraId="505D7CE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2722F2A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2A3B5FD5">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D00594">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137442</w:t>
            </w:r>
          </w:p>
        </w:tc>
        <w:tc>
          <w:tcPr>
            <w:tcW w:w="295" w:type="pct"/>
            <w:tcBorders>
              <w:top w:val="single" w:color="auto" w:sz="4" w:space="0"/>
              <w:left w:val="single" w:color="auto" w:sz="4" w:space="0"/>
              <w:bottom w:val="single" w:color="auto" w:sz="4" w:space="0"/>
              <w:right w:val="single" w:color="auto" w:sz="4" w:space="0"/>
            </w:tcBorders>
            <w:noWrap/>
            <w:vAlign w:val="center"/>
          </w:tcPr>
          <w:p w14:paraId="04572C6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4</w:t>
            </w:r>
          </w:p>
        </w:tc>
        <w:tc>
          <w:tcPr>
            <w:tcW w:w="1138" w:type="pct"/>
            <w:tcBorders>
              <w:left w:val="single" w:color="auto" w:sz="4" w:space="0"/>
              <w:right w:val="single" w:color="auto" w:sz="4" w:space="0"/>
            </w:tcBorders>
            <w:noWrap/>
            <w:vAlign w:val="center"/>
          </w:tcPr>
          <w:p w14:paraId="794FC10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0237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5E078B2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17</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7913A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720kW分体式直流充电机（主机）含模块不含PDU</w:t>
            </w:r>
          </w:p>
        </w:tc>
        <w:tc>
          <w:tcPr>
            <w:tcW w:w="377" w:type="pct"/>
            <w:tcBorders>
              <w:top w:val="single" w:color="auto" w:sz="4" w:space="0"/>
              <w:left w:val="single" w:color="auto" w:sz="4" w:space="0"/>
              <w:bottom w:val="single" w:color="auto" w:sz="4" w:space="0"/>
              <w:right w:val="single" w:color="auto" w:sz="4" w:space="0"/>
            </w:tcBorders>
            <w:noWrap/>
            <w:vAlign w:val="center"/>
          </w:tcPr>
          <w:p w14:paraId="3BF6BCC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62E83FA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5D25C4B8">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6DCC4E">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220520</w:t>
            </w:r>
          </w:p>
        </w:tc>
        <w:tc>
          <w:tcPr>
            <w:tcW w:w="295" w:type="pct"/>
            <w:tcBorders>
              <w:top w:val="single" w:color="auto" w:sz="4" w:space="0"/>
              <w:left w:val="single" w:color="auto" w:sz="4" w:space="0"/>
              <w:bottom w:val="single" w:color="auto" w:sz="4" w:space="0"/>
              <w:right w:val="single" w:color="auto" w:sz="4" w:space="0"/>
            </w:tcBorders>
            <w:noWrap/>
            <w:vAlign w:val="center"/>
          </w:tcPr>
          <w:p w14:paraId="7CC2319A">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6</w:t>
            </w:r>
          </w:p>
        </w:tc>
        <w:tc>
          <w:tcPr>
            <w:tcW w:w="1138" w:type="pct"/>
            <w:tcBorders>
              <w:left w:val="single" w:color="auto" w:sz="4" w:space="0"/>
              <w:right w:val="single" w:color="auto" w:sz="4" w:space="0"/>
            </w:tcBorders>
            <w:noWrap/>
            <w:vAlign w:val="center"/>
          </w:tcPr>
          <w:p w14:paraId="770DBAA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4DBE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3A467E2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18</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BEFC2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960kW分体式直流充电机（主机）含模块不含PDU</w:t>
            </w:r>
          </w:p>
        </w:tc>
        <w:tc>
          <w:tcPr>
            <w:tcW w:w="377" w:type="pct"/>
            <w:tcBorders>
              <w:top w:val="single" w:color="auto" w:sz="4" w:space="0"/>
              <w:left w:val="single" w:color="auto" w:sz="4" w:space="0"/>
              <w:bottom w:val="single" w:color="auto" w:sz="4" w:space="0"/>
              <w:right w:val="single" w:color="auto" w:sz="4" w:space="0"/>
            </w:tcBorders>
            <w:noWrap/>
            <w:vAlign w:val="center"/>
          </w:tcPr>
          <w:p w14:paraId="6BCF826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6AADF74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0AD62461">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2EB779">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269663</w:t>
            </w:r>
          </w:p>
        </w:tc>
        <w:tc>
          <w:tcPr>
            <w:tcW w:w="295" w:type="pct"/>
            <w:tcBorders>
              <w:top w:val="single" w:color="auto" w:sz="4" w:space="0"/>
              <w:left w:val="single" w:color="auto" w:sz="4" w:space="0"/>
              <w:bottom w:val="single" w:color="auto" w:sz="4" w:space="0"/>
              <w:right w:val="single" w:color="auto" w:sz="4" w:space="0"/>
            </w:tcBorders>
            <w:noWrap/>
            <w:vAlign w:val="center"/>
          </w:tcPr>
          <w:p w14:paraId="2D7D05BC">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5</w:t>
            </w:r>
          </w:p>
        </w:tc>
        <w:tc>
          <w:tcPr>
            <w:tcW w:w="1138" w:type="pct"/>
            <w:tcBorders>
              <w:left w:val="single" w:color="auto" w:sz="4" w:space="0"/>
              <w:right w:val="single" w:color="auto" w:sz="4" w:space="0"/>
            </w:tcBorders>
            <w:noWrap/>
            <w:vAlign w:val="center"/>
          </w:tcPr>
          <w:p w14:paraId="20E7B4A0">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25FD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73FE2EF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19</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AC53DB">
            <w:pPr>
              <w:keepNext w:val="0"/>
              <w:keepLines w:val="0"/>
              <w:widowControl/>
              <w:suppressLineNumbers w:val="0"/>
              <w:jc w:val="center"/>
              <w:textAlignment w:val="center"/>
              <w:rPr>
                <w:rStyle w:val="207"/>
                <w:rFonts w:hint="eastAsia" w:ascii="仿宋" w:hAnsi="仿宋" w:eastAsia="仿宋" w:cs="仿宋"/>
                <w:color w:val="auto"/>
                <w:sz w:val="21"/>
                <w:szCs w:val="21"/>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40kW ACDC充电模块</w:t>
            </w:r>
          </w:p>
        </w:tc>
        <w:tc>
          <w:tcPr>
            <w:tcW w:w="377" w:type="pct"/>
            <w:tcBorders>
              <w:top w:val="single" w:color="auto" w:sz="4" w:space="0"/>
              <w:left w:val="single" w:color="auto" w:sz="4" w:space="0"/>
              <w:bottom w:val="single" w:color="auto" w:sz="4" w:space="0"/>
              <w:right w:val="single" w:color="auto" w:sz="4" w:space="0"/>
            </w:tcBorders>
            <w:noWrap/>
            <w:vAlign w:val="center"/>
          </w:tcPr>
          <w:p w14:paraId="529CCDA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3E8C95BB">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0C8D1EDD">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AEE3D2">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6632</w:t>
            </w:r>
          </w:p>
        </w:tc>
        <w:tc>
          <w:tcPr>
            <w:tcW w:w="295" w:type="pct"/>
            <w:tcBorders>
              <w:top w:val="single" w:color="auto" w:sz="4" w:space="0"/>
              <w:left w:val="single" w:color="auto" w:sz="4" w:space="0"/>
              <w:bottom w:val="single" w:color="auto" w:sz="4" w:space="0"/>
              <w:right w:val="single" w:color="auto" w:sz="4" w:space="0"/>
            </w:tcBorders>
            <w:noWrap/>
            <w:vAlign w:val="center"/>
          </w:tcPr>
          <w:p w14:paraId="2AE4D0C7">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20</w:t>
            </w:r>
          </w:p>
        </w:tc>
        <w:tc>
          <w:tcPr>
            <w:tcW w:w="1138" w:type="pct"/>
            <w:tcBorders>
              <w:left w:val="single" w:color="auto" w:sz="4" w:space="0"/>
              <w:right w:val="single" w:color="auto" w:sz="4" w:space="0"/>
            </w:tcBorders>
            <w:noWrap/>
            <w:vAlign w:val="center"/>
          </w:tcPr>
          <w:p w14:paraId="143144C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4B8A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 w:type="pct"/>
            <w:tcBorders>
              <w:top w:val="single" w:color="auto" w:sz="4" w:space="0"/>
              <w:left w:val="single" w:color="auto" w:sz="4" w:space="0"/>
              <w:bottom w:val="single" w:color="auto" w:sz="4" w:space="0"/>
              <w:right w:val="single" w:color="auto" w:sz="4" w:space="0"/>
            </w:tcBorders>
            <w:noWrap/>
            <w:vAlign w:val="center"/>
          </w:tcPr>
          <w:p w14:paraId="103783B9">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20</w:t>
            </w:r>
          </w:p>
        </w:tc>
        <w:tc>
          <w:tcPr>
            <w:tcW w:w="12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41D7C1">
            <w:pPr>
              <w:keepNext w:val="0"/>
              <w:keepLines w:val="0"/>
              <w:widowControl/>
              <w:suppressLineNumbers w:val="0"/>
              <w:jc w:val="center"/>
              <w:textAlignment w:val="center"/>
              <w:rPr>
                <w:rStyle w:val="207"/>
                <w:rFonts w:hint="eastAsia" w:ascii="仿宋" w:hAnsi="仿宋" w:eastAsia="仿宋" w:cs="仿宋"/>
                <w:color w:val="auto"/>
                <w:sz w:val="21"/>
                <w:szCs w:val="21"/>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电源分配单元（PDU模块）</w:t>
            </w:r>
          </w:p>
        </w:tc>
        <w:tc>
          <w:tcPr>
            <w:tcW w:w="377" w:type="pct"/>
            <w:tcBorders>
              <w:top w:val="single" w:color="auto" w:sz="4" w:space="0"/>
              <w:left w:val="single" w:color="auto" w:sz="4" w:space="0"/>
              <w:bottom w:val="single" w:color="auto" w:sz="4" w:space="0"/>
              <w:right w:val="single" w:color="auto" w:sz="4" w:space="0"/>
            </w:tcBorders>
            <w:noWrap/>
            <w:vAlign w:val="center"/>
          </w:tcPr>
          <w:p w14:paraId="3EFA1F77">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550" w:type="pct"/>
            <w:tcBorders>
              <w:top w:val="single" w:color="auto" w:sz="4" w:space="0"/>
              <w:left w:val="single" w:color="auto" w:sz="4" w:space="0"/>
              <w:bottom w:val="single" w:color="auto" w:sz="4" w:space="0"/>
              <w:right w:val="single" w:color="auto" w:sz="4" w:space="0"/>
            </w:tcBorders>
            <w:noWrap/>
            <w:vAlign w:val="center"/>
          </w:tcPr>
          <w:p w14:paraId="039676C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c>
          <w:tcPr>
            <w:tcW w:w="668" w:type="pct"/>
            <w:tcBorders>
              <w:top w:val="single" w:color="auto" w:sz="4" w:space="0"/>
              <w:left w:val="single" w:color="auto" w:sz="4" w:space="0"/>
              <w:bottom w:val="single" w:color="auto" w:sz="4" w:space="0"/>
              <w:right w:val="single" w:color="auto" w:sz="4" w:space="0"/>
            </w:tcBorders>
            <w:noWrap/>
            <w:vAlign w:val="center"/>
          </w:tcPr>
          <w:p w14:paraId="4064430B">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i w:val="0"/>
                <w:iCs w:val="0"/>
                <w:color w:val="auto"/>
                <w:kern w:val="0"/>
                <w:sz w:val="21"/>
                <w:szCs w:val="21"/>
                <w:highlight w:val="none"/>
                <w:u w:val="none"/>
                <w:lang w:eastAsia="zh-CN" w:bidi="ar"/>
              </w:rPr>
            </w:pP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77F1BA">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2964</w:t>
            </w:r>
          </w:p>
        </w:tc>
        <w:tc>
          <w:tcPr>
            <w:tcW w:w="295" w:type="pct"/>
            <w:tcBorders>
              <w:top w:val="single" w:color="auto" w:sz="4" w:space="0"/>
              <w:left w:val="single" w:color="auto" w:sz="4" w:space="0"/>
              <w:bottom w:val="single" w:color="auto" w:sz="4" w:space="0"/>
              <w:right w:val="single" w:color="auto" w:sz="4" w:space="0"/>
            </w:tcBorders>
            <w:noWrap/>
            <w:vAlign w:val="center"/>
          </w:tcPr>
          <w:p w14:paraId="3B9A4C4B">
            <w:pPr>
              <w:keepNext w:val="0"/>
              <w:keepLines w:val="0"/>
              <w:pageBreakBefore w:val="0"/>
              <w:widowControl/>
              <w:suppressLineNumbers w:val="0"/>
              <w:kinsoku/>
              <w:wordWrap/>
              <w:overflowPunct/>
              <w:topLinePunct w:val="0"/>
              <w:autoSpaceDE/>
              <w:autoSpaceDN/>
              <w:bidi w:val="0"/>
              <w:spacing w:line="320" w:lineRule="exact"/>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78</w:t>
            </w:r>
          </w:p>
        </w:tc>
        <w:tc>
          <w:tcPr>
            <w:tcW w:w="1138" w:type="pct"/>
            <w:tcBorders>
              <w:left w:val="single" w:color="auto" w:sz="4" w:space="0"/>
              <w:right w:val="single" w:color="auto" w:sz="4" w:space="0"/>
            </w:tcBorders>
            <w:noWrap/>
            <w:vAlign w:val="center"/>
          </w:tcPr>
          <w:p w14:paraId="1D708FF1">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p>
        </w:tc>
      </w:tr>
      <w:tr w14:paraId="69FD0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7B52C5EE">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 xml:space="preserve">上述汇总： 大写：     小写：    </w:t>
            </w:r>
          </w:p>
        </w:tc>
      </w:tr>
      <w:tr w14:paraId="74BF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8"/>
            <w:tcBorders>
              <w:top w:val="single" w:color="auto" w:sz="4" w:space="0"/>
              <w:left w:val="single" w:color="auto" w:sz="4" w:space="0"/>
              <w:bottom w:val="single" w:color="auto" w:sz="4" w:space="0"/>
              <w:right w:val="single" w:color="auto" w:sz="4" w:space="0"/>
            </w:tcBorders>
            <w:noWrap/>
            <w:vAlign w:val="center"/>
          </w:tcPr>
          <w:p w14:paraId="32E64E0A">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二、安装部分</w:t>
            </w:r>
          </w:p>
        </w:tc>
      </w:tr>
      <w:tr w14:paraId="5926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61" w:type="pct"/>
            <w:gridSpan w:val="7"/>
            <w:tcBorders>
              <w:top w:val="single" w:color="auto" w:sz="4" w:space="0"/>
              <w:left w:val="single" w:color="auto" w:sz="4" w:space="0"/>
              <w:bottom w:val="single" w:color="auto" w:sz="4" w:space="0"/>
              <w:right w:val="single" w:color="auto" w:sz="4" w:space="0"/>
            </w:tcBorders>
            <w:noWrap/>
            <w:vAlign w:val="center"/>
          </w:tcPr>
          <w:p w14:paraId="2C68718C">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安装部分</w:t>
            </w:r>
          </w:p>
        </w:tc>
        <w:tc>
          <w:tcPr>
            <w:tcW w:w="1138" w:type="pct"/>
            <w:tcBorders>
              <w:top w:val="single" w:color="auto" w:sz="4" w:space="0"/>
              <w:left w:val="single" w:color="auto" w:sz="4" w:space="0"/>
              <w:bottom w:val="single" w:color="auto" w:sz="4" w:space="0"/>
              <w:right w:val="single" w:color="auto" w:sz="4" w:space="0"/>
            </w:tcBorders>
            <w:noWrap/>
            <w:vAlign w:val="center"/>
          </w:tcPr>
          <w:p w14:paraId="5A77643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下浮率（小写）：    %</w:t>
            </w:r>
          </w:p>
        </w:tc>
      </w:tr>
    </w:tbl>
    <w:p w14:paraId="6F160E2E">
      <w:pPr>
        <w:keepNext w:val="0"/>
        <w:keepLines w:val="0"/>
        <w:pageBreakBefore w:val="0"/>
        <w:widowControl w:val="0"/>
        <w:kinsoku/>
        <w:wordWrap/>
        <w:overflowPunct/>
        <w:topLinePunct w:val="0"/>
        <w:autoSpaceDE/>
        <w:autoSpaceDN/>
        <w:bidi w:val="0"/>
        <w:adjustRightInd/>
        <w:snapToGrid/>
        <w:spacing w:line="320" w:lineRule="exact"/>
        <w:ind w:left="0"/>
        <w:jc w:val="left"/>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eastAsia="zh-CN"/>
        </w:rPr>
        <w:t>：</w:t>
      </w:r>
      <w:r>
        <w:rPr>
          <w:rFonts w:hint="eastAsia" w:ascii="仿宋" w:hAnsi="仿宋" w:eastAsia="仿宋" w:cs="仿宋"/>
          <w:b/>
          <w:bCs/>
          <w:color w:val="auto"/>
          <w:sz w:val="24"/>
          <w:highlight w:val="none"/>
        </w:rPr>
        <w:t>1.</w:t>
      </w:r>
      <w:r>
        <w:rPr>
          <w:rFonts w:hint="eastAsia" w:ascii="仿宋" w:hAnsi="仿宋" w:eastAsia="仿宋" w:cs="仿宋"/>
          <w:b/>
          <w:bCs/>
          <w:color w:val="auto"/>
          <w:sz w:val="24"/>
          <w:highlight w:val="none"/>
          <w:lang w:eastAsia="zh-CN"/>
        </w:rPr>
        <w:t>“总报价”按各项数量</w:t>
      </w:r>
      <w:r>
        <w:rPr>
          <w:rFonts w:hint="eastAsia" w:ascii="仿宋" w:hAnsi="仿宋" w:eastAsia="仿宋" w:cs="仿宋"/>
          <w:b/>
          <w:bCs/>
          <w:color w:val="auto"/>
          <w:sz w:val="24"/>
          <w:highlight w:val="none"/>
          <w:lang w:val="en-US" w:eastAsia="zh-CN"/>
        </w:rPr>
        <w:t>为暂估，中标后数量按实际供货数量结算。</w:t>
      </w:r>
    </w:p>
    <w:p w14:paraId="6AC59D26">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b w:val="0"/>
          <w:bCs w:val="0"/>
          <w:color w:val="auto"/>
          <w:sz w:val="24"/>
          <w:highlight w:val="none"/>
          <w:lang w:val="en-US" w:eastAsia="zh-CN"/>
        </w:rPr>
        <w:t>2.</w:t>
      </w:r>
      <w:r>
        <w:rPr>
          <w:rFonts w:hint="eastAsia" w:ascii="仿宋" w:hAnsi="仿宋" w:eastAsia="仿宋" w:cs="仿宋"/>
          <w:color w:val="auto"/>
          <w:sz w:val="24"/>
          <w:highlight w:val="none"/>
        </w:rPr>
        <w:t>报价一经涂改，应在涂改处加盖单位公章或者由法定代表人或其授权代表签字或盖章，否则其投标作无效投标处理。</w:t>
      </w:r>
    </w:p>
    <w:p w14:paraId="2DF93CA9">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3.有关本项目的招投标及项目实施所涉及的货物价款、劳务、质检（自检）、运输、装卸、调试</w:t>
      </w:r>
      <w:r>
        <w:rPr>
          <w:rFonts w:hint="eastAsia" w:ascii="仿宋" w:hAnsi="仿宋" w:eastAsia="仿宋" w:cs="仿宋"/>
          <w:color w:val="auto"/>
          <w:kern w:val="0"/>
          <w:sz w:val="24"/>
          <w:highlight w:val="none"/>
          <w:lang w:val="zh-CN" w:eastAsia="zh-CN"/>
        </w:rPr>
        <w:t>运行</w:t>
      </w:r>
      <w:r>
        <w:rPr>
          <w:rFonts w:hint="eastAsia" w:ascii="仿宋" w:hAnsi="仿宋" w:eastAsia="仿宋" w:cs="仿宋"/>
          <w:color w:val="auto"/>
          <w:kern w:val="0"/>
          <w:sz w:val="24"/>
          <w:highlight w:val="none"/>
          <w:lang w:val="zh-CN"/>
        </w:rPr>
        <w:t>、缺陷修复、质保、税费等一切费用均计入投标综合单价。</w:t>
      </w:r>
    </w:p>
    <w:p w14:paraId="2C293A57">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4.本项目税金依据国家税法相关规定进行计算。</w:t>
      </w:r>
    </w:p>
    <w:p w14:paraId="310E8B0D">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5.设备报价部分精确到元，安装部分报价最多精确到小数点后两位。</w:t>
      </w:r>
    </w:p>
    <w:p w14:paraId="16C6C9B8">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eastAsia" w:ascii="仿宋" w:hAnsi="仿宋" w:eastAsia="仿宋" w:cs="仿宋"/>
          <w:color w:val="auto"/>
          <w:kern w:val="0"/>
          <w:sz w:val="24"/>
          <w:highlight w:val="none"/>
          <w:lang w:val="zh-CN"/>
        </w:rPr>
      </w:pPr>
    </w:p>
    <w:p w14:paraId="678154D1">
      <w:pPr>
        <w:keepNext w:val="0"/>
        <w:keepLines w:val="0"/>
        <w:pageBreakBefore w:val="0"/>
        <w:widowControl w:val="0"/>
        <w:kinsoku/>
        <w:wordWrap/>
        <w:overflowPunct/>
        <w:topLinePunct w:val="0"/>
        <w:autoSpaceDE/>
        <w:autoSpaceDN/>
        <w:bidi w:val="0"/>
        <w:snapToGrid w:val="0"/>
        <w:spacing w:line="32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法定代表人或其授权代表签字（或盖章）：            </w:t>
      </w:r>
    </w:p>
    <w:p w14:paraId="25A2F5DE">
      <w:pPr>
        <w:keepNext w:val="0"/>
        <w:keepLines w:val="0"/>
        <w:pageBreakBefore w:val="0"/>
        <w:widowControl w:val="0"/>
        <w:kinsoku/>
        <w:wordWrap/>
        <w:overflowPunct/>
        <w:topLinePunct w:val="0"/>
        <w:autoSpaceDE/>
        <w:autoSpaceDN/>
        <w:bidi w:val="0"/>
        <w:snapToGrid w:val="0"/>
        <w:spacing w:line="320" w:lineRule="exact"/>
        <w:ind w:firstLine="480" w:firstLineChars="200"/>
        <w:jc w:val="left"/>
        <w:textAlignment w:val="auto"/>
        <w:rPr>
          <w:rFonts w:hint="eastAsia" w:ascii="仿宋" w:hAnsi="仿宋" w:eastAsia="仿宋" w:cs="仿宋"/>
          <w:color w:val="auto"/>
          <w:sz w:val="24"/>
          <w:highlight w:val="none"/>
        </w:rPr>
        <w:sectPr>
          <w:pgSz w:w="16840" w:h="11907" w:orient="landscape"/>
          <w:pgMar w:top="1417" w:right="1417" w:bottom="1417" w:left="1417" w:header="851" w:footer="850"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eastAsia" w:ascii="仿宋" w:hAnsi="仿宋" w:eastAsia="仿宋" w:cs="仿宋"/>
          <w:color w:val="auto"/>
          <w:sz w:val="24"/>
          <w:highlight w:val="none"/>
        </w:rPr>
        <w:t>日期：    年   月   日</w:t>
      </w:r>
    </w:p>
    <w:p w14:paraId="0A9CBD01">
      <w:pPr>
        <w:rPr>
          <w:rFonts w:hint="eastAsia" w:ascii="仿宋" w:hAnsi="仿宋" w:eastAsia="仿宋" w:cs="仿宋"/>
          <w:color w:val="auto"/>
          <w:highlight w:val="none"/>
        </w:rPr>
      </w:pPr>
    </w:p>
    <w:p w14:paraId="4460DAF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eastAsia" w:ascii="仿宋" w:hAnsi="仿宋" w:eastAsia="仿宋" w:cs="仿宋"/>
          <w:b/>
          <w:i w:val="0"/>
          <w:iCs w:val="0"/>
          <w:color w:val="auto"/>
          <w:spacing w:val="6"/>
          <w:sz w:val="32"/>
          <w:szCs w:val="32"/>
          <w:highlight w:val="none"/>
          <w:lang w:val="en-US" w:eastAsia="zh-CN"/>
        </w:rPr>
      </w:pPr>
      <w:r>
        <w:rPr>
          <w:rFonts w:hint="eastAsia" w:ascii="仿宋" w:hAnsi="仿宋" w:eastAsia="仿宋" w:cs="仿宋"/>
          <w:b/>
          <w:i w:val="0"/>
          <w:iCs w:val="0"/>
          <w:color w:val="auto"/>
          <w:spacing w:val="6"/>
          <w:sz w:val="32"/>
          <w:szCs w:val="32"/>
          <w:highlight w:val="none"/>
          <w:lang w:val="en-US" w:eastAsia="zh-CN"/>
        </w:rPr>
        <w:t>附   件</w:t>
      </w:r>
    </w:p>
    <w:p w14:paraId="079761CA">
      <w:pPr>
        <w:keepNext w:val="0"/>
        <w:keepLines w:val="0"/>
        <w:pageBreakBefore w:val="0"/>
        <w:widowControl w:val="0"/>
        <w:kinsoku/>
        <w:wordWrap/>
        <w:overflowPunct/>
        <w:topLinePunct w:val="0"/>
        <w:autoSpaceDE/>
        <w:autoSpaceDN/>
        <w:bidi w:val="0"/>
        <w:adjustRightInd w:val="0"/>
        <w:spacing w:line="360" w:lineRule="auto"/>
        <w:jc w:val="left"/>
        <w:textAlignment w:val="auto"/>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附件1：质疑函范本及制作说明</w:t>
      </w:r>
    </w:p>
    <w:p w14:paraId="557DDAB4">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0C6FB40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w:t>
      </w:r>
      <w:r>
        <w:rPr>
          <w:rFonts w:hint="eastAsia" w:ascii="仿宋" w:hAnsi="仿宋" w:eastAsia="仿宋" w:cs="仿宋"/>
          <w:bCs/>
          <w:i w:val="0"/>
          <w:iCs w:val="0"/>
          <w:color w:val="auto"/>
          <w:sz w:val="24"/>
          <w:highlight w:val="none"/>
          <w:lang w:eastAsia="zh-CN"/>
        </w:rPr>
        <w:t>投标人</w:t>
      </w:r>
      <w:r>
        <w:rPr>
          <w:rFonts w:hint="eastAsia" w:ascii="仿宋" w:hAnsi="仿宋" w:eastAsia="仿宋" w:cs="仿宋"/>
          <w:bCs/>
          <w:i w:val="0"/>
          <w:iCs w:val="0"/>
          <w:color w:val="auto"/>
          <w:sz w:val="24"/>
          <w:highlight w:val="none"/>
        </w:rPr>
        <w:t>基本信息</w:t>
      </w:r>
    </w:p>
    <w:p w14:paraId="39748B0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p>
    <w:p w14:paraId="011B701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259932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4A213FE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4842416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4117603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 邮编：</w:t>
      </w:r>
    </w:p>
    <w:p w14:paraId="04E9DC0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4776BCE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3D8FC5E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2CF90A6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名称：</w:t>
      </w:r>
    </w:p>
    <w:p w14:paraId="7125B79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获取日期：</w:t>
      </w:r>
    </w:p>
    <w:p w14:paraId="42132CB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019D4AC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质疑事项1：</w:t>
      </w:r>
    </w:p>
    <w:p w14:paraId="42D123A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79338D3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032FBE3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质疑事项2</w:t>
      </w:r>
    </w:p>
    <w:p w14:paraId="5DDDBDA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21E6715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2EB673E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00694ADD">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 xml:space="preserve">签字(签章)：                   公章：                      </w:t>
      </w:r>
    </w:p>
    <w:p w14:paraId="3AD122F7">
      <w:pPr>
        <w:spacing w:line="360" w:lineRule="auto"/>
        <w:rPr>
          <w:rFonts w:hint="eastAsia"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 xml:space="preserve">日期：    </w:t>
      </w:r>
    </w:p>
    <w:p w14:paraId="03556CF2">
      <w:pPr>
        <w:spacing w:line="360" w:lineRule="auto"/>
        <w:rPr>
          <w:rFonts w:hint="eastAsia" w:ascii="仿宋" w:hAnsi="仿宋" w:eastAsia="仿宋" w:cs="仿宋"/>
          <w:b/>
          <w:i w:val="0"/>
          <w:iCs w:val="0"/>
          <w:color w:val="auto"/>
          <w:sz w:val="24"/>
          <w:highlight w:val="none"/>
        </w:rPr>
      </w:pPr>
    </w:p>
    <w:p w14:paraId="66C41AE1">
      <w:pPr>
        <w:spacing w:line="360" w:lineRule="auto"/>
        <w:rPr>
          <w:rFonts w:hint="eastAsia" w:ascii="仿宋" w:hAnsi="仿宋" w:eastAsia="仿宋" w:cs="仿宋"/>
          <w:b/>
          <w:i w:val="0"/>
          <w:iCs w:val="0"/>
          <w:color w:val="auto"/>
          <w:sz w:val="24"/>
          <w:highlight w:val="none"/>
        </w:rPr>
      </w:pPr>
    </w:p>
    <w:p w14:paraId="4634A7C6">
      <w:pPr>
        <w:spacing w:line="360" w:lineRule="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563980E5">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提出质疑时，应提交质疑函和必要的证明材料。</w:t>
      </w:r>
    </w:p>
    <w:p w14:paraId="077BC0C5">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2.质疑</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lang w:eastAsia="zh-CN"/>
        </w:rPr>
        <w:t>投标人</w:t>
      </w:r>
      <w:r>
        <w:rPr>
          <w:rFonts w:hint="eastAsia" w:ascii="仿宋" w:hAnsi="仿宋" w:eastAsia="仿宋" w:cs="仿宋"/>
          <w:i w:val="0"/>
          <w:iCs w:val="0"/>
          <w:color w:val="auto"/>
          <w:kern w:val="0"/>
          <w:sz w:val="24"/>
          <w:highlight w:val="none"/>
        </w:rPr>
        <w:t>签署的授权委托书。授权委托书应载明代理人的姓名或者名称、代理事项、具体权限、期限和相关事项。</w:t>
      </w:r>
    </w:p>
    <w:p w14:paraId="68B79095">
      <w:pPr>
        <w:widowControl/>
        <w:spacing w:line="360" w:lineRule="auto"/>
        <w:ind w:firstLine="480" w:firstLineChars="200"/>
        <w:jc w:val="left"/>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3.质疑</w:t>
      </w:r>
      <w:r>
        <w:rPr>
          <w:rFonts w:hint="eastAsia" w:ascii="仿宋" w:hAnsi="仿宋" w:eastAsia="仿宋" w:cs="仿宋"/>
          <w:i w:val="0"/>
          <w:iCs w:val="0"/>
          <w:strike/>
          <w:color w:val="auto"/>
          <w:sz w:val="24"/>
          <w:highlight w:val="none"/>
          <w:lang w:eastAsia="zh-CN"/>
        </w:rPr>
        <w:t>投标人</w:t>
      </w:r>
      <w:r>
        <w:rPr>
          <w:rFonts w:hint="eastAsia" w:ascii="仿宋" w:hAnsi="仿宋" w:eastAsia="仿宋" w:cs="仿宋"/>
          <w:i w:val="0"/>
          <w:iCs w:val="0"/>
          <w:strike/>
          <w:color w:val="auto"/>
          <w:sz w:val="24"/>
          <w:highlight w:val="none"/>
        </w:rPr>
        <w:t>若对项目的某一分包进行质疑，质疑函中应列明具体分包号。</w:t>
      </w:r>
    </w:p>
    <w:p w14:paraId="51602919">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4.质疑函的质疑事项应具体、明确，并有必要的事实依据和法律依据。</w:t>
      </w:r>
    </w:p>
    <w:p w14:paraId="0E2B228D">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5.质疑函的质疑请求应与质疑事项相关。</w:t>
      </w:r>
    </w:p>
    <w:p w14:paraId="6FC0ED60">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6.质疑</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为自然人的，质疑函应由本人签字；质疑</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为法人或者其他组织的，质疑函应由法定代表人、主要负责人，或者其授权代表签字或者盖章，并加盖公章。</w:t>
      </w:r>
    </w:p>
    <w:p w14:paraId="43C7AE91">
      <w:pPr>
        <w:widowControl/>
        <w:spacing w:line="360" w:lineRule="auto"/>
        <w:ind w:firstLine="600" w:firstLineChars="200"/>
        <w:jc w:val="left"/>
        <w:rPr>
          <w:rFonts w:hint="eastAsia" w:ascii="仿宋" w:hAnsi="仿宋" w:eastAsia="仿宋" w:cs="仿宋"/>
          <w:i w:val="0"/>
          <w:iCs w:val="0"/>
          <w:color w:val="auto"/>
          <w:sz w:val="30"/>
          <w:szCs w:val="30"/>
          <w:highlight w:val="none"/>
        </w:rPr>
      </w:pPr>
    </w:p>
    <w:p w14:paraId="6E15C5A9">
      <w:pPr>
        <w:spacing w:line="360" w:lineRule="auto"/>
        <w:jc w:val="center"/>
        <w:rPr>
          <w:rFonts w:hint="eastAsia" w:ascii="仿宋" w:hAnsi="仿宋" w:eastAsia="仿宋" w:cs="仿宋"/>
          <w:b/>
          <w:i w:val="0"/>
          <w:iCs w:val="0"/>
          <w:color w:val="auto"/>
          <w:spacing w:val="6"/>
          <w:sz w:val="32"/>
          <w:szCs w:val="32"/>
          <w:highlight w:val="none"/>
        </w:rPr>
      </w:pPr>
    </w:p>
    <w:p w14:paraId="69C3849F">
      <w:pPr>
        <w:pStyle w:val="25"/>
        <w:rPr>
          <w:rFonts w:hint="eastAsia" w:ascii="仿宋" w:hAnsi="仿宋" w:eastAsia="仿宋" w:cs="仿宋"/>
          <w:i w:val="0"/>
          <w:iCs w:val="0"/>
          <w:color w:val="auto"/>
          <w:highlight w:val="none"/>
        </w:rPr>
      </w:pPr>
    </w:p>
    <w:p w14:paraId="3125A190">
      <w:pPr>
        <w:pStyle w:val="81"/>
        <w:rPr>
          <w:rFonts w:hint="eastAsia" w:ascii="仿宋" w:hAnsi="仿宋" w:eastAsia="仿宋" w:cs="仿宋"/>
          <w:i w:val="0"/>
          <w:iCs w:val="0"/>
          <w:color w:val="auto"/>
          <w:highlight w:val="none"/>
        </w:rPr>
      </w:pPr>
    </w:p>
    <w:p w14:paraId="2B0DC1BF">
      <w:pPr>
        <w:rPr>
          <w:rFonts w:hint="eastAsia" w:ascii="仿宋" w:hAnsi="仿宋" w:eastAsia="仿宋" w:cs="仿宋"/>
          <w:i w:val="0"/>
          <w:iCs w:val="0"/>
          <w:color w:val="auto"/>
          <w:highlight w:val="none"/>
        </w:rPr>
      </w:pPr>
    </w:p>
    <w:p w14:paraId="09F64953">
      <w:pPr>
        <w:pStyle w:val="25"/>
        <w:rPr>
          <w:rFonts w:hint="eastAsia" w:ascii="仿宋" w:hAnsi="仿宋" w:eastAsia="仿宋" w:cs="仿宋"/>
          <w:i w:val="0"/>
          <w:iCs w:val="0"/>
          <w:color w:val="auto"/>
          <w:highlight w:val="none"/>
        </w:rPr>
      </w:pPr>
    </w:p>
    <w:p w14:paraId="71B87F1F">
      <w:pPr>
        <w:pStyle w:val="81"/>
        <w:rPr>
          <w:rFonts w:hint="eastAsia" w:ascii="仿宋" w:hAnsi="仿宋" w:eastAsia="仿宋" w:cs="仿宋"/>
          <w:i w:val="0"/>
          <w:iCs w:val="0"/>
          <w:color w:val="auto"/>
          <w:highlight w:val="none"/>
        </w:rPr>
      </w:pPr>
    </w:p>
    <w:p w14:paraId="0E4A4E2C">
      <w:pPr>
        <w:rPr>
          <w:rFonts w:hint="eastAsia" w:ascii="仿宋" w:hAnsi="仿宋" w:eastAsia="仿宋" w:cs="仿宋"/>
          <w:i w:val="0"/>
          <w:iCs w:val="0"/>
          <w:color w:val="auto"/>
          <w:highlight w:val="none"/>
        </w:rPr>
      </w:pPr>
    </w:p>
    <w:p w14:paraId="12F95253">
      <w:pPr>
        <w:pStyle w:val="25"/>
        <w:rPr>
          <w:rFonts w:hint="eastAsia" w:ascii="仿宋" w:hAnsi="仿宋" w:eastAsia="仿宋" w:cs="仿宋"/>
          <w:i w:val="0"/>
          <w:iCs w:val="0"/>
          <w:color w:val="auto"/>
          <w:highlight w:val="none"/>
        </w:rPr>
      </w:pPr>
    </w:p>
    <w:p w14:paraId="0356C17A">
      <w:pPr>
        <w:pStyle w:val="81"/>
        <w:rPr>
          <w:rFonts w:hint="eastAsia" w:ascii="仿宋" w:hAnsi="仿宋" w:eastAsia="仿宋" w:cs="仿宋"/>
          <w:i w:val="0"/>
          <w:iCs w:val="0"/>
          <w:color w:val="auto"/>
          <w:highlight w:val="none"/>
        </w:rPr>
      </w:pPr>
    </w:p>
    <w:p w14:paraId="14A44103">
      <w:pPr>
        <w:rPr>
          <w:rFonts w:hint="eastAsia" w:ascii="仿宋" w:hAnsi="仿宋" w:eastAsia="仿宋" w:cs="仿宋"/>
          <w:i w:val="0"/>
          <w:iCs w:val="0"/>
          <w:color w:val="auto"/>
          <w:highlight w:val="none"/>
        </w:rPr>
      </w:pPr>
    </w:p>
    <w:p w14:paraId="7E600F5C">
      <w:pPr>
        <w:pStyle w:val="25"/>
        <w:rPr>
          <w:rFonts w:hint="eastAsia" w:ascii="仿宋" w:hAnsi="仿宋" w:eastAsia="仿宋" w:cs="仿宋"/>
          <w:i w:val="0"/>
          <w:iCs w:val="0"/>
          <w:color w:val="auto"/>
          <w:highlight w:val="none"/>
        </w:rPr>
      </w:pPr>
    </w:p>
    <w:p w14:paraId="2DCAD5ED">
      <w:pPr>
        <w:pStyle w:val="81"/>
        <w:rPr>
          <w:rFonts w:hint="eastAsia" w:ascii="仿宋" w:hAnsi="仿宋" w:eastAsia="仿宋" w:cs="仿宋"/>
          <w:i w:val="0"/>
          <w:iCs w:val="0"/>
          <w:color w:val="auto"/>
          <w:highlight w:val="none"/>
        </w:rPr>
      </w:pPr>
    </w:p>
    <w:p w14:paraId="2BD2DC16">
      <w:pPr>
        <w:rPr>
          <w:rFonts w:hint="eastAsia" w:ascii="仿宋" w:hAnsi="仿宋" w:eastAsia="仿宋" w:cs="仿宋"/>
          <w:i w:val="0"/>
          <w:iCs w:val="0"/>
          <w:color w:val="auto"/>
          <w:highlight w:val="none"/>
        </w:rPr>
      </w:pPr>
    </w:p>
    <w:p w14:paraId="22CFDCAD">
      <w:pPr>
        <w:pStyle w:val="25"/>
        <w:rPr>
          <w:rFonts w:hint="eastAsia" w:ascii="仿宋" w:hAnsi="仿宋" w:eastAsia="仿宋" w:cs="仿宋"/>
          <w:i w:val="0"/>
          <w:iCs w:val="0"/>
          <w:color w:val="auto"/>
          <w:highlight w:val="none"/>
        </w:rPr>
      </w:pPr>
    </w:p>
    <w:p w14:paraId="4661F0B7">
      <w:pPr>
        <w:pStyle w:val="81"/>
        <w:rPr>
          <w:rFonts w:hint="eastAsia" w:ascii="仿宋" w:hAnsi="仿宋" w:eastAsia="仿宋" w:cs="仿宋"/>
          <w:i w:val="0"/>
          <w:iCs w:val="0"/>
          <w:color w:val="auto"/>
          <w:highlight w:val="none"/>
        </w:rPr>
      </w:pPr>
    </w:p>
    <w:p w14:paraId="3397A1B0">
      <w:pPr>
        <w:rPr>
          <w:rFonts w:hint="eastAsia" w:ascii="仿宋" w:hAnsi="仿宋" w:eastAsia="仿宋" w:cs="仿宋"/>
          <w:i w:val="0"/>
          <w:iCs w:val="0"/>
          <w:color w:val="auto"/>
          <w:highlight w:val="none"/>
        </w:rPr>
      </w:pPr>
    </w:p>
    <w:p w14:paraId="53E5A519">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3B648ACC">
      <w:pPr>
        <w:spacing w:line="360" w:lineRule="auto"/>
        <w:jc w:val="left"/>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附件2：投诉书范本及制作说明</w:t>
      </w:r>
    </w:p>
    <w:p w14:paraId="159D0ECE">
      <w:pPr>
        <w:spacing w:line="360" w:lineRule="auto"/>
        <w:jc w:val="cente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2A8C50CF">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78795F34">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5AAB186A">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     址：邮编：</w:t>
      </w:r>
    </w:p>
    <w:p w14:paraId="087F878B">
      <w:pPr>
        <w:tabs>
          <w:tab w:val="left" w:pos="6510"/>
        </w:tabs>
        <w:spacing w:line="360" w:lineRule="auto"/>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法定代表人/主要负责人：</w:t>
      </w:r>
    </w:p>
    <w:p w14:paraId="7BB143E7">
      <w:pPr>
        <w:tabs>
          <w:tab w:val="left" w:pos="6510"/>
        </w:tabs>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52823DAD">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 xml:space="preserve">：                  </w:t>
      </w:r>
    </w:p>
    <w:p w14:paraId="38F82BC1">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     址：邮编：</w:t>
      </w:r>
    </w:p>
    <w:p w14:paraId="0FF83312">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被投诉人1：</w:t>
      </w:r>
    </w:p>
    <w:p w14:paraId="6B508F9D">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     址：邮编：</w:t>
      </w:r>
    </w:p>
    <w:p w14:paraId="03AF74B3">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250010ED">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被投诉人2</w:t>
      </w:r>
    </w:p>
    <w:p w14:paraId="3816B53F">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5B80056E">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w:t>
      </w:r>
    </w:p>
    <w:p w14:paraId="050A566D">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     址：邮编：</w:t>
      </w:r>
    </w:p>
    <w:p w14:paraId="2CC1C172">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15E042D1">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1BDE425F">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招标项目</w:t>
      </w:r>
      <w:r>
        <w:rPr>
          <w:rFonts w:hint="eastAsia" w:ascii="仿宋" w:hAnsi="仿宋" w:eastAsia="仿宋" w:cs="仿宋"/>
          <w:i w:val="0"/>
          <w:iCs w:val="0"/>
          <w:color w:val="auto"/>
          <w:sz w:val="24"/>
          <w:highlight w:val="none"/>
        </w:rPr>
        <w:t>名称：</w:t>
      </w:r>
    </w:p>
    <w:p w14:paraId="5CC73CA1">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lang w:eastAsia="zh-CN"/>
        </w:rPr>
        <w:t>招标项目</w:t>
      </w:r>
      <w:r>
        <w:rPr>
          <w:rFonts w:hint="eastAsia" w:ascii="仿宋" w:hAnsi="仿宋" w:eastAsia="仿宋" w:cs="仿宋"/>
          <w:i w:val="0"/>
          <w:iCs w:val="0"/>
          <w:color w:val="auto"/>
          <w:sz w:val="24"/>
          <w:highlight w:val="none"/>
        </w:rPr>
        <w:t>编号：包号：</w:t>
      </w:r>
    </w:p>
    <w:p w14:paraId="7C436F3D">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招标人</w:t>
      </w:r>
      <w:r>
        <w:rPr>
          <w:rFonts w:hint="eastAsia" w:ascii="仿宋" w:hAnsi="仿宋" w:eastAsia="仿宋" w:cs="仿宋"/>
          <w:i w:val="0"/>
          <w:iCs w:val="0"/>
          <w:color w:val="auto"/>
          <w:sz w:val="24"/>
          <w:highlight w:val="none"/>
        </w:rPr>
        <w:t>名称：</w:t>
      </w:r>
    </w:p>
    <w:p w14:paraId="1E3EEA3A">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2D279C90">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 xml:space="preserve">是/否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944FC73">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lang w:eastAsia="zh-CN"/>
        </w:rPr>
        <w:t>招标结果</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 xml:space="preserve">是/否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345787F9">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49876078">
      <w:pPr>
        <w:spacing w:line="360" w:lineRule="auto"/>
        <w:ind w:firstLine="480" w:firstLineChars="200"/>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日,向</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提出质疑，质疑事项为：</w:t>
      </w:r>
    </w:p>
    <w:p w14:paraId="4A84EE50">
      <w:pPr>
        <w:spacing w:line="360" w:lineRule="auto"/>
        <w:rPr>
          <w:rFonts w:hint="eastAsia" w:ascii="仿宋" w:hAnsi="仿宋" w:eastAsia="仿宋" w:cs="仿宋"/>
          <w:i w:val="0"/>
          <w:iCs w:val="0"/>
          <w:color w:val="auto"/>
          <w:sz w:val="24"/>
          <w:highlight w:val="none"/>
          <w:u w:val="dotted"/>
        </w:rPr>
      </w:pPr>
    </w:p>
    <w:p w14:paraId="41E193F9">
      <w:pPr>
        <w:spacing w:line="360" w:lineRule="auto"/>
        <w:ind w:firstLine="360" w:firstLineChars="15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lang w:eastAsia="zh-CN"/>
        </w:rPr>
        <w:t>招标人</w:t>
      </w:r>
      <w:r>
        <w:rPr>
          <w:rFonts w:hint="eastAsia"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招标代理机构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日,就质疑事项作出了答复/没有在法定期限内作出答复。</w:t>
      </w:r>
    </w:p>
    <w:p w14:paraId="5C888C9E">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70923A3F">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 1：</w:t>
      </w:r>
    </w:p>
    <w:p w14:paraId="7044CD38">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7F65A867">
      <w:pPr>
        <w:spacing w:line="360" w:lineRule="auto"/>
        <w:rPr>
          <w:rFonts w:hint="eastAsia" w:ascii="仿宋" w:hAnsi="仿宋" w:eastAsia="仿宋" w:cs="仿宋"/>
          <w:i w:val="0"/>
          <w:iCs w:val="0"/>
          <w:color w:val="auto"/>
          <w:sz w:val="24"/>
          <w:highlight w:val="none"/>
          <w:u w:val="dotted"/>
        </w:rPr>
      </w:pPr>
    </w:p>
    <w:p w14:paraId="4857E7F6">
      <w:pPr>
        <w:spacing w:line="360" w:lineRule="auto"/>
        <w:rPr>
          <w:rFonts w:hint="eastAsia"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3C9924FB">
      <w:pPr>
        <w:spacing w:line="360" w:lineRule="auto"/>
        <w:rPr>
          <w:rFonts w:hint="eastAsia" w:ascii="仿宋" w:hAnsi="仿宋" w:eastAsia="仿宋" w:cs="仿宋"/>
          <w:i w:val="0"/>
          <w:iCs w:val="0"/>
          <w:color w:val="auto"/>
          <w:sz w:val="24"/>
          <w:highlight w:val="none"/>
          <w:u w:val="dotted"/>
        </w:rPr>
      </w:pPr>
    </w:p>
    <w:p w14:paraId="52ECF8A3">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投诉事项2</w:t>
      </w:r>
    </w:p>
    <w:p w14:paraId="332EB831">
      <w:pPr>
        <w:spacing w:line="360" w:lineRule="auto"/>
        <w:rPr>
          <w:rFonts w:hint="eastAsia"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61BD7E79">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7DC05394">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1249D7E2">
      <w:pPr>
        <w:spacing w:line="360" w:lineRule="auto"/>
        <w:rPr>
          <w:rFonts w:hint="eastAsia" w:ascii="仿宋" w:hAnsi="仿宋" w:eastAsia="仿宋" w:cs="仿宋"/>
          <w:i w:val="0"/>
          <w:iCs w:val="0"/>
          <w:color w:val="auto"/>
          <w:sz w:val="24"/>
          <w:highlight w:val="none"/>
          <w:u w:val="single"/>
        </w:rPr>
      </w:pPr>
    </w:p>
    <w:p w14:paraId="26B83DCB">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 xml:space="preserve">签字(签章)：                   公章：                      </w:t>
      </w:r>
    </w:p>
    <w:p w14:paraId="6EF02C67">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 xml:space="preserve">日期：    </w:t>
      </w:r>
    </w:p>
    <w:p w14:paraId="4568C575">
      <w:pPr>
        <w:spacing w:line="360" w:lineRule="auto"/>
        <w:rPr>
          <w:rFonts w:hint="eastAsia" w:ascii="仿宋" w:hAnsi="仿宋" w:eastAsia="仿宋" w:cs="仿宋"/>
          <w:b/>
          <w:i w:val="0"/>
          <w:iCs w:val="0"/>
          <w:color w:val="auto"/>
          <w:sz w:val="24"/>
          <w:highlight w:val="none"/>
        </w:rPr>
      </w:pPr>
    </w:p>
    <w:p w14:paraId="2A68FF4A">
      <w:pPr>
        <w:spacing w:line="360" w:lineRule="auto"/>
        <w:rPr>
          <w:rFonts w:hint="eastAsia"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07614DC7">
      <w:pPr>
        <w:widowControl/>
        <w:spacing w:line="360" w:lineRule="auto"/>
        <w:ind w:firstLine="480" w:firstLineChars="200"/>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1.投诉人提起投诉时，应当提交投诉书和必要的证明材料，并按照被投诉人和与投诉事项有关的</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数量提供投诉书副本。</w:t>
      </w:r>
    </w:p>
    <w:p w14:paraId="30139F48">
      <w:pPr>
        <w:widowControl/>
        <w:spacing w:line="360" w:lineRule="auto"/>
        <w:ind w:firstLine="480" w:firstLineChars="200"/>
        <w:jc w:val="left"/>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3B92EEFF">
      <w:pPr>
        <w:widowControl/>
        <w:spacing w:line="360" w:lineRule="auto"/>
        <w:ind w:firstLine="480" w:firstLineChars="200"/>
        <w:jc w:val="left"/>
        <w:rPr>
          <w:rFonts w:hint="eastAsia"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3.投诉人若对项目的某一分包进行投诉，投诉书应列明具体分包号。</w:t>
      </w:r>
    </w:p>
    <w:p w14:paraId="06D23DC7">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4.投诉书应简要列明质疑事项，质疑函、质疑答复等作为附件材料提供。</w:t>
      </w:r>
    </w:p>
    <w:p w14:paraId="3ACDB7B4">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5.投诉书的投诉事项应具体、明确，并有必要的事实依据和法律依据。</w:t>
      </w:r>
    </w:p>
    <w:p w14:paraId="0D757A98">
      <w:pPr>
        <w:widowControl/>
        <w:spacing w:line="360" w:lineRule="auto"/>
        <w:ind w:firstLine="480" w:firstLineChars="200"/>
        <w:jc w:val="left"/>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6.投诉书的投诉请求应与投诉事项相关。</w:t>
      </w:r>
    </w:p>
    <w:p w14:paraId="57CAFFB1">
      <w:pPr>
        <w:widowControl/>
        <w:spacing w:line="360" w:lineRule="auto"/>
        <w:ind w:firstLine="480" w:firstLineChars="200"/>
        <w:jc w:val="left"/>
        <w:rPr>
          <w:rFonts w:hint="eastAsia"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7B608846">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69078D9F">
      <w:pPr>
        <w:autoSpaceDE w:val="0"/>
        <w:autoSpaceDN w:val="0"/>
        <w:jc w:val="center"/>
        <w:rPr>
          <w:rFonts w:hint="eastAsia"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附件3：</w:t>
      </w:r>
      <w:r>
        <w:rPr>
          <w:rFonts w:hint="eastAsia" w:ascii="仿宋" w:hAnsi="仿宋" w:eastAsia="仿宋" w:cs="仿宋"/>
          <w:b/>
          <w:bCs/>
          <w:i w:val="0"/>
          <w:iCs w:val="0"/>
          <w:color w:val="auto"/>
          <w:sz w:val="32"/>
          <w:szCs w:val="32"/>
          <w:highlight w:val="none"/>
        </w:rPr>
        <w:t>业务专用章使用说明函</w:t>
      </w:r>
    </w:p>
    <w:p w14:paraId="5676DC84">
      <w:pPr>
        <w:spacing w:line="360" w:lineRule="auto"/>
        <w:rPr>
          <w:rFonts w:hint="eastAsia" w:ascii="仿宋" w:hAnsi="仿宋" w:eastAsia="仿宋" w:cs="仿宋"/>
          <w:i w:val="0"/>
          <w:iCs w:val="0"/>
          <w:color w:val="auto"/>
          <w:sz w:val="24"/>
          <w:highlight w:val="none"/>
          <w:u w:val="single"/>
        </w:rPr>
      </w:pPr>
    </w:p>
    <w:p w14:paraId="6316CA16">
      <w:pPr>
        <w:spacing w:line="360" w:lineRule="auto"/>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u w:val="single"/>
          <w:lang w:eastAsia="zh-CN"/>
        </w:rPr>
        <w:t>招标人</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u w:val="single"/>
          <w:lang w:eastAsia="zh-CN"/>
        </w:rPr>
        <w:t>招标代理机构</w:t>
      </w:r>
      <w:r>
        <w:rPr>
          <w:rFonts w:hint="eastAsia" w:ascii="仿宋" w:hAnsi="仿宋" w:eastAsia="仿宋" w:cs="仿宋"/>
          <w:i w:val="0"/>
          <w:iCs w:val="0"/>
          <w:color w:val="auto"/>
          <w:sz w:val="24"/>
          <w:highlight w:val="none"/>
          <w:u w:val="single"/>
        </w:rPr>
        <w:t>）：</w:t>
      </w:r>
    </w:p>
    <w:p w14:paraId="04F26759">
      <w:pPr>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投标人</w:t>
      </w:r>
      <w:r>
        <w:rPr>
          <w:rFonts w:hint="eastAsia"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w:t>
      </w:r>
      <w:r>
        <w:rPr>
          <w:rFonts w:hint="eastAsia" w:ascii="仿宋" w:hAnsi="仿宋" w:eastAsia="仿宋" w:cs="仿宋"/>
          <w:i w:val="0"/>
          <w:iCs w:val="0"/>
          <w:color w:val="auto"/>
          <w:sz w:val="24"/>
          <w:highlight w:val="none"/>
          <w:lang w:eastAsia="zh-CN"/>
        </w:rPr>
        <w:t>招标编号</w:t>
      </w:r>
      <w:r>
        <w:rPr>
          <w:rFonts w:hint="eastAsia" w:ascii="仿宋" w:hAnsi="仿宋" w:eastAsia="仿宋" w:cs="仿宋"/>
          <w:i w:val="0"/>
          <w:iCs w:val="0"/>
          <w:color w:val="auto"/>
          <w:sz w:val="24"/>
          <w:highlight w:val="none"/>
        </w:rPr>
        <w:t>）】</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 xml:space="preserve">我方所使用的“XX专用章”与法定名称章具有同等的法律效力，对使用“XX专用章”的行为予以完全承认，并愿意承担相应责任。   </w:t>
      </w:r>
    </w:p>
    <w:p w14:paraId="67EA6801">
      <w:pPr>
        <w:spacing w:line="360" w:lineRule="auto"/>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55492371">
      <w:pPr>
        <w:spacing w:line="360" w:lineRule="auto"/>
        <w:ind w:firstLine="494"/>
        <w:rPr>
          <w:rFonts w:hint="eastAsia" w:ascii="仿宋" w:hAnsi="仿宋" w:eastAsia="仿宋" w:cs="仿宋"/>
          <w:i w:val="0"/>
          <w:iCs w:val="0"/>
          <w:color w:val="auto"/>
          <w:sz w:val="24"/>
          <w:highlight w:val="none"/>
        </w:rPr>
      </w:pPr>
    </w:p>
    <w:p w14:paraId="50307D9D">
      <w:pPr>
        <w:spacing w:line="360" w:lineRule="auto"/>
        <w:ind w:firstLine="494"/>
        <w:rPr>
          <w:rFonts w:hint="eastAsia" w:ascii="仿宋" w:hAnsi="仿宋" w:eastAsia="仿宋" w:cs="仿宋"/>
          <w:i w:val="0"/>
          <w:iCs w:val="0"/>
          <w:color w:val="auto"/>
          <w:sz w:val="24"/>
          <w:highlight w:val="none"/>
        </w:rPr>
      </w:pPr>
    </w:p>
    <w:p w14:paraId="654E6361">
      <w:pPr>
        <w:spacing w:line="360" w:lineRule="auto"/>
        <w:ind w:firstLine="494"/>
        <w:rPr>
          <w:rFonts w:hint="eastAsia" w:ascii="仿宋" w:hAnsi="仿宋" w:eastAsia="仿宋" w:cs="仿宋"/>
          <w:i w:val="0"/>
          <w:iCs w:val="0"/>
          <w:color w:val="auto"/>
          <w:sz w:val="24"/>
          <w:highlight w:val="none"/>
        </w:rPr>
      </w:pPr>
    </w:p>
    <w:p w14:paraId="5F32AD69">
      <w:pPr>
        <w:spacing w:line="360" w:lineRule="auto"/>
        <w:ind w:right="480" w:firstLine="4080" w:firstLineChars="17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投标单位（法定名称章）：</w:t>
      </w:r>
    </w:p>
    <w:p w14:paraId="29747D3E">
      <w:pPr>
        <w:ind w:right="1440" w:firstLine="494"/>
        <w:jc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 xml:space="preserve">                              日期：       年     月     日</w:t>
      </w:r>
    </w:p>
    <w:p w14:paraId="17B6E7D7">
      <w:pPr>
        <w:pStyle w:val="25"/>
        <w:rPr>
          <w:rFonts w:hint="eastAsia" w:ascii="仿宋" w:hAnsi="仿宋" w:eastAsia="仿宋" w:cs="仿宋"/>
          <w:i w:val="0"/>
          <w:iCs w:val="0"/>
          <w:color w:val="auto"/>
          <w:highlight w:val="none"/>
        </w:rPr>
      </w:pPr>
    </w:p>
    <w:p w14:paraId="03A39EF7">
      <w:pP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0EE39EDF">
      <w:pPr>
        <w:spacing w:line="360" w:lineRule="auto"/>
        <w:rPr>
          <w:rFonts w:hint="eastAsia" w:ascii="仿宋" w:hAnsi="仿宋" w:eastAsia="仿宋" w:cs="仿宋"/>
          <w:bCs/>
          <w:i w:val="0"/>
          <w:iCs w:val="0"/>
          <w:color w:val="auto"/>
          <w:sz w:val="24"/>
          <w:highlight w:val="none"/>
        </w:rPr>
      </w:pPr>
      <w:r>
        <w:rPr>
          <w:rFonts w:hint="eastAsia" w:ascii="仿宋" w:hAnsi="仿宋" w:eastAsia="仿宋" w:cs="仿宋"/>
          <w:b/>
          <w:bCs/>
          <w:i w:val="0"/>
          <w:iCs w:val="0"/>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rPr>
        <w:t>投标单位法定名称章（印模）                投标单位“XX专用章”（印模）</w:t>
      </w:r>
    </w:p>
    <w:p w14:paraId="340974B5">
      <w:pPr>
        <w:autoSpaceDE w:val="0"/>
        <w:autoSpaceDN w:val="0"/>
        <w:jc w:val="center"/>
        <w:rPr>
          <w:rFonts w:hint="eastAsia" w:ascii="仿宋" w:hAnsi="仿宋" w:eastAsia="仿宋" w:cs="仿宋"/>
          <w:b/>
          <w:i w:val="0"/>
          <w:iCs w:val="0"/>
          <w:color w:val="auto"/>
          <w:spacing w:val="6"/>
          <w:sz w:val="32"/>
          <w:szCs w:val="32"/>
          <w:highlight w:val="none"/>
        </w:rPr>
      </w:pPr>
    </w:p>
    <w:p w14:paraId="5E595B64">
      <w:pPr>
        <w:autoSpaceDE w:val="0"/>
        <w:autoSpaceDN w:val="0"/>
        <w:jc w:val="center"/>
        <w:rPr>
          <w:rFonts w:hint="eastAsia" w:ascii="仿宋" w:hAnsi="仿宋" w:eastAsia="仿宋" w:cs="仿宋"/>
          <w:b/>
          <w:i w:val="0"/>
          <w:iCs w:val="0"/>
          <w:color w:val="auto"/>
          <w:spacing w:val="6"/>
          <w:sz w:val="32"/>
          <w:szCs w:val="32"/>
          <w:highlight w:val="none"/>
        </w:rPr>
      </w:pPr>
    </w:p>
    <w:p w14:paraId="43B59A95">
      <w:pPr>
        <w:autoSpaceDE w:val="0"/>
        <w:autoSpaceDN w:val="0"/>
        <w:jc w:val="center"/>
        <w:rPr>
          <w:rFonts w:hint="eastAsia" w:ascii="仿宋" w:hAnsi="仿宋" w:eastAsia="仿宋" w:cs="仿宋"/>
          <w:b/>
          <w:i w:val="0"/>
          <w:iCs w:val="0"/>
          <w:color w:val="auto"/>
          <w:spacing w:val="6"/>
          <w:sz w:val="32"/>
          <w:szCs w:val="32"/>
          <w:highlight w:val="none"/>
        </w:rPr>
      </w:pPr>
    </w:p>
    <w:p w14:paraId="73083852">
      <w:pPr>
        <w:autoSpaceDE w:val="0"/>
        <w:autoSpaceDN w:val="0"/>
        <w:jc w:val="center"/>
        <w:rPr>
          <w:rFonts w:hint="eastAsia" w:ascii="仿宋" w:hAnsi="仿宋" w:eastAsia="仿宋" w:cs="仿宋"/>
          <w:b/>
          <w:i w:val="0"/>
          <w:iCs w:val="0"/>
          <w:color w:val="auto"/>
          <w:spacing w:val="6"/>
          <w:sz w:val="32"/>
          <w:szCs w:val="32"/>
          <w:highlight w:val="none"/>
        </w:rPr>
      </w:pPr>
    </w:p>
    <w:p w14:paraId="05C127DB">
      <w:pPr>
        <w:autoSpaceDE w:val="0"/>
        <w:autoSpaceDN w:val="0"/>
        <w:jc w:val="center"/>
        <w:rPr>
          <w:rFonts w:hint="eastAsia" w:ascii="仿宋" w:hAnsi="仿宋" w:eastAsia="仿宋" w:cs="仿宋"/>
          <w:b/>
          <w:i w:val="0"/>
          <w:iCs w:val="0"/>
          <w:color w:val="auto"/>
          <w:spacing w:val="6"/>
          <w:sz w:val="32"/>
          <w:szCs w:val="32"/>
          <w:highlight w:val="none"/>
        </w:rPr>
      </w:pPr>
    </w:p>
    <w:p w14:paraId="6ADB3CE6">
      <w:pPr>
        <w:autoSpaceDE w:val="0"/>
        <w:autoSpaceDN w:val="0"/>
        <w:jc w:val="center"/>
        <w:rPr>
          <w:rFonts w:hint="eastAsia" w:ascii="仿宋" w:hAnsi="仿宋" w:eastAsia="仿宋" w:cs="仿宋"/>
          <w:b/>
          <w:i w:val="0"/>
          <w:iCs w:val="0"/>
          <w:color w:val="auto"/>
          <w:spacing w:val="6"/>
          <w:sz w:val="32"/>
          <w:szCs w:val="32"/>
          <w:highlight w:val="none"/>
        </w:rPr>
      </w:pPr>
    </w:p>
    <w:p w14:paraId="3E79B29C">
      <w:pPr>
        <w:autoSpaceDE w:val="0"/>
        <w:autoSpaceDN w:val="0"/>
        <w:jc w:val="center"/>
        <w:rPr>
          <w:rFonts w:hint="eastAsia" w:ascii="仿宋" w:hAnsi="仿宋" w:eastAsia="仿宋" w:cs="仿宋"/>
          <w:b/>
          <w:i w:val="0"/>
          <w:iCs w:val="0"/>
          <w:color w:val="auto"/>
          <w:spacing w:val="6"/>
          <w:sz w:val="32"/>
          <w:szCs w:val="32"/>
          <w:highlight w:val="none"/>
        </w:rPr>
      </w:pPr>
    </w:p>
    <w:p w14:paraId="3C7E5B8D">
      <w:pPr>
        <w:autoSpaceDE w:val="0"/>
        <w:autoSpaceDN w:val="0"/>
        <w:jc w:val="center"/>
        <w:rPr>
          <w:rFonts w:hint="eastAsia" w:ascii="仿宋" w:hAnsi="仿宋" w:eastAsia="仿宋" w:cs="仿宋"/>
          <w:b/>
          <w:i w:val="0"/>
          <w:iCs w:val="0"/>
          <w:color w:val="auto"/>
          <w:spacing w:val="6"/>
          <w:sz w:val="32"/>
          <w:szCs w:val="32"/>
          <w:highlight w:val="none"/>
        </w:rPr>
      </w:pPr>
    </w:p>
    <w:p w14:paraId="0419CEFF">
      <w:pPr>
        <w:autoSpaceDE w:val="0"/>
        <w:autoSpaceDN w:val="0"/>
        <w:jc w:val="center"/>
        <w:rPr>
          <w:rFonts w:hint="eastAsia" w:ascii="仿宋" w:hAnsi="仿宋" w:eastAsia="仿宋" w:cs="仿宋"/>
          <w:b/>
          <w:i w:val="0"/>
          <w:iCs w:val="0"/>
          <w:color w:val="auto"/>
          <w:spacing w:val="6"/>
          <w:sz w:val="32"/>
          <w:szCs w:val="32"/>
          <w:highlight w:val="none"/>
        </w:rPr>
      </w:pPr>
    </w:p>
    <w:p w14:paraId="4FE6111E">
      <w:pPr>
        <w:autoSpaceDE w:val="0"/>
        <w:autoSpaceDN w:val="0"/>
        <w:jc w:val="center"/>
        <w:rPr>
          <w:rFonts w:hint="eastAsia" w:ascii="仿宋" w:hAnsi="仿宋" w:eastAsia="仿宋" w:cs="仿宋"/>
          <w:b/>
          <w:i w:val="0"/>
          <w:iCs w:val="0"/>
          <w:color w:val="auto"/>
          <w:spacing w:val="6"/>
          <w:sz w:val="32"/>
          <w:szCs w:val="32"/>
          <w:highlight w:val="none"/>
        </w:rPr>
      </w:pPr>
    </w:p>
    <w:p w14:paraId="31B201EB">
      <w:pPr>
        <w:autoSpaceDE w:val="0"/>
        <w:autoSpaceDN w:val="0"/>
        <w:jc w:val="center"/>
        <w:rPr>
          <w:rFonts w:hint="eastAsia" w:ascii="仿宋" w:hAnsi="仿宋" w:eastAsia="仿宋" w:cs="仿宋"/>
          <w:b/>
          <w:i w:val="0"/>
          <w:iCs w:val="0"/>
          <w:color w:val="auto"/>
          <w:spacing w:val="6"/>
          <w:sz w:val="32"/>
          <w:szCs w:val="32"/>
          <w:highlight w:val="none"/>
        </w:rPr>
      </w:pPr>
    </w:p>
    <w:p w14:paraId="4EDAD43F">
      <w:pPr>
        <w:autoSpaceDE w:val="0"/>
        <w:autoSpaceDN w:val="0"/>
        <w:jc w:val="center"/>
        <w:rPr>
          <w:rFonts w:hint="eastAsia" w:ascii="仿宋" w:hAnsi="仿宋" w:eastAsia="仿宋" w:cs="仿宋"/>
          <w:b/>
          <w:i w:val="0"/>
          <w:iCs w:val="0"/>
          <w:color w:val="auto"/>
          <w:spacing w:val="6"/>
          <w:sz w:val="32"/>
          <w:szCs w:val="32"/>
          <w:highlight w:val="none"/>
        </w:rPr>
      </w:pPr>
    </w:p>
    <w:p w14:paraId="295ACFA7">
      <w:pPr>
        <w:autoSpaceDE w:val="0"/>
        <w:autoSpaceDN w:val="0"/>
        <w:jc w:val="center"/>
        <w:rPr>
          <w:rFonts w:hint="eastAsia" w:ascii="仿宋" w:hAnsi="仿宋" w:eastAsia="仿宋" w:cs="仿宋"/>
          <w:b/>
          <w:i w:val="0"/>
          <w:iCs w:val="0"/>
          <w:color w:val="auto"/>
          <w:spacing w:val="6"/>
          <w:sz w:val="32"/>
          <w:szCs w:val="32"/>
          <w:highlight w:val="none"/>
        </w:rPr>
      </w:pPr>
    </w:p>
    <w:p w14:paraId="4484DAB7">
      <w:pPr>
        <w:autoSpaceDE w:val="0"/>
        <w:autoSpaceDN w:val="0"/>
        <w:jc w:val="center"/>
        <w:rPr>
          <w:rFonts w:hint="eastAsia" w:ascii="仿宋" w:hAnsi="仿宋" w:eastAsia="仿宋" w:cs="仿宋"/>
          <w:b/>
          <w:i w:val="0"/>
          <w:iCs w:val="0"/>
          <w:color w:val="auto"/>
          <w:spacing w:val="6"/>
          <w:sz w:val="32"/>
          <w:szCs w:val="32"/>
          <w:highlight w:val="none"/>
        </w:rPr>
      </w:pPr>
    </w:p>
    <w:p w14:paraId="58AA4F8B">
      <w:pPr>
        <w:autoSpaceDE w:val="0"/>
        <w:autoSpaceDN w:val="0"/>
        <w:jc w:val="center"/>
        <w:rPr>
          <w:rFonts w:hint="eastAsia" w:ascii="仿宋" w:hAnsi="仿宋" w:eastAsia="仿宋" w:cs="仿宋"/>
          <w:b/>
          <w:i w:val="0"/>
          <w:iCs w:val="0"/>
          <w:color w:val="auto"/>
          <w:spacing w:val="6"/>
          <w:sz w:val="32"/>
          <w:szCs w:val="32"/>
          <w:highlight w:val="none"/>
        </w:rPr>
      </w:pPr>
    </w:p>
    <w:p w14:paraId="41FA04B9">
      <w:pPr>
        <w:rPr>
          <w:rFonts w:hint="eastAsia"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br w:type="page"/>
      </w:r>
    </w:p>
    <w:p w14:paraId="2F5877D7">
      <w:pPr>
        <w:snapToGrid w:val="0"/>
        <w:spacing w:line="360" w:lineRule="auto"/>
        <w:jc w:val="center"/>
        <w:outlineLvl w:val="0"/>
        <w:rPr>
          <w:rFonts w:hint="eastAsia"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rPr>
        <w:t>附件4：联合协议</w:t>
      </w:r>
    </w:p>
    <w:p w14:paraId="75DAAC7F">
      <w:pPr>
        <w:widowControl/>
        <w:spacing w:line="360" w:lineRule="auto"/>
        <w:ind w:firstLine="482" w:firstLineChars="200"/>
        <w:jc w:val="left"/>
        <w:rPr>
          <w:rFonts w:hint="eastAsia"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（以联合体形式投标的，提供联合协议；本项目不接受联合体投标或者</w:t>
      </w:r>
      <w:r>
        <w:rPr>
          <w:rFonts w:hint="eastAsia" w:ascii="仿宋" w:hAnsi="仿宋" w:eastAsia="仿宋" w:cs="仿宋"/>
          <w:b/>
          <w:i w:val="0"/>
          <w:iCs w:val="0"/>
          <w:strike w:val="0"/>
          <w:color w:val="auto"/>
          <w:sz w:val="24"/>
          <w:highlight w:val="none"/>
          <w:lang w:eastAsia="zh-CN"/>
        </w:rPr>
        <w:t>投标人</w:t>
      </w:r>
      <w:r>
        <w:rPr>
          <w:rFonts w:hint="eastAsia" w:ascii="仿宋" w:hAnsi="仿宋" w:eastAsia="仿宋" w:cs="仿宋"/>
          <w:b/>
          <w:i w:val="0"/>
          <w:iCs w:val="0"/>
          <w:strike w:val="0"/>
          <w:color w:val="auto"/>
          <w:sz w:val="24"/>
          <w:highlight w:val="none"/>
        </w:rPr>
        <w:t>不以联合体形式投标的，则不需要提供）</w:t>
      </w:r>
    </w:p>
    <w:p w14:paraId="14CD5656">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u w:val="single"/>
        </w:rPr>
        <w:t>（联合体所有成员名称）</w:t>
      </w:r>
      <w:r>
        <w:rPr>
          <w:rFonts w:hint="eastAsia" w:ascii="仿宋" w:hAnsi="仿宋" w:eastAsia="仿宋" w:cs="仿宋"/>
          <w:i w:val="0"/>
          <w:iCs w:val="0"/>
          <w:strike w:val="0"/>
          <w:color w:val="auto"/>
          <w:kern w:val="0"/>
          <w:sz w:val="24"/>
          <w:highlight w:val="none"/>
        </w:rPr>
        <w:t>自愿</w:t>
      </w:r>
      <w:r>
        <w:rPr>
          <w:rFonts w:hint="eastAsia" w:ascii="仿宋" w:hAnsi="仿宋" w:eastAsia="仿宋" w:cs="仿宋"/>
          <w:i w:val="0"/>
          <w:iCs w:val="0"/>
          <w:strike w:val="0"/>
          <w:color w:val="auto"/>
          <w:kern w:val="0"/>
          <w:sz w:val="24"/>
          <w:highlight w:val="none"/>
          <w:lang w:val="zh-CN"/>
        </w:rPr>
        <w:t>组成一个联合体，以一个投标人的身份</w:t>
      </w:r>
      <w:r>
        <w:rPr>
          <w:rFonts w:hint="eastAsia" w:ascii="仿宋" w:hAnsi="仿宋" w:eastAsia="仿宋" w:cs="仿宋"/>
          <w:i w:val="0"/>
          <w:iCs w:val="0"/>
          <w:strike w:val="0"/>
          <w:color w:val="auto"/>
          <w:kern w:val="0"/>
          <w:sz w:val="24"/>
          <w:highlight w:val="none"/>
        </w:rPr>
        <w:t>参加</w:t>
      </w:r>
      <w:r>
        <w:rPr>
          <w:rFonts w:hint="eastAsia" w:ascii="仿宋" w:hAnsi="仿宋" w:eastAsia="仿宋" w:cs="仿宋"/>
          <w:i w:val="0"/>
          <w:iCs w:val="0"/>
          <w:strike w:val="0"/>
          <w:color w:val="auto"/>
          <w:sz w:val="24"/>
          <w:highlight w:val="none"/>
        </w:rPr>
        <w:t>（项目名称）【招标编号：（</w:t>
      </w:r>
      <w:r>
        <w:rPr>
          <w:rFonts w:hint="eastAsia" w:ascii="仿宋" w:hAnsi="仿宋" w:eastAsia="仿宋" w:cs="仿宋"/>
          <w:i w:val="0"/>
          <w:iCs w:val="0"/>
          <w:strike w:val="0"/>
          <w:color w:val="auto"/>
          <w:sz w:val="24"/>
          <w:highlight w:val="none"/>
          <w:lang w:eastAsia="zh-CN"/>
        </w:rPr>
        <w:t>招标编号</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kern w:val="0"/>
          <w:sz w:val="24"/>
          <w:highlight w:val="none"/>
          <w:lang w:val="zh-CN"/>
        </w:rPr>
        <w:t xml:space="preserve">投标。 </w:t>
      </w:r>
    </w:p>
    <w:p w14:paraId="649F3AF3">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一、各方一致决定，</w:t>
      </w:r>
      <w:r>
        <w:rPr>
          <w:rFonts w:hint="eastAsia" w:ascii="仿宋" w:hAnsi="仿宋" w:eastAsia="仿宋" w:cs="仿宋"/>
          <w:i w:val="0"/>
          <w:iCs w:val="0"/>
          <w:strike w:val="0"/>
          <w:color w:val="auto"/>
          <w:kern w:val="0"/>
          <w:sz w:val="24"/>
          <w:highlight w:val="none"/>
          <w:u w:val="single"/>
        </w:rPr>
        <w:t>（某联合体成员名称）</w:t>
      </w:r>
      <w:r>
        <w:rPr>
          <w:rFonts w:hint="eastAsia" w:ascii="仿宋" w:hAnsi="仿宋" w:eastAsia="仿宋" w:cs="仿宋"/>
          <w:i w:val="0"/>
          <w:iCs w:val="0"/>
          <w:strike w:val="0"/>
          <w:color w:val="auto"/>
          <w:kern w:val="0"/>
          <w:sz w:val="24"/>
          <w:highlight w:val="none"/>
        </w:rPr>
        <w:t>为联合体</w:t>
      </w:r>
      <w:r>
        <w:rPr>
          <w:rFonts w:hint="eastAsia" w:ascii="仿宋" w:hAnsi="仿宋" w:eastAsia="仿宋" w:cs="仿宋"/>
          <w:i w:val="0"/>
          <w:iCs w:val="0"/>
          <w:strike w:val="0"/>
          <w:color w:val="auto"/>
          <w:kern w:val="0"/>
          <w:sz w:val="24"/>
          <w:highlight w:val="none"/>
          <w:lang w:val="zh-CN"/>
        </w:rPr>
        <w:t>牵头人</w:t>
      </w:r>
      <w:r>
        <w:rPr>
          <w:rFonts w:hint="eastAsia" w:ascii="仿宋" w:hAnsi="仿宋" w:eastAsia="仿宋" w:cs="仿宋"/>
          <w:i w:val="0"/>
          <w:iCs w:val="0"/>
          <w:strike w:val="0"/>
          <w:color w:val="auto"/>
          <w:sz w:val="24"/>
          <w:highlight w:val="none"/>
        </w:rPr>
        <w:t>，代表所有联合体成员负责投标和合同实施阶段的主办、协调工作</w:t>
      </w:r>
      <w:r>
        <w:rPr>
          <w:rFonts w:hint="eastAsia" w:ascii="仿宋" w:hAnsi="仿宋" w:eastAsia="仿宋" w:cs="仿宋"/>
          <w:i w:val="0"/>
          <w:iCs w:val="0"/>
          <w:strike w:val="0"/>
          <w:color w:val="auto"/>
          <w:kern w:val="0"/>
          <w:sz w:val="24"/>
          <w:highlight w:val="none"/>
          <w:lang w:val="zh-CN"/>
        </w:rPr>
        <w:t>。</w:t>
      </w:r>
    </w:p>
    <w:p w14:paraId="6D457EE8">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w:t>
      </w:r>
      <w:r>
        <w:rPr>
          <w:rFonts w:hint="eastAsia" w:ascii="仿宋" w:hAnsi="仿宋" w:eastAsia="仿宋" w:cs="仿宋"/>
          <w:i w:val="0"/>
          <w:iCs w:val="0"/>
          <w:strike w:val="0"/>
          <w:color w:val="auto"/>
          <w:sz w:val="24"/>
          <w:highlight w:val="none"/>
        </w:rPr>
        <w:t>所有联合体成员各方签署授权书，授权书载明的</w:t>
      </w:r>
      <w:r>
        <w:rPr>
          <w:rFonts w:hint="eastAsia" w:ascii="仿宋" w:hAnsi="仿宋" w:eastAsia="仿宋" w:cs="仿宋"/>
          <w:i w:val="0"/>
          <w:iCs w:val="0"/>
          <w:strike w:val="0"/>
          <w:color w:val="auto"/>
          <w:kern w:val="0"/>
          <w:sz w:val="24"/>
          <w:highlight w:val="none"/>
          <w:lang w:val="zh-CN"/>
        </w:rPr>
        <w:t>授权代表根据招标文件规定及投标内容而对招标人、招标代理机构所作的任何合法承诺，包括书面澄清及响应等均对联合投标各方产生约束力。</w:t>
      </w:r>
    </w:p>
    <w:p w14:paraId="4B9D65BC">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三、本次联合投标中，分工如下：</w:t>
      </w:r>
    </w:p>
    <w:p w14:paraId="5BB40E43">
      <w:pPr>
        <w:snapToGrid w:val="0"/>
        <w:spacing w:line="360" w:lineRule="auto"/>
        <w:ind w:firstLine="576"/>
        <w:rPr>
          <w:rFonts w:hint="eastAsia" w:ascii="仿宋" w:hAnsi="仿宋" w:eastAsia="仿宋" w:cs="仿宋"/>
          <w:i w:val="0"/>
          <w:iCs w:val="0"/>
          <w:strike w:val="0"/>
          <w:color w:val="auto"/>
          <w:kern w:val="0"/>
          <w:sz w:val="24"/>
          <w:highlight w:val="none"/>
          <w:lang w:val="zh-CN"/>
        </w:rPr>
      </w:pPr>
      <w:bookmarkStart w:id="97" w:name="_Hlk101134295"/>
      <w:r>
        <w:rPr>
          <w:rFonts w:hint="eastAsia" w:ascii="仿宋" w:hAnsi="仿宋" w:eastAsia="仿宋" w:cs="仿宋"/>
          <w:i w:val="0"/>
          <w:iCs w:val="0"/>
          <w:strike w:val="0"/>
          <w:color w:val="auto"/>
          <w:kern w:val="0"/>
          <w:sz w:val="24"/>
          <w:highlight w:val="none"/>
          <w:u w:val="single"/>
        </w:rPr>
        <w:t>（联合体成员1）</w:t>
      </w:r>
      <w:r>
        <w:rPr>
          <w:rFonts w:hint="eastAsia" w:ascii="仿宋" w:hAnsi="仿宋" w:eastAsia="仿宋" w:cs="仿宋"/>
          <w:i w:val="0"/>
          <w:iCs w:val="0"/>
          <w:strike w:val="0"/>
          <w:color w:val="auto"/>
          <w:kern w:val="0"/>
          <w:sz w:val="24"/>
          <w:highlight w:val="none"/>
          <w:lang w:val="zh-CN"/>
        </w:rPr>
        <w:t>承担的工作和义务为：；</w:t>
      </w:r>
    </w:p>
    <w:p w14:paraId="0F2737D7">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u w:val="single"/>
        </w:rPr>
        <w:t>（联合体成员2）</w:t>
      </w:r>
      <w:r>
        <w:rPr>
          <w:rFonts w:hint="eastAsia" w:ascii="仿宋" w:hAnsi="仿宋" w:eastAsia="仿宋" w:cs="仿宋"/>
          <w:i w:val="0"/>
          <w:iCs w:val="0"/>
          <w:strike w:val="0"/>
          <w:color w:val="auto"/>
          <w:kern w:val="0"/>
          <w:sz w:val="24"/>
          <w:highlight w:val="none"/>
          <w:lang w:val="zh-CN"/>
        </w:rPr>
        <w:t>承担的工作和义务为：；</w:t>
      </w:r>
    </w:p>
    <w:p w14:paraId="7163DAD2">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w:t>
      </w:r>
    </w:p>
    <w:bookmarkEnd w:id="97"/>
    <w:p w14:paraId="653A0232">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四、如果中标，</w:t>
      </w:r>
      <w:r>
        <w:rPr>
          <w:rFonts w:hint="eastAsia" w:ascii="仿宋" w:hAnsi="仿宋" w:eastAsia="仿宋" w:cs="仿宋"/>
          <w:i w:val="0"/>
          <w:iCs w:val="0"/>
          <w:strike w:val="0"/>
          <w:color w:val="auto"/>
          <w:sz w:val="24"/>
          <w:highlight w:val="none"/>
        </w:rPr>
        <w:t>联合体各成员方共同与</w:t>
      </w:r>
      <w:r>
        <w:rPr>
          <w:rFonts w:hint="eastAsia" w:ascii="仿宋" w:hAnsi="仿宋" w:eastAsia="仿宋" w:cs="仿宋"/>
          <w:i w:val="0"/>
          <w:iCs w:val="0"/>
          <w:strike w:val="0"/>
          <w:color w:val="auto"/>
          <w:sz w:val="24"/>
          <w:highlight w:val="none"/>
          <w:lang w:eastAsia="zh-CN"/>
        </w:rPr>
        <w:t>招标人</w:t>
      </w:r>
      <w:r>
        <w:rPr>
          <w:rFonts w:hint="eastAsia" w:ascii="仿宋" w:hAnsi="仿宋" w:eastAsia="仿宋" w:cs="仿宋"/>
          <w:i w:val="0"/>
          <w:iCs w:val="0"/>
          <w:strike w:val="0"/>
          <w:color w:val="auto"/>
          <w:sz w:val="24"/>
          <w:highlight w:val="none"/>
        </w:rPr>
        <w:t>签订合同，并就</w:t>
      </w:r>
      <w:r>
        <w:rPr>
          <w:rFonts w:hint="eastAsia" w:ascii="仿宋" w:hAnsi="仿宋" w:eastAsia="仿宋" w:cs="仿宋"/>
          <w:i w:val="0"/>
          <w:iCs w:val="0"/>
          <w:strike w:val="0"/>
          <w:color w:val="auto"/>
          <w:sz w:val="24"/>
          <w:highlight w:val="none"/>
          <w:lang w:eastAsia="zh-CN"/>
        </w:rPr>
        <w:t>招标合同</w:t>
      </w:r>
      <w:r>
        <w:rPr>
          <w:rFonts w:hint="eastAsia" w:ascii="仿宋" w:hAnsi="仿宋" w:eastAsia="仿宋" w:cs="仿宋"/>
          <w:i w:val="0"/>
          <w:iCs w:val="0"/>
          <w:strike w:val="0"/>
          <w:color w:val="auto"/>
          <w:sz w:val="24"/>
          <w:highlight w:val="none"/>
        </w:rPr>
        <w:t>约定的事项对</w:t>
      </w:r>
      <w:r>
        <w:rPr>
          <w:rFonts w:hint="eastAsia" w:ascii="仿宋" w:hAnsi="仿宋" w:eastAsia="仿宋" w:cs="仿宋"/>
          <w:i w:val="0"/>
          <w:iCs w:val="0"/>
          <w:strike w:val="0"/>
          <w:color w:val="auto"/>
          <w:sz w:val="24"/>
          <w:highlight w:val="none"/>
          <w:lang w:eastAsia="zh-CN"/>
        </w:rPr>
        <w:t>招标人</w:t>
      </w:r>
      <w:r>
        <w:rPr>
          <w:rFonts w:hint="eastAsia" w:ascii="仿宋" w:hAnsi="仿宋" w:eastAsia="仿宋" w:cs="仿宋"/>
          <w:i w:val="0"/>
          <w:iCs w:val="0"/>
          <w:strike w:val="0"/>
          <w:color w:val="auto"/>
          <w:sz w:val="24"/>
          <w:highlight w:val="none"/>
        </w:rPr>
        <w:t>承担连带责任。</w:t>
      </w:r>
    </w:p>
    <w:p w14:paraId="371CA95D">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en-US" w:eastAsia="zh-CN"/>
        </w:rPr>
        <w:t>五</w:t>
      </w:r>
      <w:r>
        <w:rPr>
          <w:rFonts w:hint="eastAsia" w:ascii="仿宋" w:hAnsi="仿宋" w:eastAsia="仿宋" w:cs="仿宋"/>
          <w:i w:val="0"/>
          <w:iCs w:val="0"/>
          <w:strike w:val="0"/>
          <w:color w:val="auto"/>
          <w:kern w:val="0"/>
          <w:sz w:val="24"/>
          <w:highlight w:val="none"/>
          <w:lang w:val="zh-CN"/>
        </w:rPr>
        <w:t>、有关本次联合投标的其他事宜：</w:t>
      </w:r>
    </w:p>
    <w:p w14:paraId="09980CBB">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1、联合体各方不再单独参加或者与其他投标人另外组成联合体参加同一合同项下的招标活动。</w:t>
      </w:r>
    </w:p>
    <w:p w14:paraId="5A097CF7">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2、联合体中有同类资质的各方按照联合体分工承担相同工作的，按照资质等级较低的投标人确定资质等级。</w:t>
      </w:r>
    </w:p>
    <w:p w14:paraId="32D58541">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3、本协议提交招标人、招标代理机构后，联合体各方不得以任何形式对上述内容进行修改或撤销。</w:t>
      </w:r>
    </w:p>
    <w:p w14:paraId="1458DD6B">
      <w:pPr>
        <w:snapToGrid w:val="0"/>
        <w:spacing w:line="360" w:lineRule="auto"/>
        <w:ind w:firstLine="5040" w:firstLineChars="2100"/>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联合体成员名称(电子印章</w:t>
      </w:r>
      <w:r>
        <w:rPr>
          <w:rFonts w:hint="eastAsia" w:ascii="仿宋" w:hAnsi="仿宋" w:eastAsia="仿宋" w:cs="仿宋"/>
          <w:i w:val="0"/>
          <w:iCs w:val="0"/>
          <w:strike w:val="0"/>
          <w:color w:val="auto"/>
          <w:kern w:val="0"/>
          <w:sz w:val="24"/>
          <w:highlight w:val="none"/>
          <w:lang w:val="en-US" w:eastAsia="zh-CN"/>
        </w:rPr>
        <w:t>或</w:t>
      </w:r>
      <w:r>
        <w:rPr>
          <w:rFonts w:hint="eastAsia" w:ascii="仿宋" w:hAnsi="仿宋" w:eastAsia="仿宋" w:cs="仿宋"/>
          <w:i w:val="0"/>
          <w:iCs w:val="0"/>
          <w:strike w:val="0"/>
          <w:color w:val="auto"/>
          <w:kern w:val="0"/>
          <w:sz w:val="24"/>
          <w:highlight w:val="none"/>
          <w:lang w:val="zh-CN"/>
        </w:rPr>
        <w:t>公章)：</w:t>
      </w:r>
    </w:p>
    <w:p w14:paraId="63554101">
      <w:pPr>
        <w:snapToGrid w:val="0"/>
        <w:spacing w:line="360" w:lineRule="auto"/>
        <w:ind w:firstLine="5040" w:firstLineChars="2100"/>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联合体成员名称(电子印章</w:t>
      </w:r>
      <w:r>
        <w:rPr>
          <w:rFonts w:hint="eastAsia" w:ascii="仿宋" w:hAnsi="仿宋" w:eastAsia="仿宋" w:cs="仿宋"/>
          <w:i w:val="0"/>
          <w:iCs w:val="0"/>
          <w:strike w:val="0"/>
          <w:color w:val="auto"/>
          <w:kern w:val="0"/>
          <w:sz w:val="24"/>
          <w:highlight w:val="none"/>
          <w:lang w:val="en-US" w:eastAsia="zh-CN"/>
        </w:rPr>
        <w:t>或</w:t>
      </w:r>
      <w:r>
        <w:rPr>
          <w:rFonts w:hint="eastAsia" w:ascii="仿宋" w:hAnsi="仿宋" w:eastAsia="仿宋" w:cs="仿宋"/>
          <w:i w:val="0"/>
          <w:iCs w:val="0"/>
          <w:strike w:val="0"/>
          <w:color w:val="auto"/>
          <w:kern w:val="0"/>
          <w:sz w:val="24"/>
          <w:highlight w:val="none"/>
          <w:lang w:val="zh-CN"/>
        </w:rPr>
        <w:t>公章)：</w:t>
      </w:r>
    </w:p>
    <w:p w14:paraId="5B65A74B">
      <w:pPr>
        <w:snapToGrid w:val="0"/>
        <w:spacing w:line="360" w:lineRule="auto"/>
        <w:ind w:right="960"/>
        <w:jc w:val="center"/>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 xml:space="preserve">                   ……</w:t>
      </w:r>
    </w:p>
    <w:p w14:paraId="2AE054EA">
      <w:pPr>
        <w:snapToGrid w:val="0"/>
        <w:spacing w:line="360" w:lineRule="auto"/>
        <w:jc w:val="righ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日期：  年  月   日</w:t>
      </w:r>
    </w:p>
    <w:p w14:paraId="592F9445">
      <w:pPr>
        <w:spacing w:line="360" w:lineRule="auto"/>
        <w:ind w:right="420"/>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6E87658B">
      <w:pPr>
        <w:snapToGrid w:val="0"/>
        <w:spacing w:line="360" w:lineRule="auto"/>
        <w:jc w:val="center"/>
        <w:outlineLvl w:val="0"/>
        <w:rPr>
          <w:rFonts w:hint="eastAsia"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rPr>
        <w:t>附件5：分包意向协议</w:t>
      </w:r>
    </w:p>
    <w:p w14:paraId="79B282EF">
      <w:pPr>
        <w:widowControl/>
        <w:spacing w:line="360" w:lineRule="auto"/>
        <w:ind w:firstLine="120" w:firstLineChars="50"/>
        <w:jc w:val="left"/>
        <w:rPr>
          <w:rFonts w:hint="eastAsia"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w:t>
      </w:r>
      <w:r>
        <w:rPr>
          <w:rFonts w:hint="eastAsia" w:ascii="仿宋" w:hAnsi="仿宋" w:eastAsia="仿宋" w:cs="仿宋"/>
          <w:b/>
          <w:i w:val="0"/>
          <w:iCs w:val="0"/>
          <w:strike w:val="0"/>
          <w:color w:val="auto"/>
          <w:sz w:val="24"/>
          <w:highlight w:val="none"/>
        </w:rPr>
        <w:t>中标后以分包方式履行合同的，提供分包意向协议；</w:t>
      </w:r>
      <w:r>
        <w:rPr>
          <w:rFonts w:hint="eastAsia" w:ascii="仿宋" w:hAnsi="仿宋" w:eastAsia="仿宋" w:cs="仿宋"/>
          <w:b/>
          <w:i w:val="0"/>
          <w:iCs w:val="0"/>
          <w:strike w:val="0"/>
          <w:color w:val="auto"/>
          <w:sz w:val="24"/>
          <w:highlight w:val="none"/>
          <w:lang w:eastAsia="zh-CN"/>
        </w:rPr>
        <w:t>招标人</w:t>
      </w:r>
      <w:r>
        <w:rPr>
          <w:rFonts w:hint="eastAsia" w:ascii="仿宋" w:hAnsi="仿宋" w:eastAsia="仿宋" w:cs="仿宋"/>
          <w:b/>
          <w:i w:val="0"/>
          <w:iCs w:val="0"/>
          <w:strike w:val="0"/>
          <w:color w:val="auto"/>
          <w:sz w:val="24"/>
          <w:highlight w:val="none"/>
        </w:rPr>
        <w:t>不同意分包或者</w:t>
      </w:r>
      <w:r>
        <w:rPr>
          <w:rFonts w:hint="eastAsia" w:ascii="仿宋" w:hAnsi="仿宋" w:eastAsia="仿宋" w:cs="仿宋"/>
          <w:b/>
          <w:i w:val="0"/>
          <w:iCs w:val="0"/>
          <w:strike w:val="0"/>
          <w:color w:val="auto"/>
          <w:sz w:val="24"/>
          <w:highlight w:val="none"/>
          <w:lang w:eastAsia="zh-CN"/>
        </w:rPr>
        <w:t>投标人</w:t>
      </w:r>
      <w:r>
        <w:rPr>
          <w:rFonts w:hint="eastAsia" w:ascii="仿宋" w:hAnsi="仿宋" w:eastAsia="仿宋" w:cs="仿宋"/>
          <w:b/>
          <w:i w:val="0"/>
          <w:iCs w:val="0"/>
          <w:strike w:val="0"/>
          <w:color w:val="auto"/>
          <w:sz w:val="24"/>
          <w:highlight w:val="none"/>
        </w:rPr>
        <w:t>中标后不以分包方式履行合同的，则不需要提供。</w:t>
      </w:r>
      <w:r>
        <w:rPr>
          <w:rFonts w:hint="eastAsia" w:ascii="仿宋" w:hAnsi="仿宋" w:eastAsia="仿宋" w:cs="仿宋"/>
          <w:i w:val="0"/>
          <w:iCs w:val="0"/>
          <w:strike w:val="0"/>
          <w:color w:val="auto"/>
          <w:sz w:val="24"/>
          <w:highlight w:val="none"/>
        </w:rPr>
        <w:t>）</w:t>
      </w:r>
    </w:p>
    <w:p w14:paraId="391E7443">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投标人</w:t>
      </w:r>
      <w:r>
        <w:rPr>
          <w:rFonts w:hint="eastAsia" w:ascii="仿宋" w:hAnsi="仿宋" w:eastAsia="仿宋" w:cs="仿宋"/>
          <w:i w:val="0"/>
          <w:iCs w:val="0"/>
          <w:strike w:val="0"/>
          <w:color w:val="auto"/>
          <w:kern w:val="0"/>
          <w:sz w:val="24"/>
          <w:highlight w:val="none"/>
          <w:u w:val="single"/>
        </w:rPr>
        <w:t>名称）</w:t>
      </w:r>
      <w:r>
        <w:rPr>
          <w:rFonts w:hint="eastAsia" w:ascii="仿宋" w:hAnsi="仿宋" w:eastAsia="仿宋" w:cs="仿宋"/>
          <w:i w:val="0"/>
          <w:iCs w:val="0"/>
          <w:strike w:val="0"/>
          <w:color w:val="auto"/>
          <w:kern w:val="0"/>
          <w:sz w:val="24"/>
          <w:highlight w:val="none"/>
          <w:lang w:val="zh-CN"/>
        </w:rPr>
        <w:t>若成为</w:t>
      </w:r>
      <w:r>
        <w:rPr>
          <w:rFonts w:hint="eastAsia" w:ascii="仿宋" w:hAnsi="仿宋" w:eastAsia="仿宋" w:cs="仿宋"/>
          <w:i w:val="0"/>
          <w:iCs w:val="0"/>
          <w:strike w:val="0"/>
          <w:color w:val="auto"/>
          <w:sz w:val="24"/>
          <w:highlight w:val="none"/>
        </w:rPr>
        <w:t>（项目名称）【招标编号：（</w:t>
      </w:r>
      <w:r>
        <w:rPr>
          <w:rFonts w:hint="eastAsia" w:ascii="仿宋" w:hAnsi="仿宋" w:eastAsia="仿宋" w:cs="仿宋"/>
          <w:i w:val="0"/>
          <w:iCs w:val="0"/>
          <w:strike w:val="0"/>
          <w:color w:val="auto"/>
          <w:sz w:val="24"/>
          <w:highlight w:val="none"/>
          <w:lang w:eastAsia="zh-CN"/>
        </w:rPr>
        <w:t>招标编号</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kern w:val="0"/>
          <w:sz w:val="24"/>
          <w:highlight w:val="none"/>
          <w:lang w:val="zh-CN"/>
        </w:rPr>
        <w:t>的中标投标人，将依法采取分包方式履行合同。</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投标人</w:t>
      </w:r>
      <w:r>
        <w:rPr>
          <w:rFonts w:hint="eastAsia" w:ascii="仿宋" w:hAnsi="仿宋" w:eastAsia="仿宋" w:cs="仿宋"/>
          <w:i w:val="0"/>
          <w:iCs w:val="0"/>
          <w:strike w:val="0"/>
          <w:color w:val="auto"/>
          <w:kern w:val="0"/>
          <w:sz w:val="24"/>
          <w:highlight w:val="none"/>
          <w:u w:val="single"/>
        </w:rPr>
        <w:t>名称）</w:t>
      </w:r>
      <w:r>
        <w:rPr>
          <w:rFonts w:hint="eastAsia" w:ascii="仿宋" w:hAnsi="仿宋" w:eastAsia="仿宋" w:cs="仿宋"/>
          <w:i w:val="0"/>
          <w:iCs w:val="0"/>
          <w:strike w:val="0"/>
          <w:color w:val="auto"/>
          <w:kern w:val="0"/>
          <w:sz w:val="24"/>
          <w:highlight w:val="none"/>
        </w:rPr>
        <w:t>与</w:t>
      </w:r>
      <w:r>
        <w:rPr>
          <w:rFonts w:hint="eastAsia" w:ascii="仿宋" w:hAnsi="仿宋" w:eastAsia="仿宋" w:cs="仿宋"/>
          <w:i w:val="0"/>
          <w:iCs w:val="0"/>
          <w:strike w:val="0"/>
          <w:color w:val="auto"/>
          <w:kern w:val="0"/>
          <w:sz w:val="24"/>
          <w:highlight w:val="none"/>
          <w:u w:val="single"/>
        </w:rPr>
        <w:t>（所有分包</w:t>
      </w:r>
      <w:r>
        <w:rPr>
          <w:rFonts w:hint="eastAsia" w:ascii="仿宋" w:hAnsi="仿宋" w:eastAsia="仿宋" w:cs="仿宋"/>
          <w:i w:val="0"/>
          <w:iCs w:val="0"/>
          <w:strike w:val="0"/>
          <w:color w:val="auto"/>
          <w:kern w:val="0"/>
          <w:sz w:val="24"/>
          <w:highlight w:val="none"/>
          <w:u w:val="single"/>
          <w:lang w:eastAsia="zh-CN"/>
        </w:rPr>
        <w:t>投标人</w:t>
      </w:r>
      <w:r>
        <w:rPr>
          <w:rFonts w:hint="eastAsia" w:ascii="仿宋" w:hAnsi="仿宋" w:eastAsia="仿宋" w:cs="仿宋"/>
          <w:i w:val="0"/>
          <w:iCs w:val="0"/>
          <w:strike w:val="0"/>
          <w:color w:val="auto"/>
          <w:kern w:val="0"/>
          <w:sz w:val="24"/>
          <w:highlight w:val="none"/>
          <w:u w:val="single"/>
        </w:rPr>
        <w:t>名称）</w:t>
      </w:r>
      <w:r>
        <w:rPr>
          <w:rFonts w:hint="eastAsia" w:ascii="仿宋" w:hAnsi="仿宋" w:eastAsia="仿宋" w:cs="仿宋"/>
          <w:i w:val="0"/>
          <w:iCs w:val="0"/>
          <w:strike w:val="0"/>
          <w:color w:val="auto"/>
          <w:kern w:val="0"/>
          <w:sz w:val="24"/>
          <w:highlight w:val="none"/>
        </w:rPr>
        <w:t>达成分包意向协议</w:t>
      </w:r>
      <w:r>
        <w:rPr>
          <w:rFonts w:hint="eastAsia" w:ascii="仿宋" w:hAnsi="仿宋" w:eastAsia="仿宋" w:cs="仿宋"/>
          <w:i w:val="0"/>
          <w:iCs w:val="0"/>
          <w:strike w:val="0"/>
          <w:color w:val="auto"/>
          <w:kern w:val="0"/>
          <w:sz w:val="24"/>
          <w:highlight w:val="none"/>
          <w:lang w:val="zh-CN"/>
        </w:rPr>
        <w:t xml:space="preserve">。 </w:t>
      </w:r>
    </w:p>
    <w:p w14:paraId="58C3AD0E">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一、分包标的及数量</w:t>
      </w:r>
    </w:p>
    <w:p w14:paraId="7BCCC945">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投标人</w:t>
      </w:r>
      <w:r>
        <w:rPr>
          <w:rFonts w:hint="eastAsia" w:ascii="仿宋" w:hAnsi="仿宋" w:eastAsia="仿宋" w:cs="仿宋"/>
          <w:i w:val="0"/>
          <w:iCs w:val="0"/>
          <w:strike w:val="0"/>
          <w:color w:val="auto"/>
          <w:kern w:val="0"/>
          <w:sz w:val="24"/>
          <w:highlight w:val="none"/>
          <w:u w:val="single"/>
        </w:rPr>
        <w:t>名称）</w:t>
      </w:r>
      <w:r>
        <w:rPr>
          <w:rFonts w:hint="eastAsia" w:ascii="仿宋" w:hAnsi="仿宋" w:eastAsia="仿宋" w:cs="仿宋"/>
          <w:i w:val="0"/>
          <w:iCs w:val="0"/>
          <w:strike w:val="0"/>
          <w:color w:val="auto"/>
          <w:kern w:val="0"/>
          <w:sz w:val="24"/>
          <w:highlight w:val="none"/>
          <w:lang w:val="zh-CN"/>
        </w:rPr>
        <w:t>将</w:t>
      </w:r>
      <w:r>
        <w:rPr>
          <w:rFonts w:hint="eastAsia" w:ascii="仿宋" w:hAnsi="仿宋" w:eastAsia="仿宋" w:cs="仿宋"/>
          <w:i w:val="0"/>
          <w:iCs w:val="0"/>
          <w:strike w:val="0"/>
          <w:color w:val="auto"/>
          <w:kern w:val="0"/>
          <w:sz w:val="24"/>
          <w:highlight w:val="none"/>
          <w:u w:val="single"/>
        </w:rPr>
        <w:t xml:space="preserve">  XX工作内容   </w:t>
      </w:r>
      <w:r>
        <w:rPr>
          <w:rFonts w:hint="eastAsia" w:ascii="仿宋" w:hAnsi="仿宋" w:eastAsia="仿宋" w:cs="仿宋"/>
          <w:i w:val="0"/>
          <w:iCs w:val="0"/>
          <w:strike w:val="0"/>
          <w:color w:val="auto"/>
          <w:sz w:val="24"/>
          <w:highlight w:val="none"/>
        </w:rPr>
        <w:t>分包给</w:t>
      </w:r>
      <w:r>
        <w:rPr>
          <w:rFonts w:hint="eastAsia" w:ascii="仿宋" w:hAnsi="仿宋" w:eastAsia="仿宋" w:cs="仿宋"/>
          <w:i w:val="0"/>
          <w:iCs w:val="0"/>
          <w:strike w:val="0"/>
          <w:color w:val="auto"/>
          <w:kern w:val="0"/>
          <w:sz w:val="24"/>
          <w:highlight w:val="none"/>
          <w:u w:val="single"/>
        </w:rPr>
        <w:t>（分包</w:t>
      </w:r>
      <w:r>
        <w:rPr>
          <w:rFonts w:hint="eastAsia" w:ascii="仿宋" w:hAnsi="仿宋" w:eastAsia="仿宋" w:cs="仿宋"/>
          <w:i w:val="0"/>
          <w:iCs w:val="0"/>
          <w:strike w:val="0"/>
          <w:color w:val="auto"/>
          <w:kern w:val="0"/>
          <w:sz w:val="24"/>
          <w:highlight w:val="none"/>
          <w:u w:val="single"/>
          <w:lang w:eastAsia="zh-CN"/>
        </w:rPr>
        <w:t>投标人</w:t>
      </w:r>
      <w:r>
        <w:rPr>
          <w:rFonts w:hint="eastAsia" w:ascii="仿宋" w:hAnsi="仿宋" w:eastAsia="仿宋" w:cs="仿宋"/>
          <w:i w:val="0"/>
          <w:iCs w:val="0"/>
          <w:strike w:val="0"/>
          <w:color w:val="auto"/>
          <w:kern w:val="0"/>
          <w:sz w:val="24"/>
          <w:highlight w:val="none"/>
          <w:u w:val="single"/>
        </w:rPr>
        <w:t>1名称）</w:t>
      </w:r>
      <w:r>
        <w:rPr>
          <w:rFonts w:hint="eastAsia" w:ascii="仿宋" w:hAnsi="仿宋" w:eastAsia="仿宋" w:cs="仿宋"/>
          <w:i w:val="0"/>
          <w:iCs w:val="0"/>
          <w:strike w:val="0"/>
          <w:color w:val="auto"/>
          <w:kern w:val="0"/>
          <w:sz w:val="24"/>
          <w:highlight w:val="none"/>
          <w:lang w:val="zh-CN"/>
        </w:rPr>
        <w:t>，</w:t>
      </w:r>
      <w:r>
        <w:rPr>
          <w:rFonts w:hint="eastAsia" w:ascii="仿宋" w:hAnsi="仿宋" w:eastAsia="仿宋" w:cs="仿宋"/>
          <w:i w:val="0"/>
          <w:iCs w:val="0"/>
          <w:strike w:val="0"/>
          <w:color w:val="auto"/>
          <w:kern w:val="0"/>
          <w:sz w:val="24"/>
          <w:highlight w:val="none"/>
          <w:u w:val="single"/>
        </w:rPr>
        <w:t>（分包</w:t>
      </w:r>
      <w:r>
        <w:rPr>
          <w:rFonts w:hint="eastAsia" w:ascii="仿宋" w:hAnsi="仿宋" w:eastAsia="仿宋" w:cs="仿宋"/>
          <w:i w:val="0"/>
          <w:iCs w:val="0"/>
          <w:strike w:val="0"/>
          <w:color w:val="auto"/>
          <w:kern w:val="0"/>
          <w:sz w:val="24"/>
          <w:highlight w:val="none"/>
          <w:u w:val="single"/>
          <w:lang w:eastAsia="zh-CN"/>
        </w:rPr>
        <w:t>投标人</w:t>
      </w:r>
      <w:r>
        <w:rPr>
          <w:rFonts w:hint="eastAsia" w:ascii="仿宋" w:hAnsi="仿宋" w:eastAsia="仿宋" w:cs="仿宋"/>
          <w:i w:val="0"/>
          <w:iCs w:val="0"/>
          <w:strike w:val="0"/>
          <w:color w:val="auto"/>
          <w:kern w:val="0"/>
          <w:sz w:val="24"/>
          <w:highlight w:val="none"/>
          <w:u w:val="single"/>
        </w:rPr>
        <w:t>1名称），</w:t>
      </w:r>
      <w:r>
        <w:rPr>
          <w:rFonts w:hint="eastAsia" w:ascii="仿宋" w:hAnsi="仿宋" w:eastAsia="仿宋" w:cs="仿宋"/>
          <w:i w:val="0"/>
          <w:iCs w:val="0"/>
          <w:strike w:val="0"/>
          <w:color w:val="auto"/>
          <w:kern w:val="0"/>
          <w:sz w:val="24"/>
          <w:highlight w:val="none"/>
          <w:lang w:val="zh-CN"/>
        </w:rPr>
        <w:t>具备承</w:t>
      </w:r>
      <w:r>
        <w:rPr>
          <w:rFonts w:hint="eastAsia" w:ascii="仿宋" w:hAnsi="仿宋" w:eastAsia="仿宋" w:cs="仿宋"/>
          <w:i w:val="0"/>
          <w:iCs w:val="0"/>
          <w:strike w:val="0"/>
          <w:color w:val="auto"/>
          <w:kern w:val="0"/>
          <w:sz w:val="24"/>
          <w:highlight w:val="none"/>
        </w:rPr>
        <w:t>担</w:t>
      </w:r>
      <w:r>
        <w:rPr>
          <w:rFonts w:hint="eastAsia" w:ascii="仿宋" w:hAnsi="仿宋" w:eastAsia="仿宋" w:cs="仿宋"/>
          <w:i w:val="0"/>
          <w:iCs w:val="0"/>
          <w:strike w:val="0"/>
          <w:color w:val="auto"/>
          <w:kern w:val="0"/>
          <w:sz w:val="24"/>
          <w:highlight w:val="none"/>
          <w:u w:val="single"/>
          <w:lang w:val="zh-CN"/>
        </w:rPr>
        <w:t>XX工作内容</w:t>
      </w:r>
      <w:r>
        <w:rPr>
          <w:rFonts w:hint="eastAsia" w:ascii="仿宋" w:hAnsi="仿宋" w:eastAsia="仿宋" w:cs="仿宋"/>
          <w:i w:val="0"/>
          <w:iCs w:val="0"/>
          <w:strike w:val="0"/>
          <w:color w:val="auto"/>
          <w:kern w:val="0"/>
          <w:sz w:val="24"/>
          <w:highlight w:val="none"/>
          <w:lang w:val="zh-CN"/>
        </w:rPr>
        <w:t>相应资质条件且不得再次分包；</w:t>
      </w:r>
    </w:p>
    <w:p w14:paraId="1E799319">
      <w:pPr>
        <w:pStyle w:val="2"/>
        <w:ind w:left="664" w:leftChars="316" w:firstLine="229" w:firstLineChars="95"/>
        <w:rPr>
          <w:rFonts w:hint="eastAsia" w:ascii="仿宋" w:hAnsi="仿宋" w:eastAsia="仿宋" w:cs="仿宋"/>
          <w:i w:val="0"/>
          <w:iCs w:val="0"/>
          <w:strike w:val="0"/>
          <w:color w:val="auto"/>
          <w:kern w:val="0"/>
          <w:sz w:val="24"/>
          <w:szCs w:val="24"/>
          <w:highlight w:val="none"/>
        </w:rPr>
      </w:pPr>
      <w:r>
        <w:rPr>
          <w:rFonts w:hint="eastAsia" w:ascii="仿宋" w:hAnsi="仿宋" w:eastAsia="仿宋" w:cs="仿宋"/>
          <w:i w:val="0"/>
          <w:iCs w:val="0"/>
          <w:strike w:val="0"/>
          <w:color w:val="auto"/>
          <w:kern w:val="0"/>
          <w:sz w:val="24"/>
          <w:szCs w:val="24"/>
          <w:highlight w:val="none"/>
        </w:rPr>
        <w:t>……</w:t>
      </w:r>
    </w:p>
    <w:p w14:paraId="0722C90D">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二、分包工作履行期限、地点、方式</w:t>
      </w:r>
    </w:p>
    <w:p w14:paraId="090D1C8D">
      <w:pPr>
        <w:snapToGrid w:val="0"/>
        <w:spacing w:line="360" w:lineRule="auto"/>
        <w:ind w:firstLine="576"/>
        <w:rPr>
          <w:rFonts w:hint="eastAsia" w:ascii="仿宋" w:hAnsi="仿宋" w:eastAsia="仿宋" w:cs="仿宋"/>
          <w:i w:val="0"/>
          <w:iCs w:val="0"/>
          <w:strike w:val="0"/>
          <w:color w:val="auto"/>
          <w:highlight w:val="none"/>
          <w:u w:val="single"/>
        </w:rPr>
      </w:pPr>
    </w:p>
    <w:p w14:paraId="0EFE5C4B">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en-US" w:eastAsia="zh-CN"/>
        </w:rPr>
        <w:t>三</w:t>
      </w:r>
      <w:r>
        <w:rPr>
          <w:rFonts w:hint="eastAsia" w:ascii="仿宋" w:hAnsi="仿宋" w:eastAsia="仿宋" w:cs="仿宋"/>
          <w:i w:val="0"/>
          <w:iCs w:val="0"/>
          <w:strike w:val="0"/>
          <w:color w:val="auto"/>
          <w:kern w:val="0"/>
          <w:sz w:val="24"/>
          <w:highlight w:val="none"/>
          <w:lang w:val="zh-CN"/>
        </w:rPr>
        <w:t>、质量</w:t>
      </w:r>
    </w:p>
    <w:p w14:paraId="3191EE93">
      <w:pPr>
        <w:snapToGrid w:val="0"/>
        <w:spacing w:line="360" w:lineRule="auto"/>
        <w:ind w:firstLine="576"/>
        <w:rPr>
          <w:rFonts w:hint="eastAsia" w:ascii="仿宋" w:hAnsi="仿宋" w:eastAsia="仿宋" w:cs="仿宋"/>
          <w:i w:val="0"/>
          <w:iCs w:val="0"/>
          <w:strike w:val="0"/>
          <w:color w:val="auto"/>
          <w:kern w:val="0"/>
          <w:sz w:val="24"/>
          <w:highlight w:val="none"/>
          <w:lang w:val="zh-CN"/>
        </w:rPr>
      </w:pPr>
    </w:p>
    <w:p w14:paraId="35B834E0">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en-US" w:eastAsia="zh-CN"/>
        </w:rPr>
        <w:t>四</w:t>
      </w:r>
      <w:r>
        <w:rPr>
          <w:rFonts w:hint="eastAsia" w:ascii="仿宋" w:hAnsi="仿宋" w:eastAsia="仿宋" w:cs="仿宋"/>
          <w:i w:val="0"/>
          <w:iCs w:val="0"/>
          <w:strike w:val="0"/>
          <w:color w:val="auto"/>
          <w:kern w:val="0"/>
          <w:sz w:val="24"/>
          <w:highlight w:val="none"/>
          <w:lang w:val="zh-CN"/>
        </w:rPr>
        <w:t>、价款或者报酬</w:t>
      </w:r>
    </w:p>
    <w:p w14:paraId="661D88AD">
      <w:pPr>
        <w:snapToGrid w:val="0"/>
        <w:spacing w:line="360" w:lineRule="auto"/>
        <w:ind w:left="573" w:leftChars="273"/>
        <w:rPr>
          <w:rFonts w:hint="eastAsia" w:ascii="仿宋" w:hAnsi="仿宋" w:eastAsia="仿宋" w:cs="仿宋"/>
          <w:i w:val="0"/>
          <w:iCs w:val="0"/>
          <w:strike w:val="0"/>
          <w:color w:val="auto"/>
          <w:kern w:val="0"/>
          <w:sz w:val="24"/>
          <w:highlight w:val="none"/>
          <w:lang w:val="zh-CN"/>
        </w:rPr>
      </w:pPr>
    </w:p>
    <w:p w14:paraId="09024309">
      <w:pPr>
        <w:snapToGrid w:val="0"/>
        <w:spacing w:line="360" w:lineRule="auto"/>
        <w:ind w:left="573" w:leftChars="273"/>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en-US" w:eastAsia="zh-CN"/>
        </w:rPr>
        <w:t>五</w:t>
      </w:r>
      <w:r>
        <w:rPr>
          <w:rFonts w:hint="eastAsia" w:ascii="仿宋" w:hAnsi="仿宋" w:eastAsia="仿宋" w:cs="仿宋"/>
          <w:i w:val="0"/>
          <w:iCs w:val="0"/>
          <w:strike w:val="0"/>
          <w:color w:val="auto"/>
          <w:kern w:val="0"/>
          <w:sz w:val="24"/>
          <w:highlight w:val="none"/>
          <w:lang w:val="zh-CN"/>
        </w:rPr>
        <w:t>、违约责任</w:t>
      </w:r>
    </w:p>
    <w:p w14:paraId="52496B23">
      <w:pPr>
        <w:snapToGrid w:val="0"/>
        <w:spacing w:line="360" w:lineRule="auto"/>
        <w:ind w:firstLine="576"/>
        <w:rPr>
          <w:rFonts w:hint="eastAsia" w:ascii="仿宋" w:hAnsi="仿宋" w:eastAsia="仿宋" w:cs="仿宋"/>
          <w:i w:val="0"/>
          <w:iCs w:val="0"/>
          <w:strike w:val="0"/>
          <w:color w:val="auto"/>
          <w:kern w:val="0"/>
          <w:sz w:val="24"/>
          <w:highlight w:val="none"/>
          <w:lang w:val="zh-CN"/>
        </w:rPr>
      </w:pPr>
    </w:p>
    <w:p w14:paraId="336D6481">
      <w:pPr>
        <w:snapToGrid w:val="0"/>
        <w:spacing w:line="360" w:lineRule="auto"/>
        <w:ind w:firstLine="576"/>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en-US" w:eastAsia="zh-CN"/>
        </w:rPr>
        <w:t>六</w:t>
      </w:r>
      <w:r>
        <w:rPr>
          <w:rFonts w:hint="eastAsia" w:ascii="仿宋" w:hAnsi="仿宋" w:eastAsia="仿宋" w:cs="仿宋"/>
          <w:i w:val="0"/>
          <w:iCs w:val="0"/>
          <w:strike w:val="0"/>
          <w:color w:val="auto"/>
          <w:kern w:val="0"/>
          <w:sz w:val="24"/>
          <w:highlight w:val="none"/>
          <w:lang w:val="zh-CN"/>
        </w:rPr>
        <w:t>、争议解决的办法</w:t>
      </w:r>
    </w:p>
    <w:p w14:paraId="35C9E821">
      <w:pPr>
        <w:snapToGrid w:val="0"/>
        <w:spacing w:line="360" w:lineRule="auto"/>
        <w:ind w:firstLine="576"/>
        <w:rPr>
          <w:rFonts w:hint="eastAsia" w:ascii="仿宋" w:hAnsi="仿宋" w:eastAsia="仿宋" w:cs="仿宋"/>
          <w:i w:val="0"/>
          <w:iCs w:val="0"/>
          <w:strike w:val="0"/>
          <w:color w:val="auto"/>
          <w:kern w:val="0"/>
          <w:sz w:val="24"/>
          <w:highlight w:val="none"/>
          <w:lang w:val="zh-CN"/>
        </w:rPr>
      </w:pPr>
    </w:p>
    <w:p w14:paraId="660D01E2">
      <w:pPr>
        <w:snapToGrid w:val="0"/>
        <w:spacing w:line="360" w:lineRule="auto"/>
        <w:ind w:left="5758" w:leftChars="342" w:hanging="5040" w:hangingChars="2100"/>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 xml:space="preserve">                                          投标人名称(电子印章)：</w:t>
      </w:r>
    </w:p>
    <w:p w14:paraId="08834EEF">
      <w:pPr>
        <w:snapToGrid w:val="0"/>
        <w:spacing w:line="360" w:lineRule="auto"/>
        <w:jc w:val="righ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分包投标人名称(电子印章</w:t>
      </w:r>
      <w:r>
        <w:rPr>
          <w:rFonts w:hint="eastAsia" w:ascii="仿宋" w:hAnsi="仿宋" w:eastAsia="仿宋" w:cs="仿宋"/>
          <w:i w:val="0"/>
          <w:iCs w:val="0"/>
          <w:strike w:val="0"/>
          <w:color w:val="auto"/>
          <w:kern w:val="0"/>
          <w:sz w:val="24"/>
          <w:highlight w:val="none"/>
          <w:lang w:val="en-US" w:eastAsia="zh-CN"/>
        </w:rPr>
        <w:t>或</w:t>
      </w:r>
      <w:r>
        <w:rPr>
          <w:rFonts w:hint="eastAsia" w:ascii="仿宋" w:hAnsi="仿宋" w:eastAsia="仿宋" w:cs="仿宋"/>
          <w:i w:val="0"/>
          <w:iCs w:val="0"/>
          <w:strike w:val="0"/>
          <w:color w:val="auto"/>
          <w:kern w:val="0"/>
          <w:sz w:val="24"/>
          <w:highlight w:val="none"/>
          <w:lang w:val="zh-CN"/>
        </w:rPr>
        <w:t>公章)：</w:t>
      </w:r>
    </w:p>
    <w:p w14:paraId="311D5053">
      <w:pPr>
        <w:snapToGrid w:val="0"/>
        <w:spacing w:line="360" w:lineRule="auto"/>
        <w:ind w:firstLine="5760" w:firstLineChars="2400"/>
        <w:rPr>
          <w:rFonts w:hint="eastAsia" w:ascii="仿宋" w:hAnsi="仿宋" w:eastAsia="仿宋" w:cs="仿宋"/>
          <w:i w:val="0"/>
          <w:iCs w:val="0"/>
          <w:strike w:val="0"/>
          <w:color w:val="auto"/>
          <w:highlight w:val="none"/>
        </w:rPr>
      </w:pPr>
      <w:r>
        <w:rPr>
          <w:rFonts w:hint="eastAsia" w:ascii="仿宋" w:hAnsi="仿宋" w:eastAsia="仿宋" w:cs="仿宋"/>
          <w:i w:val="0"/>
          <w:iCs w:val="0"/>
          <w:strike w:val="0"/>
          <w:color w:val="auto"/>
          <w:kern w:val="0"/>
          <w:sz w:val="24"/>
          <w:highlight w:val="none"/>
          <w:lang w:val="zh-CN"/>
        </w:rPr>
        <w:t>……</w:t>
      </w:r>
    </w:p>
    <w:p w14:paraId="6E341880">
      <w:pPr>
        <w:spacing w:line="360" w:lineRule="auto"/>
        <w:jc w:val="center"/>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 xml:space="preserve">                                        日期：  年  月   日</w:t>
      </w:r>
    </w:p>
    <w:p w14:paraId="121A2A2A">
      <w:pPr>
        <w:autoSpaceDE/>
        <w:autoSpaceDN/>
        <w:spacing w:line="360" w:lineRule="auto"/>
        <w:ind w:right="420"/>
        <w:jc w:val="left"/>
        <w:rPr>
          <w:rFonts w:hint="eastAsia" w:ascii="仿宋" w:hAnsi="仿宋" w:eastAsia="仿宋" w:cs="仿宋"/>
          <w:b/>
          <w:i w:val="0"/>
          <w:iCs w:val="0"/>
          <w:strike w:val="0"/>
          <w:color w:val="auto"/>
          <w:spacing w:val="6"/>
          <w:sz w:val="32"/>
          <w:szCs w:val="32"/>
          <w:highlight w:val="none"/>
        </w:rPr>
      </w:pPr>
      <w:r>
        <w:rPr>
          <w:rFonts w:hint="eastAsia" w:ascii="仿宋" w:hAnsi="仿宋" w:eastAsia="仿宋" w:cs="仿宋"/>
          <w:i w:val="0"/>
          <w:iCs w:val="0"/>
          <w:strike w:val="0"/>
          <w:color w:val="auto"/>
          <w:sz w:val="24"/>
          <w:highlight w:val="none"/>
        </w:rPr>
        <w:t>注：按本格式和要求提供。</w:t>
      </w:r>
    </w:p>
    <w:p w14:paraId="4C6C87FB">
      <w:pPr>
        <w:autoSpaceDE w:val="0"/>
        <w:autoSpaceDN w:val="0"/>
        <w:jc w:val="center"/>
        <w:rPr>
          <w:rFonts w:hint="eastAsia" w:ascii="仿宋" w:hAnsi="仿宋" w:eastAsia="仿宋" w:cs="仿宋"/>
          <w:b/>
          <w:i w:val="0"/>
          <w:iCs w:val="0"/>
          <w:color w:val="auto"/>
          <w:spacing w:val="6"/>
          <w:sz w:val="32"/>
          <w:szCs w:val="32"/>
          <w:highlight w:val="none"/>
        </w:rPr>
      </w:pPr>
    </w:p>
    <w:p w14:paraId="628ECF59">
      <w:pPr>
        <w:autoSpaceDE w:val="0"/>
        <w:autoSpaceDN w:val="0"/>
        <w:jc w:val="center"/>
        <w:rPr>
          <w:rFonts w:hint="eastAsia" w:ascii="仿宋" w:hAnsi="仿宋" w:eastAsia="仿宋" w:cs="仿宋"/>
          <w:b/>
          <w:i w:val="0"/>
          <w:iCs w:val="0"/>
          <w:color w:val="auto"/>
          <w:spacing w:val="6"/>
          <w:sz w:val="32"/>
          <w:szCs w:val="32"/>
          <w:highlight w:val="none"/>
        </w:rPr>
      </w:pPr>
    </w:p>
    <w:p w14:paraId="4893A0B7">
      <w:pPr>
        <w:spacing w:line="360" w:lineRule="auto"/>
        <w:rPr>
          <w:rFonts w:hint="eastAsia" w:ascii="仿宋" w:hAnsi="仿宋" w:eastAsia="仿宋" w:cs="仿宋"/>
          <w:bCs/>
          <w:i w:val="0"/>
          <w:iCs w:val="0"/>
          <w:color w:val="auto"/>
          <w:sz w:val="24"/>
          <w:highlight w:val="none"/>
        </w:rPr>
      </w:pPr>
    </w:p>
    <w:sectPr>
      <w:headerReference r:id="rId25" w:type="default"/>
      <w:footerReference r:id="rId26" w:type="default"/>
      <w:pgSz w:w="11905" w:h="16838"/>
      <w:pgMar w:top="1735" w:right="1389" w:bottom="1814" w:left="1117" w:header="1106" w:footer="1225"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0000000000000000000"/>
    <w:charset w:val="00"/>
    <w:family w:val="swiss"/>
    <w:pitch w:val="default"/>
    <w:sig w:usb0="00000000" w:usb1="00000000" w:usb2="00000000" w:usb3="00000000" w:csb0="2000019F" w:csb1="4F010000"/>
  </w:font>
  <w:font w:name="Cumberland">
    <w:altName w:val="Noto Sans SC"/>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UI Semilight"/>
    <w:panose1 w:val="02000400000000000000"/>
    <w:charset w:val="01"/>
    <w:family w:val="roman"/>
    <w:pitch w:val="default"/>
    <w:sig w:usb0="00000000" w:usb1="00000000" w:usb2="00000000" w:usb3="00000000" w:csb0="00000000" w:csb1="00000000"/>
  </w:font>
  <w:font w:name="Segoe UI Semilight">
    <w:panose1 w:val="020B04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Times New Roman"/>
    <w:panose1 w:val="02020603050405020304"/>
    <w:charset w:val="00"/>
    <w:family w:val="modern"/>
    <w:pitch w:val="default"/>
    <w:sig w:usb0="00000000" w:usb1="00000000" w:usb2="00000009" w:usb3="00000000" w:csb0="400001FF" w:csb1="FFFF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BA7D2">
    <w:pPr>
      <w:pStyle w:val="4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D3751">
    <w:pPr>
      <w:pStyle w:val="41"/>
      <w:framePr w:wrap="around" w:vAnchor="text" w:hAnchor="margin" w:xAlign="right" w:y="1"/>
      <w:rPr>
        <w:rStyle w:val="74"/>
      </w:rPr>
    </w:pPr>
    <w:r>
      <w:fldChar w:fldCharType="begin"/>
    </w:r>
    <w:r>
      <w:rPr>
        <w:rStyle w:val="74"/>
      </w:rPr>
      <w:instrText xml:space="preserve">PAGE  </w:instrText>
    </w:r>
    <w:r>
      <w:fldChar w:fldCharType="end"/>
    </w:r>
  </w:p>
  <w:p w14:paraId="4C9A9ADF">
    <w:pPr>
      <w:pStyle w:val="4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93F06">
    <w:pPr>
      <w:pStyle w:val="41"/>
      <w:jc w:val="center"/>
    </w:pPr>
  </w:p>
  <w:p w14:paraId="59C3CFAD">
    <w:pPr>
      <w:pStyle w:val="4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FB65F">
    <w:pPr>
      <w:pStyle w:val="41"/>
      <w:rPr>
        <w:rFonts w:ascii="仿宋_GB2312" w:eastAsia="仿宋_GB2312"/>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C8F0A">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07C8F0A">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1637D">
    <w:pPr>
      <w:pStyle w:val="41"/>
      <w:framePr w:wrap="around" w:vAnchor="text" w:hAnchor="margin" w:xAlign="right" w:y="1"/>
      <w:rPr>
        <w:rStyle w:val="74"/>
      </w:rPr>
    </w:pPr>
    <w:r>
      <w:fldChar w:fldCharType="begin"/>
    </w:r>
    <w:r>
      <w:rPr>
        <w:rStyle w:val="74"/>
      </w:rPr>
      <w:instrText xml:space="preserve">PAGE  </w:instrText>
    </w:r>
    <w:r>
      <w:fldChar w:fldCharType="end"/>
    </w:r>
  </w:p>
  <w:p w14:paraId="00E05FD6">
    <w:pPr>
      <w:pStyle w:val="4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383AC">
    <w:pPr>
      <w:pStyle w:val="4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0338"/>
                            <w:docPartObj>
                              <w:docPartGallery w:val="autotext"/>
                            </w:docPartObj>
                          </w:sdtPr>
                          <w:sdtContent>
                            <w:p w14:paraId="46A5DC24">
                              <w:pPr>
                                <w:pStyle w:val="41"/>
                                <w:jc w:val="center"/>
                              </w:pPr>
                              <w:r>
                                <w:fldChar w:fldCharType="begin"/>
                              </w:r>
                              <w:r>
                                <w:instrText xml:space="preserve"> PAGE   \* MERGEFORMAT </w:instrText>
                              </w:r>
                              <w:r>
                                <w:fldChar w:fldCharType="separate"/>
                              </w:r>
                              <w:r>
                                <w:rPr>
                                  <w:lang w:val="zh-CN"/>
                                </w:rPr>
                                <w:t>2</w:t>
                              </w:r>
                              <w:r>
                                <w:fldChar w:fldCharType="end"/>
                              </w:r>
                            </w:p>
                          </w:sdtContent>
                        </w:sdt>
                        <w:p w14:paraId="6347D49B"/>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sdt>
                    <w:sdtPr>
                      <w:id w:val="147470338"/>
                      <w:docPartObj>
                        <w:docPartGallery w:val="autotext"/>
                      </w:docPartObj>
                    </w:sdtPr>
                    <w:sdtContent>
                      <w:p w14:paraId="46A5DC24">
                        <w:pPr>
                          <w:pStyle w:val="41"/>
                          <w:jc w:val="center"/>
                        </w:pPr>
                        <w:r>
                          <w:fldChar w:fldCharType="begin"/>
                        </w:r>
                        <w:r>
                          <w:instrText xml:space="preserve"> PAGE   \* MERGEFORMAT </w:instrText>
                        </w:r>
                        <w:r>
                          <w:fldChar w:fldCharType="separate"/>
                        </w:r>
                        <w:r>
                          <w:rPr>
                            <w:lang w:val="zh-CN"/>
                          </w:rPr>
                          <w:t>2</w:t>
                        </w:r>
                        <w:r>
                          <w:fldChar w:fldCharType="end"/>
                        </w:r>
                      </w:p>
                    </w:sdtContent>
                  </w:sdt>
                  <w:p w14:paraId="6347D49B"/>
                </w:txbxContent>
              </v:textbox>
            </v:shape>
          </w:pict>
        </mc:Fallback>
      </mc:AlternateContent>
    </w:r>
  </w:p>
  <w:p w14:paraId="3AA28BA3">
    <w:pPr>
      <w:pStyle w:val="41"/>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C076D">
    <w:pPr>
      <w:pStyle w:val="41"/>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8009"/>
                            <w:docPartObj>
                              <w:docPartGallery w:val="autotext"/>
                            </w:docPartObj>
                          </w:sdtPr>
                          <w:sdtContent>
                            <w:p w14:paraId="55B1C54D">
                              <w:pPr>
                                <w:pStyle w:val="41"/>
                                <w:jc w:val="center"/>
                              </w:pPr>
                              <w:r>
                                <w:fldChar w:fldCharType="begin"/>
                              </w:r>
                              <w:r>
                                <w:instrText xml:space="preserve"> PAGE   \* MERGEFORMAT </w:instrText>
                              </w:r>
                              <w:r>
                                <w:fldChar w:fldCharType="separate"/>
                              </w:r>
                              <w:r>
                                <w:rPr>
                                  <w:lang w:val="zh-CN"/>
                                </w:rPr>
                                <w:t>22</w:t>
                              </w:r>
                              <w:r>
                                <w:fldChar w:fldCharType="end"/>
                              </w:r>
                            </w:p>
                          </w:sdtContent>
                        </w:sdt>
                        <w:p w14:paraId="03D93084">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sdt>
                    <w:sdtPr>
                      <w:id w:val="147478009"/>
                      <w:docPartObj>
                        <w:docPartGallery w:val="autotext"/>
                      </w:docPartObj>
                    </w:sdtPr>
                    <w:sdtContent>
                      <w:p w14:paraId="55B1C54D">
                        <w:pPr>
                          <w:pStyle w:val="41"/>
                          <w:jc w:val="center"/>
                        </w:pPr>
                        <w:r>
                          <w:fldChar w:fldCharType="begin"/>
                        </w:r>
                        <w:r>
                          <w:instrText xml:space="preserve"> PAGE   \* MERGEFORMAT </w:instrText>
                        </w:r>
                        <w:r>
                          <w:fldChar w:fldCharType="separate"/>
                        </w:r>
                        <w:r>
                          <w:rPr>
                            <w:lang w:val="zh-CN"/>
                          </w:rPr>
                          <w:t>22</w:t>
                        </w:r>
                        <w:r>
                          <w:fldChar w:fldCharType="end"/>
                        </w:r>
                      </w:p>
                    </w:sdtContent>
                  </w:sdt>
                  <w:p w14:paraId="03D93084">
                    <w:pPr>
                      <w:pStyle w:val="24"/>
                    </w:pPr>
                  </w:p>
                </w:txbxContent>
              </v:textbox>
            </v:shape>
          </w:pict>
        </mc:Fallback>
      </mc:AlternateContent>
    </w:r>
  </w:p>
  <w:p w14:paraId="35A8E3CF">
    <w:pPr>
      <w:pStyle w:val="41"/>
      <w:jc w:val="cente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FEED4">
    <w:pPr>
      <w:pStyle w:val="41"/>
      <w:jc w:val="center"/>
      <w:rPr>
        <w:rFonts w:ascii="仿宋_GB2312" w:eastAsia="仿宋_GB2312"/>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24D53">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0A24D53">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B732F">
    <w:pPr>
      <w:spacing w:line="188" w:lineRule="auto"/>
      <w:ind w:left="0"/>
      <w:rPr>
        <w:rFonts w:ascii="Calibri" w:hAnsi="Calibri" w:eastAsia="Calibri" w:cs="Calibri"/>
        <w:sz w:val="17"/>
        <w:szCs w:val="17"/>
      </w:rPr>
    </w:pPr>
    <w:r>
      <w:rPr>
        <w:sz w:val="17"/>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2159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159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E3F46">
                          <w:pPr>
                            <w:pStyle w:val="41"/>
                            <w:rPr>
                              <w:rFonts w:hint="eastAsia" w:ascii="宋体" w:hAnsi="宋体" w:eastAsia="宋体" w:cs="宋体"/>
                              <w:sz w:val="16"/>
                              <w:szCs w:val="16"/>
                            </w:rPr>
                          </w:pPr>
                          <w:r>
                            <w:rPr>
                              <w:rFonts w:hint="eastAsia" w:ascii="宋体" w:hAnsi="宋体" w:eastAsia="宋体" w:cs="宋体"/>
                              <w:sz w:val="16"/>
                              <w:szCs w:val="16"/>
                            </w:rPr>
                            <w:fldChar w:fldCharType="begin"/>
                          </w:r>
                          <w:r>
                            <w:rPr>
                              <w:rFonts w:hint="eastAsia" w:ascii="宋体" w:hAnsi="宋体" w:eastAsia="宋体" w:cs="宋体"/>
                              <w:sz w:val="16"/>
                              <w:szCs w:val="16"/>
                            </w:rPr>
                            <w:instrText xml:space="preserve"> PAGE  \* MERGEFORMAT </w:instrText>
                          </w:r>
                          <w:r>
                            <w:rPr>
                              <w:rFonts w:hint="eastAsia" w:ascii="宋体" w:hAnsi="宋体" w:eastAsia="宋体" w:cs="宋体"/>
                              <w:sz w:val="16"/>
                              <w:szCs w:val="16"/>
                            </w:rPr>
                            <w:fldChar w:fldCharType="separate"/>
                          </w:r>
                          <w:r>
                            <w:rPr>
                              <w:rFonts w:hint="eastAsia" w:ascii="宋体" w:hAnsi="宋体" w:eastAsia="宋体" w:cs="宋体"/>
                              <w:sz w:val="16"/>
                              <w:szCs w:val="16"/>
                            </w:rPr>
                            <w:t>40</w:t>
                          </w:r>
                          <w:r>
                            <w:rPr>
                              <w:rFonts w:hint="eastAsia" w:ascii="宋体" w:hAnsi="宋体" w:eastAsia="宋体" w:cs="宋体"/>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7pt;mso-position-horizontal:center;mso-position-horizontal-relative:margin;z-index:251668480;mso-width-relative:page;mso-height-relative:page;" filled="f" stroked="f" coordsize="21600,21600" o:gfxdata="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CRVrm0wAAAAQBAAAPAAAAAAAAAAEAIAAAACIAAABkcnMvZG93bnJldi54bWxQSwEC&#10;FAAUAAAACACHTuJArE6/1zICAABWBAAADgAAAAAAAAABACAAAAAiAQAAZHJzL2Uyb0RvYy54bWxQ&#10;SwUGAAAAAAYABgBZAQAAxgUAAAAA&#10;">
              <v:fill on="f" focussize="0,0"/>
              <v:stroke on="f" weight="0.5pt"/>
              <v:imagedata o:title=""/>
              <o:lock v:ext="edit" aspectratio="f"/>
              <v:textbox inset="0mm,0mm,0mm,0mm" style="mso-fit-shape-to-text:t;">
                <w:txbxContent>
                  <w:p w14:paraId="464E3F46">
                    <w:pPr>
                      <w:pStyle w:val="41"/>
                      <w:rPr>
                        <w:rFonts w:hint="eastAsia" w:ascii="宋体" w:hAnsi="宋体" w:eastAsia="宋体" w:cs="宋体"/>
                        <w:sz w:val="16"/>
                        <w:szCs w:val="16"/>
                      </w:rPr>
                    </w:pPr>
                    <w:r>
                      <w:rPr>
                        <w:rFonts w:hint="eastAsia" w:ascii="宋体" w:hAnsi="宋体" w:eastAsia="宋体" w:cs="宋体"/>
                        <w:sz w:val="16"/>
                        <w:szCs w:val="16"/>
                      </w:rPr>
                      <w:fldChar w:fldCharType="begin"/>
                    </w:r>
                    <w:r>
                      <w:rPr>
                        <w:rFonts w:hint="eastAsia" w:ascii="宋体" w:hAnsi="宋体" w:eastAsia="宋体" w:cs="宋体"/>
                        <w:sz w:val="16"/>
                        <w:szCs w:val="16"/>
                      </w:rPr>
                      <w:instrText xml:space="preserve"> PAGE  \* MERGEFORMAT </w:instrText>
                    </w:r>
                    <w:r>
                      <w:rPr>
                        <w:rFonts w:hint="eastAsia" w:ascii="宋体" w:hAnsi="宋体" w:eastAsia="宋体" w:cs="宋体"/>
                        <w:sz w:val="16"/>
                        <w:szCs w:val="16"/>
                      </w:rPr>
                      <w:fldChar w:fldCharType="separate"/>
                    </w:r>
                    <w:r>
                      <w:rPr>
                        <w:rFonts w:hint="eastAsia" w:ascii="宋体" w:hAnsi="宋体" w:eastAsia="宋体" w:cs="宋体"/>
                        <w:sz w:val="16"/>
                        <w:szCs w:val="16"/>
                      </w:rPr>
                      <w:t>40</w:t>
                    </w:r>
                    <w:r>
                      <w:rPr>
                        <w:rFonts w:hint="eastAsia" w:ascii="宋体" w:hAnsi="宋体" w:eastAsia="宋体" w:cs="宋体"/>
                        <w:sz w:val="16"/>
                        <w:szCs w:val="16"/>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CCE15">
    <w:pPr>
      <w:pStyle w:val="4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1"/>
                            <w:docPartObj>
                              <w:docPartGallery w:val="autotext"/>
                            </w:docPartObj>
                          </w:sdtPr>
                          <w:sdtContent>
                            <w:p w14:paraId="4ECE09B6">
                              <w:pPr>
                                <w:pStyle w:val="41"/>
                                <w:jc w:val="center"/>
                              </w:pPr>
                              <w:r>
                                <w:fldChar w:fldCharType="begin"/>
                              </w:r>
                              <w:r>
                                <w:instrText xml:space="preserve"> PAGE   \* MERGEFORMAT </w:instrText>
                              </w:r>
                              <w:r>
                                <w:fldChar w:fldCharType="separate"/>
                              </w:r>
                              <w:r>
                                <w:rPr>
                                  <w:lang w:val="zh-CN"/>
                                </w:rPr>
                                <w:t>60</w:t>
                              </w:r>
                              <w:r>
                                <w:fldChar w:fldCharType="end"/>
                              </w:r>
                            </w:p>
                          </w:sdtContent>
                        </w:sdt>
                        <w:p w14:paraId="39820B14">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981691"/>
                      <w:docPartObj>
                        <w:docPartGallery w:val="autotext"/>
                      </w:docPartObj>
                    </w:sdtPr>
                    <w:sdtContent>
                      <w:p w14:paraId="4ECE09B6">
                        <w:pPr>
                          <w:pStyle w:val="41"/>
                          <w:jc w:val="center"/>
                        </w:pPr>
                        <w:r>
                          <w:fldChar w:fldCharType="begin"/>
                        </w:r>
                        <w:r>
                          <w:instrText xml:space="preserve"> PAGE   \* MERGEFORMAT </w:instrText>
                        </w:r>
                        <w:r>
                          <w:fldChar w:fldCharType="separate"/>
                        </w:r>
                        <w:r>
                          <w:rPr>
                            <w:lang w:val="zh-CN"/>
                          </w:rPr>
                          <w:t>60</w:t>
                        </w:r>
                        <w:r>
                          <w:fldChar w:fldCharType="end"/>
                        </w:r>
                      </w:p>
                    </w:sdtContent>
                  </w:sdt>
                  <w:p w14:paraId="39820B14">
                    <w:pPr>
                      <w:pStyle w:val="24"/>
                    </w:pPr>
                  </w:p>
                </w:txbxContent>
              </v:textbox>
            </v:shape>
          </w:pict>
        </mc:Fallback>
      </mc:AlternateContent>
    </w:r>
  </w:p>
  <w:p w14:paraId="3C33B989">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0603D">
    <w:pPr>
      <w:pStyle w:val="4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8"/>
                            <w:docPartObj>
                              <w:docPartGallery w:val="autotext"/>
                            </w:docPartObj>
                          </w:sdtPr>
                          <w:sdtContent>
                            <w:p w14:paraId="59FA4ED7">
                              <w:pPr>
                                <w:pStyle w:val="41"/>
                                <w:jc w:val="center"/>
                              </w:pPr>
                              <w:r>
                                <w:fldChar w:fldCharType="begin"/>
                              </w:r>
                              <w:r>
                                <w:instrText xml:space="preserve"> PAGE   \* MERGEFORMAT </w:instrText>
                              </w:r>
                              <w:r>
                                <w:fldChar w:fldCharType="separate"/>
                              </w:r>
                              <w:r>
                                <w:rPr>
                                  <w:lang w:val="zh-CN"/>
                                </w:rPr>
                                <w:t>29</w:t>
                              </w:r>
                              <w:r>
                                <w:fldChar w:fldCharType="end"/>
                              </w:r>
                            </w:p>
                          </w:sdtContent>
                        </w:sdt>
                        <w:p w14:paraId="5A9CCF25">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981688"/>
                      <w:docPartObj>
                        <w:docPartGallery w:val="autotext"/>
                      </w:docPartObj>
                    </w:sdtPr>
                    <w:sdtContent>
                      <w:p w14:paraId="59FA4ED7">
                        <w:pPr>
                          <w:pStyle w:val="41"/>
                          <w:jc w:val="center"/>
                        </w:pPr>
                        <w:r>
                          <w:fldChar w:fldCharType="begin"/>
                        </w:r>
                        <w:r>
                          <w:instrText xml:space="preserve"> PAGE   \* MERGEFORMAT </w:instrText>
                        </w:r>
                        <w:r>
                          <w:fldChar w:fldCharType="separate"/>
                        </w:r>
                        <w:r>
                          <w:rPr>
                            <w:lang w:val="zh-CN"/>
                          </w:rPr>
                          <w:t>29</w:t>
                        </w:r>
                        <w:r>
                          <w:fldChar w:fldCharType="end"/>
                        </w:r>
                      </w:p>
                    </w:sdtContent>
                  </w:sdt>
                  <w:p w14:paraId="5A9CCF25">
                    <w:pPr>
                      <w:pStyle w:val="24"/>
                    </w:pPr>
                  </w:p>
                </w:txbxContent>
              </v:textbox>
            </v:shape>
          </w:pict>
        </mc:Fallback>
      </mc:AlternateContent>
    </w:r>
  </w:p>
  <w:p w14:paraId="4C205E24">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F17AE">
    <w:pPr>
      <w:pStyle w:val="4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87350" cy="4337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87350"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5"/>
                            <w:docPartObj>
                              <w:docPartGallery w:val="autotext"/>
                            </w:docPartObj>
                          </w:sdtPr>
                          <w:sdtContent>
                            <w:p w14:paraId="481ACDF4">
                              <w:pPr>
                                <w:pStyle w:val="41"/>
                                <w:jc w:val="center"/>
                              </w:pPr>
                              <w:r>
                                <w:fldChar w:fldCharType="begin"/>
                              </w:r>
                              <w:r>
                                <w:instrText xml:space="preserve"> PAGE   \* MERGEFORMAT </w:instrText>
                              </w:r>
                              <w:r>
                                <w:fldChar w:fldCharType="separate"/>
                              </w:r>
                              <w:r>
                                <w:rPr>
                                  <w:lang w:val="zh-CN"/>
                                </w:rPr>
                                <w:t>63</w:t>
                              </w:r>
                              <w:r>
                                <w:fldChar w:fldCharType="end"/>
                              </w:r>
                            </w:p>
                          </w:sdtContent>
                        </w:sdt>
                        <w:p w14:paraId="57DC9455">
                          <w:pPr>
                            <w:pStyle w:val="24"/>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4.15pt;width:30.5pt;mso-position-horizontal:center;mso-position-horizontal-relative:margin;z-index:251661312;mso-width-relative:page;mso-height-relative:page;" filled="f" stroked="f" coordsize="21600,21600" o:gfxdata="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PenAdEAAAADAQAADwAAAAAAAAABACAAAAAiAAAAZHJzL2Rvd25yZXYueG1sUEsB&#10;AhQAFAAAAAgAh07iQB4bieE1AgAAYQQAAA4AAAAAAAAAAQAgAAAAIAEAAGRycy9lMm9Eb2MueG1s&#10;UEsFBgAAAAAGAAYAWQEAAMcFAAAAAA==&#10;">
              <v:fill on="f" focussize="0,0"/>
              <v:stroke on="f" weight="0.5pt"/>
              <v:imagedata o:title=""/>
              <o:lock v:ext="edit" aspectratio="f"/>
              <v:textbox inset="0mm,0mm,0mm,0mm">
                <w:txbxContent>
                  <w:sdt>
                    <w:sdtPr>
                      <w:id w:val="1981695"/>
                      <w:docPartObj>
                        <w:docPartGallery w:val="autotext"/>
                      </w:docPartObj>
                    </w:sdtPr>
                    <w:sdtContent>
                      <w:p w14:paraId="481ACDF4">
                        <w:pPr>
                          <w:pStyle w:val="41"/>
                          <w:jc w:val="center"/>
                        </w:pPr>
                        <w:r>
                          <w:fldChar w:fldCharType="begin"/>
                        </w:r>
                        <w:r>
                          <w:instrText xml:space="preserve"> PAGE   \* MERGEFORMAT </w:instrText>
                        </w:r>
                        <w:r>
                          <w:fldChar w:fldCharType="separate"/>
                        </w:r>
                        <w:r>
                          <w:rPr>
                            <w:lang w:val="zh-CN"/>
                          </w:rPr>
                          <w:t>63</w:t>
                        </w:r>
                        <w:r>
                          <w:fldChar w:fldCharType="end"/>
                        </w:r>
                      </w:p>
                    </w:sdtContent>
                  </w:sdt>
                  <w:p w14:paraId="57DC9455">
                    <w:pPr>
                      <w:pStyle w:val="24"/>
                    </w:pPr>
                  </w:p>
                </w:txbxContent>
              </v:textbox>
            </v:shape>
          </w:pict>
        </mc:Fallback>
      </mc:AlternateContent>
    </w:r>
  </w:p>
  <w:p w14:paraId="4B33BEA1">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3869E">
    <w:pPr>
      <w:pStyle w:val="4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4"/>
                            <w:docPartObj>
                              <w:docPartGallery w:val="autotext"/>
                            </w:docPartObj>
                          </w:sdtPr>
                          <w:sdtContent>
                            <w:p w14:paraId="0841B65A">
                              <w:pPr>
                                <w:pStyle w:val="41"/>
                                <w:jc w:val="center"/>
                              </w:pPr>
                              <w:r>
                                <w:fldChar w:fldCharType="begin"/>
                              </w:r>
                              <w:r>
                                <w:instrText xml:space="preserve"> PAGE   \* MERGEFORMAT </w:instrText>
                              </w:r>
                              <w:r>
                                <w:fldChar w:fldCharType="separate"/>
                              </w:r>
                              <w:r>
                                <w:rPr>
                                  <w:lang w:val="zh-CN"/>
                                </w:rPr>
                                <w:t>62</w:t>
                              </w:r>
                              <w:r>
                                <w:fldChar w:fldCharType="end"/>
                              </w:r>
                            </w:p>
                          </w:sdtContent>
                        </w:sdt>
                        <w:p w14:paraId="3BD00BC0">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sdt>
                    <w:sdtPr>
                      <w:id w:val="1981694"/>
                      <w:docPartObj>
                        <w:docPartGallery w:val="autotext"/>
                      </w:docPartObj>
                    </w:sdtPr>
                    <w:sdtContent>
                      <w:p w14:paraId="0841B65A">
                        <w:pPr>
                          <w:pStyle w:val="41"/>
                          <w:jc w:val="center"/>
                        </w:pPr>
                        <w:r>
                          <w:fldChar w:fldCharType="begin"/>
                        </w:r>
                        <w:r>
                          <w:instrText xml:space="preserve"> PAGE   \* MERGEFORMAT </w:instrText>
                        </w:r>
                        <w:r>
                          <w:fldChar w:fldCharType="separate"/>
                        </w:r>
                        <w:r>
                          <w:rPr>
                            <w:lang w:val="zh-CN"/>
                          </w:rPr>
                          <w:t>62</w:t>
                        </w:r>
                        <w:r>
                          <w:fldChar w:fldCharType="end"/>
                        </w:r>
                      </w:p>
                    </w:sdtContent>
                  </w:sdt>
                  <w:p w14:paraId="3BD00BC0">
                    <w:pPr>
                      <w:pStyle w:val="24"/>
                    </w:pPr>
                  </w:p>
                </w:txbxContent>
              </v:textbox>
            </v:shape>
          </w:pict>
        </mc:Fallback>
      </mc:AlternateContent>
    </w:r>
  </w:p>
  <w:p w14:paraId="342D199F">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3FD7">
    <w:pPr>
      <w:pStyle w:val="4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D991F">
                          <w:pPr>
                            <w:pStyle w:val="41"/>
                            <w:jc w:val="center"/>
                          </w:pPr>
                          <w:r>
                            <w:fldChar w:fldCharType="begin"/>
                          </w:r>
                          <w:r>
                            <w:instrText xml:space="preserve"> PAGE   \* MERGEFORMAT </w:instrText>
                          </w:r>
                          <w:r>
                            <w:fldChar w:fldCharType="separate"/>
                          </w:r>
                          <w:r>
                            <w:rPr>
                              <w:lang w:val="zh-CN"/>
                            </w:rP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5D991F">
                    <w:pPr>
                      <w:pStyle w:val="41"/>
                      <w:jc w:val="center"/>
                    </w:pPr>
                    <w:r>
                      <w:fldChar w:fldCharType="begin"/>
                    </w:r>
                    <w:r>
                      <w:instrText xml:space="preserve"> PAGE   \* MERGEFORMAT </w:instrText>
                    </w:r>
                    <w:r>
                      <w:fldChar w:fldCharType="separate"/>
                    </w:r>
                    <w:r>
                      <w:rPr>
                        <w:lang w:val="zh-CN"/>
                      </w:rPr>
                      <w:t>84</w:t>
                    </w:r>
                    <w:r>
                      <w:fldChar w:fldCharType="end"/>
                    </w:r>
                  </w:p>
                </w:txbxContent>
              </v:textbox>
            </v:shape>
          </w:pict>
        </mc:Fallback>
      </mc:AlternateContent>
    </w:r>
  </w:p>
  <w:p w14:paraId="6579899F">
    <w:pPr>
      <w:pStyle w:val="41"/>
      <w:jc w:val="center"/>
      <w:rPr>
        <w:rFonts w:ascii="仿宋_GB2312" w:eastAsia="仿宋_GB2312"/>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D4FAD">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EC842">
    <w:pPr>
      <w:pStyle w:val="42"/>
      <w:jc w:val="both"/>
      <w:rPr>
        <w:rFonts w:hint="default" w:ascii="仿宋_GB2312" w:eastAsia="仿宋_GB2312"/>
        <w:i/>
        <w:u w:val="single"/>
        <w:lang w:val="en-US"/>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w:t>
    </w:r>
    <w:r>
      <w:rPr>
        <w:rFonts w:hint="eastAsia" w:ascii="仿宋" w:hAnsi="仿宋" w:eastAsia="仿宋" w:cs="仿宋"/>
        <w:lang w:val="en-US" w:eastAsia="zh-CN"/>
      </w:rPr>
      <w:t>110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B91F8">
    <w:pPr>
      <w:pStyle w:val="42"/>
      <w:jc w:val="both"/>
      <w:rPr>
        <w:rFonts w:hint="eastAsia" w:ascii="仿宋" w:hAnsi="仿宋" w:eastAsia="仿宋" w:cs="仿宋"/>
        <w:lang w:val="en-US" w:eastAsia="zh-CN"/>
      </w:rPr>
    </w:pPr>
  </w:p>
  <w:p w14:paraId="3C8BD089">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C661F">
    <w:pPr>
      <w:pStyle w:val="42"/>
      <w:jc w:val="both"/>
      <w:rPr>
        <w:rFonts w:hint="default" w:ascii="仿宋_GB2312" w:eastAsia="仿宋_GB2312"/>
        <w:i/>
        <w:u w:val="single"/>
        <w:lang w:val="en-US"/>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w:t>
    </w:r>
    <w:r>
      <w:rPr>
        <w:rFonts w:hint="eastAsia" w:ascii="仿宋" w:hAnsi="仿宋" w:eastAsia="仿宋" w:cs="仿宋"/>
        <w:lang w:val="en-US" w:eastAsia="zh-CN"/>
      </w:rPr>
      <w:t>110</w:t>
    </w:r>
  </w:p>
  <w:p w14:paraId="4CB0CB40">
    <w:pPr>
      <w:pStyle w:val="42"/>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32D46">
    <w:pPr>
      <w:pStyle w:val="42"/>
      <w:jc w:val="both"/>
      <w:rPr>
        <w:rFonts w:hint="eastAsia" w:ascii="仿宋" w:hAnsi="仿宋" w:eastAsia="仿宋" w:cs="仿宋"/>
        <w:lang w:val="en-US" w:eastAsia="zh-CN"/>
      </w:rPr>
    </w:pPr>
  </w:p>
  <w:p w14:paraId="6FB8F283">
    <w:pPr>
      <w:pStyle w:val="42"/>
      <w:jc w:val="both"/>
      <w:rPr>
        <w:rFonts w:hint="eastAsia" w:ascii="仿宋" w:hAnsi="仿宋" w:eastAsia="仿宋" w:cs="仿宋"/>
        <w:lang w:val="en-US" w:eastAsia="zh-CN"/>
      </w:rPr>
    </w:pPr>
  </w:p>
  <w:p w14:paraId="088058FB">
    <w:pPr>
      <w:pStyle w:val="42"/>
      <w:jc w:val="both"/>
      <w:rPr>
        <w:rFonts w:hint="eastAsia" w:ascii="仿宋" w:hAnsi="仿宋" w:eastAsia="仿宋" w:cs="仿宋"/>
        <w:lang w:val="en-US" w:eastAsia="zh-CN"/>
      </w:rPr>
    </w:pPr>
  </w:p>
  <w:p w14:paraId="54E28F03">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73F3D">
    <w:pPr>
      <w:pStyle w:val="42"/>
      <w:jc w:val="both"/>
      <w:rPr>
        <w:rFonts w:hint="eastAsia" w:ascii="仿宋" w:hAnsi="仿宋" w:eastAsia="仿宋" w:cs="仿宋"/>
        <w:lang w:val="en-US" w:eastAsia="zh-CN"/>
      </w:rPr>
    </w:pPr>
  </w:p>
  <w:p w14:paraId="6019BEB2">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p w14:paraId="66E23DF6">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95E7E">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6352D">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p w14:paraId="76B119E1">
    <w:pPr>
      <w:rPr>
        <w:rFonts w:ascii="仿宋_GB2312" w:eastAsia="仿宋_GB2312"/>
        <w:b/>
        <w:i/>
        <w:sz w:val="18"/>
        <w:u w:val="singl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60252">
    <w:pPr>
      <w:pStyle w:val="42"/>
      <w:jc w:val="both"/>
      <w:rPr>
        <w:rFonts w:hint="eastAsia" w:ascii="仿宋" w:hAnsi="仿宋" w:eastAsia="仿宋" w:cs="仿宋"/>
        <w:lang w:val="en-US" w:eastAsia="zh-CN"/>
      </w:rPr>
    </w:pPr>
  </w:p>
  <w:p w14:paraId="4AB4AB4E">
    <w:pPr>
      <w:pStyle w:val="42"/>
      <w:jc w:val="both"/>
      <w:rPr>
        <w:rFonts w:hint="eastAsia" w:ascii="仿宋" w:hAnsi="仿宋" w:eastAsia="仿宋" w:cs="仿宋"/>
        <w:lang w:val="en-US" w:eastAsia="zh-CN"/>
      </w:rPr>
    </w:pPr>
  </w:p>
  <w:p w14:paraId="13B6EFA3">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4B45F">
    <w:pPr>
      <w:pStyle w:val="42"/>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ZJXSC-2025-110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B3D742"/>
    <w:multiLevelType w:val="singleLevel"/>
    <w:tmpl w:val="C8B3D742"/>
    <w:lvl w:ilvl="0" w:tentative="0">
      <w:start w:val="1"/>
      <w:numFmt w:val="decimal"/>
      <w:lvlText w:val="%1."/>
      <w:lvlJc w:val="left"/>
      <w:pPr>
        <w:tabs>
          <w:tab w:val="left" w:pos="312"/>
        </w:tabs>
      </w:pPr>
    </w:lvl>
  </w:abstractNum>
  <w:abstractNum w:abstractNumId="1">
    <w:nsid w:val="CDE82279"/>
    <w:multiLevelType w:val="singleLevel"/>
    <w:tmpl w:val="CDE82279"/>
    <w:lvl w:ilvl="0" w:tentative="0">
      <w:start w:val="1"/>
      <w:numFmt w:val="decimal"/>
      <w:lvlText w:val="%1."/>
      <w:lvlJc w:val="left"/>
      <w:pPr>
        <w:tabs>
          <w:tab w:val="left" w:pos="312"/>
        </w:tabs>
      </w:p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071BFA89"/>
    <w:multiLevelType w:val="singleLevel"/>
    <w:tmpl w:val="071BFA89"/>
    <w:lvl w:ilvl="0" w:tentative="0">
      <w:start w:val="5"/>
      <w:numFmt w:val="chineseCounting"/>
      <w:suff w:val="space"/>
      <w:lvlText w:val="第%1部分"/>
      <w:lvlJc w:val="left"/>
      <w:rPr>
        <w:rFonts w:hint="eastAsia"/>
      </w:rPr>
    </w:lvl>
  </w:abstractNum>
  <w:abstractNum w:abstractNumId="4">
    <w:nsid w:val="2CC13176"/>
    <w:multiLevelType w:val="multilevel"/>
    <w:tmpl w:val="2CC1317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326168D7"/>
    <w:multiLevelType w:val="multilevel"/>
    <w:tmpl w:val="326168D7"/>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6">
    <w:nsid w:val="37F90A5C"/>
    <w:multiLevelType w:val="multilevel"/>
    <w:tmpl w:val="37F90A5C"/>
    <w:lvl w:ilvl="0" w:tentative="0">
      <w:start w:val="1"/>
      <w:numFmt w:val="bullet"/>
      <w:lvlText w:val=""/>
      <w:lvlJc w:val="left"/>
      <w:pPr>
        <w:tabs>
          <w:tab w:val="left" w:pos="720"/>
        </w:tabs>
        <w:ind w:left="720" w:hanging="360"/>
      </w:pPr>
      <w:rPr>
        <w:rFonts w:hint="default" w:ascii="Wingdings" w:hAnsi="Wingdings"/>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06B57"/>
    <w:multiLevelType w:val="singleLevel"/>
    <w:tmpl w:val="3ED06B57"/>
    <w:lvl w:ilvl="0" w:tentative="0">
      <w:start w:val="1"/>
      <w:numFmt w:val="decimal"/>
      <w:lvlText w:val="%1."/>
      <w:lvlJc w:val="left"/>
      <w:pPr>
        <w:tabs>
          <w:tab w:val="left" w:pos="312"/>
        </w:tabs>
      </w:pPr>
    </w:lvl>
  </w:abstractNum>
  <w:abstractNum w:abstractNumId="8">
    <w:nsid w:val="4356699E"/>
    <w:multiLevelType w:val="multilevel"/>
    <w:tmpl w:val="4356699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9">
    <w:nsid w:val="5CC7A02A"/>
    <w:multiLevelType w:val="singleLevel"/>
    <w:tmpl w:val="5CC7A02A"/>
    <w:lvl w:ilvl="0" w:tentative="0">
      <w:start w:val="1"/>
      <w:numFmt w:val="chineseCounting"/>
      <w:suff w:val="nothing"/>
      <w:lvlText w:val="%1、"/>
      <w:lvlJc w:val="left"/>
      <w:rPr>
        <w:rFonts w:hint="eastAsia"/>
      </w:rPr>
    </w:lvl>
  </w:abstractNum>
  <w:abstractNum w:abstractNumId="10">
    <w:nsid w:val="6E532B6E"/>
    <w:multiLevelType w:val="multilevel"/>
    <w:tmpl w:val="6E532B6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7ABCF083"/>
    <w:multiLevelType w:val="singleLevel"/>
    <w:tmpl w:val="7ABCF083"/>
    <w:lvl w:ilvl="0" w:tentative="0">
      <w:start w:val="1"/>
      <w:numFmt w:val="decimal"/>
      <w:suff w:val="nothing"/>
      <w:lvlText w:val="（%1）"/>
      <w:lvlJc w:val="left"/>
    </w:lvl>
  </w:abstractNum>
  <w:num w:numId="1">
    <w:abstractNumId w:val="7"/>
  </w:num>
  <w:num w:numId="2">
    <w:abstractNumId w:val="0"/>
  </w:num>
  <w:num w:numId="3">
    <w:abstractNumId w:val="4"/>
  </w:num>
  <w:num w:numId="4">
    <w:abstractNumId w:val="8"/>
  </w:num>
  <w:num w:numId="5">
    <w:abstractNumId w:val="5"/>
  </w:num>
  <w:num w:numId="6">
    <w:abstractNumId w:val="6"/>
  </w:num>
  <w:num w:numId="7">
    <w:abstractNumId w:val="10"/>
  </w:num>
  <w:num w:numId="8">
    <w:abstractNumId w:val="11"/>
  </w:num>
  <w:num w:numId="9">
    <w:abstractNumId w:val="1"/>
  </w:num>
  <w:num w:numId="10">
    <w:abstractNumId w:val="3"/>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ZTQ1NzNhOTE4NTljYzEwODhhODJmZTY3ZTQzOWMifQ=="/>
    <w:docVar w:name="KSO_WPS_MARK_KEY" w:val="002f8e70-dff8-4261-bb58-d8b63a7734f7"/>
  </w:docVars>
  <w:rsids>
    <w:rsidRoot w:val="00A91C81"/>
    <w:rsid w:val="0000631B"/>
    <w:rsid w:val="0001199A"/>
    <w:rsid w:val="00020B3B"/>
    <w:rsid w:val="000233D4"/>
    <w:rsid w:val="00070649"/>
    <w:rsid w:val="000827EC"/>
    <w:rsid w:val="0009075B"/>
    <w:rsid w:val="000A0F42"/>
    <w:rsid w:val="000A640B"/>
    <w:rsid w:val="000B417D"/>
    <w:rsid w:val="000B50A3"/>
    <w:rsid w:val="000C2561"/>
    <w:rsid w:val="000C3156"/>
    <w:rsid w:val="000E1B3E"/>
    <w:rsid w:val="00101AE9"/>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D4AEB"/>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D558A"/>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26D9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84814"/>
    <w:rsid w:val="00EA3C2D"/>
    <w:rsid w:val="00EE5EA4"/>
    <w:rsid w:val="00F071CA"/>
    <w:rsid w:val="00F10C25"/>
    <w:rsid w:val="00F14037"/>
    <w:rsid w:val="00F21078"/>
    <w:rsid w:val="00F408CF"/>
    <w:rsid w:val="00F45F10"/>
    <w:rsid w:val="00F47484"/>
    <w:rsid w:val="00F62C11"/>
    <w:rsid w:val="00F714C4"/>
    <w:rsid w:val="00F749E4"/>
    <w:rsid w:val="00F901DA"/>
    <w:rsid w:val="00FB3C44"/>
    <w:rsid w:val="00FC5095"/>
    <w:rsid w:val="01370103"/>
    <w:rsid w:val="016C0FA1"/>
    <w:rsid w:val="017442FA"/>
    <w:rsid w:val="01A249C3"/>
    <w:rsid w:val="01FD5392"/>
    <w:rsid w:val="020A0467"/>
    <w:rsid w:val="02154018"/>
    <w:rsid w:val="02405210"/>
    <w:rsid w:val="02412B40"/>
    <w:rsid w:val="027D0F8C"/>
    <w:rsid w:val="02D36DFE"/>
    <w:rsid w:val="02DE08A9"/>
    <w:rsid w:val="032B6C3A"/>
    <w:rsid w:val="033E089E"/>
    <w:rsid w:val="035C5045"/>
    <w:rsid w:val="03673C4D"/>
    <w:rsid w:val="03885E3A"/>
    <w:rsid w:val="03AF33C7"/>
    <w:rsid w:val="03FE7EAB"/>
    <w:rsid w:val="04142E23"/>
    <w:rsid w:val="042C4A18"/>
    <w:rsid w:val="043255DB"/>
    <w:rsid w:val="04853BB9"/>
    <w:rsid w:val="04A3117E"/>
    <w:rsid w:val="04FC27FF"/>
    <w:rsid w:val="05605F5B"/>
    <w:rsid w:val="057C458C"/>
    <w:rsid w:val="05813F74"/>
    <w:rsid w:val="05B34800"/>
    <w:rsid w:val="05C43A86"/>
    <w:rsid w:val="05C47140"/>
    <w:rsid w:val="05D435B9"/>
    <w:rsid w:val="062A122C"/>
    <w:rsid w:val="063D58D9"/>
    <w:rsid w:val="06877D5F"/>
    <w:rsid w:val="068B12C4"/>
    <w:rsid w:val="06A765D7"/>
    <w:rsid w:val="06D74677"/>
    <w:rsid w:val="06E710CA"/>
    <w:rsid w:val="07050F7E"/>
    <w:rsid w:val="07097292"/>
    <w:rsid w:val="07293490"/>
    <w:rsid w:val="072A7934"/>
    <w:rsid w:val="07336117"/>
    <w:rsid w:val="073E5A94"/>
    <w:rsid w:val="07660241"/>
    <w:rsid w:val="07A80859"/>
    <w:rsid w:val="07E003BD"/>
    <w:rsid w:val="07F25F78"/>
    <w:rsid w:val="07F6701D"/>
    <w:rsid w:val="08236132"/>
    <w:rsid w:val="0828199A"/>
    <w:rsid w:val="08332819"/>
    <w:rsid w:val="084762C4"/>
    <w:rsid w:val="084B45F9"/>
    <w:rsid w:val="08DD5CAC"/>
    <w:rsid w:val="09045F63"/>
    <w:rsid w:val="09514463"/>
    <w:rsid w:val="095A6CE4"/>
    <w:rsid w:val="09742F12"/>
    <w:rsid w:val="0978425B"/>
    <w:rsid w:val="097F0423"/>
    <w:rsid w:val="0983157E"/>
    <w:rsid w:val="09B04A05"/>
    <w:rsid w:val="09C13E54"/>
    <w:rsid w:val="0A047793"/>
    <w:rsid w:val="0A110938"/>
    <w:rsid w:val="0A1C72DC"/>
    <w:rsid w:val="0A2A37A7"/>
    <w:rsid w:val="0A476347"/>
    <w:rsid w:val="0A7F70B2"/>
    <w:rsid w:val="0A8B04DC"/>
    <w:rsid w:val="0AA0137B"/>
    <w:rsid w:val="0AC96E98"/>
    <w:rsid w:val="0AD33E3F"/>
    <w:rsid w:val="0AD85272"/>
    <w:rsid w:val="0AE44A09"/>
    <w:rsid w:val="0AEF0200"/>
    <w:rsid w:val="0B20186A"/>
    <w:rsid w:val="0B70340B"/>
    <w:rsid w:val="0B7713DE"/>
    <w:rsid w:val="0B9C06D5"/>
    <w:rsid w:val="0BBE75D4"/>
    <w:rsid w:val="0BC33EB3"/>
    <w:rsid w:val="0BDA01D0"/>
    <w:rsid w:val="0BE5207C"/>
    <w:rsid w:val="0C220485"/>
    <w:rsid w:val="0C30706F"/>
    <w:rsid w:val="0C3F36F3"/>
    <w:rsid w:val="0C5267C3"/>
    <w:rsid w:val="0C880C59"/>
    <w:rsid w:val="0CB120A6"/>
    <w:rsid w:val="0CF31BCF"/>
    <w:rsid w:val="0D2518A2"/>
    <w:rsid w:val="0D280DA5"/>
    <w:rsid w:val="0DD73C46"/>
    <w:rsid w:val="0DF83D75"/>
    <w:rsid w:val="0E06452B"/>
    <w:rsid w:val="0E3756DF"/>
    <w:rsid w:val="0E645AA1"/>
    <w:rsid w:val="0E7771D7"/>
    <w:rsid w:val="0E825F13"/>
    <w:rsid w:val="0ED76ECF"/>
    <w:rsid w:val="0F5074B0"/>
    <w:rsid w:val="0F5473A2"/>
    <w:rsid w:val="0F5B4403"/>
    <w:rsid w:val="0F6C6610"/>
    <w:rsid w:val="0F76748F"/>
    <w:rsid w:val="0F834E1F"/>
    <w:rsid w:val="0F935D46"/>
    <w:rsid w:val="0FA0239A"/>
    <w:rsid w:val="10042761"/>
    <w:rsid w:val="1022457B"/>
    <w:rsid w:val="10443FE4"/>
    <w:rsid w:val="108F6AEB"/>
    <w:rsid w:val="10971325"/>
    <w:rsid w:val="10A165BF"/>
    <w:rsid w:val="10B74479"/>
    <w:rsid w:val="10BE3E04"/>
    <w:rsid w:val="10E723F2"/>
    <w:rsid w:val="11015B72"/>
    <w:rsid w:val="110F292A"/>
    <w:rsid w:val="113D4A16"/>
    <w:rsid w:val="115324D0"/>
    <w:rsid w:val="117B2B3A"/>
    <w:rsid w:val="117D4B05"/>
    <w:rsid w:val="11881723"/>
    <w:rsid w:val="11B85B3D"/>
    <w:rsid w:val="11F311D3"/>
    <w:rsid w:val="11F939B8"/>
    <w:rsid w:val="12A54313"/>
    <w:rsid w:val="12B46304"/>
    <w:rsid w:val="133D279D"/>
    <w:rsid w:val="13471EB9"/>
    <w:rsid w:val="13637D2A"/>
    <w:rsid w:val="13F310AE"/>
    <w:rsid w:val="14127BE9"/>
    <w:rsid w:val="14143E34"/>
    <w:rsid w:val="14386639"/>
    <w:rsid w:val="145B2040"/>
    <w:rsid w:val="147026FF"/>
    <w:rsid w:val="14BA370F"/>
    <w:rsid w:val="14BB338F"/>
    <w:rsid w:val="14DF1632"/>
    <w:rsid w:val="14E32ED1"/>
    <w:rsid w:val="14F50E56"/>
    <w:rsid w:val="14FD3807"/>
    <w:rsid w:val="150F6B85"/>
    <w:rsid w:val="152D6842"/>
    <w:rsid w:val="154716B1"/>
    <w:rsid w:val="15723D35"/>
    <w:rsid w:val="157E709D"/>
    <w:rsid w:val="15DF5D8E"/>
    <w:rsid w:val="15E675F9"/>
    <w:rsid w:val="160752E5"/>
    <w:rsid w:val="161812A0"/>
    <w:rsid w:val="165434B0"/>
    <w:rsid w:val="16557DE1"/>
    <w:rsid w:val="1686445B"/>
    <w:rsid w:val="168A45F1"/>
    <w:rsid w:val="169266EF"/>
    <w:rsid w:val="169E17AF"/>
    <w:rsid w:val="16B31800"/>
    <w:rsid w:val="17062978"/>
    <w:rsid w:val="170E5211"/>
    <w:rsid w:val="17416DB6"/>
    <w:rsid w:val="174D6D27"/>
    <w:rsid w:val="174F0CF1"/>
    <w:rsid w:val="17A24BE8"/>
    <w:rsid w:val="17A86360"/>
    <w:rsid w:val="17BB3CFC"/>
    <w:rsid w:val="17BD5C5B"/>
    <w:rsid w:val="17BE54F1"/>
    <w:rsid w:val="17FC5D3B"/>
    <w:rsid w:val="188A469C"/>
    <w:rsid w:val="188D578E"/>
    <w:rsid w:val="18C71FA1"/>
    <w:rsid w:val="19420680"/>
    <w:rsid w:val="194F7996"/>
    <w:rsid w:val="19683602"/>
    <w:rsid w:val="198567EB"/>
    <w:rsid w:val="19C77265"/>
    <w:rsid w:val="19CD6537"/>
    <w:rsid w:val="19DB5869"/>
    <w:rsid w:val="19DE6ABD"/>
    <w:rsid w:val="19ED659F"/>
    <w:rsid w:val="1A101FD2"/>
    <w:rsid w:val="1A330E88"/>
    <w:rsid w:val="1A56156F"/>
    <w:rsid w:val="1A6D6AE8"/>
    <w:rsid w:val="1B03607B"/>
    <w:rsid w:val="1B3068FC"/>
    <w:rsid w:val="1B3721C8"/>
    <w:rsid w:val="1B3E70B3"/>
    <w:rsid w:val="1B4A1EFB"/>
    <w:rsid w:val="1B4D5548"/>
    <w:rsid w:val="1B8B42C2"/>
    <w:rsid w:val="1B917B2A"/>
    <w:rsid w:val="1BD47A17"/>
    <w:rsid w:val="1BE91858"/>
    <w:rsid w:val="1C5D5C5E"/>
    <w:rsid w:val="1C766D20"/>
    <w:rsid w:val="1CB533A4"/>
    <w:rsid w:val="1CF163A7"/>
    <w:rsid w:val="1D160AD7"/>
    <w:rsid w:val="1D295B40"/>
    <w:rsid w:val="1D4110DC"/>
    <w:rsid w:val="1D44126E"/>
    <w:rsid w:val="1DB146C7"/>
    <w:rsid w:val="1DF71ECE"/>
    <w:rsid w:val="1E251EB4"/>
    <w:rsid w:val="1E585301"/>
    <w:rsid w:val="1E802972"/>
    <w:rsid w:val="1E8F061A"/>
    <w:rsid w:val="1E9D67E6"/>
    <w:rsid w:val="1E9F255E"/>
    <w:rsid w:val="1EC91389"/>
    <w:rsid w:val="1ED17923"/>
    <w:rsid w:val="1F30640A"/>
    <w:rsid w:val="1F471FE7"/>
    <w:rsid w:val="1F4E5D32"/>
    <w:rsid w:val="1F7F413E"/>
    <w:rsid w:val="1F8D685B"/>
    <w:rsid w:val="1FBF2802"/>
    <w:rsid w:val="1FD955FC"/>
    <w:rsid w:val="1FD9EE26"/>
    <w:rsid w:val="1FDC6E9A"/>
    <w:rsid w:val="1FE65F6B"/>
    <w:rsid w:val="1FF70178"/>
    <w:rsid w:val="201C5498"/>
    <w:rsid w:val="205D0300"/>
    <w:rsid w:val="20752C51"/>
    <w:rsid w:val="20790B8D"/>
    <w:rsid w:val="20A35C0A"/>
    <w:rsid w:val="20B6098A"/>
    <w:rsid w:val="20D85DAC"/>
    <w:rsid w:val="20F06D17"/>
    <w:rsid w:val="214F4F01"/>
    <w:rsid w:val="217A21C5"/>
    <w:rsid w:val="21947825"/>
    <w:rsid w:val="21BF60EB"/>
    <w:rsid w:val="21E83A2C"/>
    <w:rsid w:val="2232123C"/>
    <w:rsid w:val="22521696"/>
    <w:rsid w:val="22796B9E"/>
    <w:rsid w:val="22877591"/>
    <w:rsid w:val="22A57662"/>
    <w:rsid w:val="22D5562C"/>
    <w:rsid w:val="230E7092"/>
    <w:rsid w:val="23563407"/>
    <w:rsid w:val="237F2463"/>
    <w:rsid w:val="238A075D"/>
    <w:rsid w:val="239F6B5C"/>
    <w:rsid w:val="23C93F42"/>
    <w:rsid w:val="23DC1EA6"/>
    <w:rsid w:val="23E46C65"/>
    <w:rsid w:val="23F84A91"/>
    <w:rsid w:val="24304BEB"/>
    <w:rsid w:val="245D5DD5"/>
    <w:rsid w:val="24B86128"/>
    <w:rsid w:val="24C34ACD"/>
    <w:rsid w:val="24DA6279"/>
    <w:rsid w:val="24F03749"/>
    <w:rsid w:val="24F76BB2"/>
    <w:rsid w:val="255A71DF"/>
    <w:rsid w:val="255F47F5"/>
    <w:rsid w:val="256242E5"/>
    <w:rsid w:val="2579170A"/>
    <w:rsid w:val="257B07B5"/>
    <w:rsid w:val="25A71CF8"/>
    <w:rsid w:val="25B85CB3"/>
    <w:rsid w:val="26393298"/>
    <w:rsid w:val="265C7550"/>
    <w:rsid w:val="268E73AE"/>
    <w:rsid w:val="269B7AAF"/>
    <w:rsid w:val="26A050C5"/>
    <w:rsid w:val="26BE0F2F"/>
    <w:rsid w:val="26C901BC"/>
    <w:rsid w:val="26D44694"/>
    <w:rsid w:val="26EF3957"/>
    <w:rsid w:val="271B299E"/>
    <w:rsid w:val="272A2BB2"/>
    <w:rsid w:val="272C4BAB"/>
    <w:rsid w:val="2758774E"/>
    <w:rsid w:val="277D1809"/>
    <w:rsid w:val="277D71B5"/>
    <w:rsid w:val="27916B32"/>
    <w:rsid w:val="27C13545"/>
    <w:rsid w:val="27FA7FEC"/>
    <w:rsid w:val="284D6B87"/>
    <w:rsid w:val="285D2747"/>
    <w:rsid w:val="28E71EAD"/>
    <w:rsid w:val="290666CE"/>
    <w:rsid w:val="292540AD"/>
    <w:rsid w:val="29543F45"/>
    <w:rsid w:val="29567CBD"/>
    <w:rsid w:val="295A1365"/>
    <w:rsid w:val="29891E41"/>
    <w:rsid w:val="29A547A1"/>
    <w:rsid w:val="29B00F31"/>
    <w:rsid w:val="29D71FB3"/>
    <w:rsid w:val="29F85218"/>
    <w:rsid w:val="2A035F40"/>
    <w:rsid w:val="2A3C50FB"/>
    <w:rsid w:val="2A415DDF"/>
    <w:rsid w:val="2A5063FA"/>
    <w:rsid w:val="2A506E02"/>
    <w:rsid w:val="2A606107"/>
    <w:rsid w:val="2A750BB8"/>
    <w:rsid w:val="2AD369D3"/>
    <w:rsid w:val="2AD6555A"/>
    <w:rsid w:val="2AE50FD6"/>
    <w:rsid w:val="2AEB08D9"/>
    <w:rsid w:val="2AFE685E"/>
    <w:rsid w:val="2B2A31B0"/>
    <w:rsid w:val="2B333BF4"/>
    <w:rsid w:val="2B600AA9"/>
    <w:rsid w:val="2B7D1E25"/>
    <w:rsid w:val="2B7F067C"/>
    <w:rsid w:val="2B91322F"/>
    <w:rsid w:val="2BA6170E"/>
    <w:rsid w:val="2BAD07CB"/>
    <w:rsid w:val="2BB77B14"/>
    <w:rsid w:val="2BC058C2"/>
    <w:rsid w:val="2BD07C59"/>
    <w:rsid w:val="2BE07D12"/>
    <w:rsid w:val="2BE85216"/>
    <w:rsid w:val="2BF525FB"/>
    <w:rsid w:val="2C2B67C0"/>
    <w:rsid w:val="2C504E98"/>
    <w:rsid w:val="2C810EAE"/>
    <w:rsid w:val="2C934D84"/>
    <w:rsid w:val="2CCE7A93"/>
    <w:rsid w:val="2CD33F1A"/>
    <w:rsid w:val="2CDA6E57"/>
    <w:rsid w:val="2CE84DB9"/>
    <w:rsid w:val="2D205BB7"/>
    <w:rsid w:val="2D35408E"/>
    <w:rsid w:val="2D376513"/>
    <w:rsid w:val="2D5A4D2D"/>
    <w:rsid w:val="2D7E5A35"/>
    <w:rsid w:val="2D8121C1"/>
    <w:rsid w:val="2D8F505B"/>
    <w:rsid w:val="2DA50295"/>
    <w:rsid w:val="2DB11966"/>
    <w:rsid w:val="2DC5530F"/>
    <w:rsid w:val="2DD4153F"/>
    <w:rsid w:val="2DDC3886"/>
    <w:rsid w:val="2DE33AEA"/>
    <w:rsid w:val="2DF9330D"/>
    <w:rsid w:val="2DFB64AD"/>
    <w:rsid w:val="2E045F3A"/>
    <w:rsid w:val="2E08364E"/>
    <w:rsid w:val="2E222864"/>
    <w:rsid w:val="2E3B56D4"/>
    <w:rsid w:val="2E3D1E67"/>
    <w:rsid w:val="2E90519A"/>
    <w:rsid w:val="2EA30912"/>
    <w:rsid w:val="2EF61A0F"/>
    <w:rsid w:val="2F0D0E1E"/>
    <w:rsid w:val="2F0D4556"/>
    <w:rsid w:val="2F282AF7"/>
    <w:rsid w:val="2F5711FE"/>
    <w:rsid w:val="2F77098D"/>
    <w:rsid w:val="2FB721C3"/>
    <w:rsid w:val="2FBD7C2C"/>
    <w:rsid w:val="2FD77095"/>
    <w:rsid w:val="30103294"/>
    <w:rsid w:val="30202DD3"/>
    <w:rsid w:val="30405DB5"/>
    <w:rsid w:val="304C3BC8"/>
    <w:rsid w:val="306953D3"/>
    <w:rsid w:val="30A921BD"/>
    <w:rsid w:val="31140B8A"/>
    <w:rsid w:val="31230DCD"/>
    <w:rsid w:val="31273CB3"/>
    <w:rsid w:val="31305298"/>
    <w:rsid w:val="31496A4E"/>
    <w:rsid w:val="315301FC"/>
    <w:rsid w:val="3157337F"/>
    <w:rsid w:val="3184437D"/>
    <w:rsid w:val="318E1BE4"/>
    <w:rsid w:val="31B20215"/>
    <w:rsid w:val="31C0486E"/>
    <w:rsid w:val="31E83DC4"/>
    <w:rsid w:val="321759BB"/>
    <w:rsid w:val="322624C4"/>
    <w:rsid w:val="323B3EF4"/>
    <w:rsid w:val="326A2A2B"/>
    <w:rsid w:val="327F40E6"/>
    <w:rsid w:val="328672F4"/>
    <w:rsid w:val="32886B05"/>
    <w:rsid w:val="32C65EB4"/>
    <w:rsid w:val="32D87995"/>
    <w:rsid w:val="32FF17E3"/>
    <w:rsid w:val="330662B0"/>
    <w:rsid w:val="330F5F53"/>
    <w:rsid w:val="33142326"/>
    <w:rsid w:val="33150BE9"/>
    <w:rsid w:val="332F4C5A"/>
    <w:rsid w:val="33501C21"/>
    <w:rsid w:val="335F3A60"/>
    <w:rsid w:val="34045566"/>
    <w:rsid w:val="347902AB"/>
    <w:rsid w:val="347F300A"/>
    <w:rsid w:val="349A34DB"/>
    <w:rsid w:val="349C731B"/>
    <w:rsid w:val="34B85CD0"/>
    <w:rsid w:val="34D5509B"/>
    <w:rsid w:val="350B5E00"/>
    <w:rsid w:val="354A367F"/>
    <w:rsid w:val="35DF103A"/>
    <w:rsid w:val="36213EAC"/>
    <w:rsid w:val="365F40C1"/>
    <w:rsid w:val="36CC5A63"/>
    <w:rsid w:val="36DB5CA6"/>
    <w:rsid w:val="36E94025"/>
    <w:rsid w:val="371428EB"/>
    <w:rsid w:val="372D208E"/>
    <w:rsid w:val="374E0D3D"/>
    <w:rsid w:val="376B6662"/>
    <w:rsid w:val="37712166"/>
    <w:rsid w:val="3781684D"/>
    <w:rsid w:val="378575D7"/>
    <w:rsid w:val="379245B6"/>
    <w:rsid w:val="379839CA"/>
    <w:rsid w:val="37BE5AFF"/>
    <w:rsid w:val="37C476DE"/>
    <w:rsid w:val="37CB7E31"/>
    <w:rsid w:val="37CD6A10"/>
    <w:rsid w:val="37D40A8D"/>
    <w:rsid w:val="37E91FE7"/>
    <w:rsid w:val="37EC6B43"/>
    <w:rsid w:val="37F012DD"/>
    <w:rsid w:val="38503FFE"/>
    <w:rsid w:val="38565CB3"/>
    <w:rsid w:val="38602906"/>
    <w:rsid w:val="387719FE"/>
    <w:rsid w:val="38894D34"/>
    <w:rsid w:val="38AD5420"/>
    <w:rsid w:val="38C74734"/>
    <w:rsid w:val="38D160C4"/>
    <w:rsid w:val="39072D82"/>
    <w:rsid w:val="392E095A"/>
    <w:rsid w:val="39870A8A"/>
    <w:rsid w:val="39B80063"/>
    <w:rsid w:val="39DE2D7E"/>
    <w:rsid w:val="39F32D23"/>
    <w:rsid w:val="3A045513"/>
    <w:rsid w:val="3A1F706B"/>
    <w:rsid w:val="3A4678DA"/>
    <w:rsid w:val="3A49601D"/>
    <w:rsid w:val="3A631CBF"/>
    <w:rsid w:val="3A6C13FE"/>
    <w:rsid w:val="3A761B04"/>
    <w:rsid w:val="3AA85CCA"/>
    <w:rsid w:val="3AD43E19"/>
    <w:rsid w:val="3AED5FA8"/>
    <w:rsid w:val="3AF40348"/>
    <w:rsid w:val="3B021A53"/>
    <w:rsid w:val="3B0F6973"/>
    <w:rsid w:val="3B50390A"/>
    <w:rsid w:val="3B6E533A"/>
    <w:rsid w:val="3BB73546"/>
    <w:rsid w:val="3BEA792C"/>
    <w:rsid w:val="3BF13876"/>
    <w:rsid w:val="3C430EC5"/>
    <w:rsid w:val="3C4E0CC8"/>
    <w:rsid w:val="3C681D8A"/>
    <w:rsid w:val="3C682428"/>
    <w:rsid w:val="3C771FCD"/>
    <w:rsid w:val="3CA134EE"/>
    <w:rsid w:val="3CA32DC2"/>
    <w:rsid w:val="3CB46D7D"/>
    <w:rsid w:val="3CCF005B"/>
    <w:rsid w:val="3CE276D4"/>
    <w:rsid w:val="3CEA09F1"/>
    <w:rsid w:val="3D4B049C"/>
    <w:rsid w:val="3DBA4867"/>
    <w:rsid w:val="3DBD4357"/>
    <w:rsid w:val="3DCC1CEF"/>
    <w:rsid w:val="3DD61B10"/>
    <w:rsid w:val="3DFA2EB5"/>
    <w:rsid w:val="3E0F3A5D"/>
    <w:rsid w:val="3E1511E9"/>
    <w:rsid w:val="3E17559E"/>
    <w:rsid w:val="3E2D328B"/>
    <w:rsid w:val="3E5C591E"/>
    <w:rsid w:val="3E6D1938"/>
    <w:rsid w:val="3E772188"/>
    <w:rsid w:val="3E831BCF"/>
    <w:rsid w:val="3E8D5AD7"/>
    <w:rsid w:val="3EAA712D"/>
    <w:rsid w:val="3EFB46E7"/>
    <w:rsid w:val="3F326AC0"/>
    <w:rsid w:val="3F33033C"/>
    <w:rsid w:val="3F53354F"/>
    <w:rsid w:val="3F6F42A9"/>
    <w:rsid w:val="3F76806C"/>
    <w:rsid w:val="3F7D3D9E"/>
    <w:rsid w:val="3FAF50D7"/>
    <w:rsid w:val="3FC10CF4"/>
    <w:rsid w:val="3FC46137"/>
    <w:rsid w:val="3FCD4CB7"/>
    <w:rsid w:val="3FFFBBE7"/>
    <w:rsid w:val="400B3158"/>
    <w:rsid w:val="40210BCD"/>
    <w:rsid w:val="408E03B9"/>
    <w:rsid w:val="40E22B76"/>
    <w:rsid w:val="40E979B6"/>
    <w:rsid w:val="4119275B"/>
    <w:rsid w:val="413B5CBF"/>
    <w:rsid w:val="41475627"/>
    <w:rsid w:val="4153125A"/>
    <w:rsid w:val="419378A9"/>
    <w:rsid w:val="419B2ABB"/>
    <w:rsid w:val="41B24ED8"/>
    <w:rsid w:val="41C2018E"/>
    <w:rsid w:val="41CC3337"/>
    <w:rsid w:val="41FA784B"/>
    <w:rsid w:val="421A43C5"/>
    <w:rsid w:val="42224789"/>
    <w:rsid w:val="42622AEE"/>
    <w:rsid w:val="426339F7"/>
    <w:rsid w:val="427277C5"/>
    <w:rsid w:val="427F78F3"/>
    <w:rsid w:val="42803A37"/>
    <w:rsid w:val="42825877"/>
    <w:rsid w:val="4283010F"/>
    <w:rsid w:val="428B4A24"/>
    <w:rsid w:val="42905431"/>
    <w:rsid w:val="429960CF"/>
    <w:rsid w:val="4335673E"/>
    <w:rsid w:val="4396542E"/>
    <w:rsid w:val="43A538C3"/>
    <w:rsid w:val="43CC52F4"/>
    <w:rsid w:val="43D32DAD"/>
    <w:rsid w:val="43EE526A"/>
    <w:rsid w:val="43F16B09"/>
    <w:rsid w:val="443133A9"/>
    <w:rsid w:val="44516AA5"/>
    <w:rsid w:val="447A08AC"/>
    <w:rsid w:val="4491203F"/>
    <w:rsid w:val="449A2FB5"/>
    <w:rsid w:val="44BF70D9"/>
    <w:rsid w:val="44D334A1"/>
    <w:rsid w:val="44DD49CE"/>
    <w:rsid w:val="44F80264"/>
    <w:rsid w:val="45053AD0"/>
    <w:rsid w:val="45110047"/>
    <w:rsid w:val="45456FB2"/>
    <w:rsid w:val="45500F89"/>
    <w:rsid w:val="45667082"/>
    <w:rsid w:val="45C51FFB"/>
    <w:rsid w:val="45F9345E"/>
    <w:rsid w:val="461666EA"/>
    <w:rsid w:val="46C07EBC"/>
    <w:rsid w:val="46C10A14"/>
    <w:rsid w:val="46C30AA8"/>
    <w:rsid w:val="472965B9"/>
    <w:rsid w:val="472F1E22"/>
    <w:rsid w:val="474E2621"/>
    <w:rsid w:val="47685334"/>
    <w:rsid w:val="476F32D5"/>
    <w:rsid w:val="47A46714"/>
    <w:rsid w:val="47F170D7"/>
    <w:rsid w:val="47F3119A"/>
    <w:rsid w:val="4816283B"/>
    <w:rsid w:val="481D14F3"/>
    <w:rsid w:val="48517B76"/>
    <w:rsid w:val="48602C4D"/>
    <w:rsid w:val="48605F4B"/>
    <w:rsid w:val="48767EF7"/>
    <w:rsid w:val="48EA1C65"/>
    <w:rsid w:val="48EF6AFA"/>
    <w:rsid w:val="48F639EA"/>
    <w:rsid w:val="49364CAA"/>
    <w:rsid w:val="494A6369"/>
    <w:rsid w:val="499A554C"/>
    <w:rsid w:val="49A32653"/>
    <w:rsid w:val="49D96075"/>
    <w:rsid w:val="49E36870"/>
    <w:rsid w:val="4A064990"/>
    <w:rsid w:val="4A2A4B22"/>
    <w:rsid w:val="4A2D4613"/>
    <w:rsid w:val="4A392FB7"/>
    <w:rsid w:val="4A4755E9"/>
    <w:rsid w:val="4A6720DB"/>
    <w:rsid w:val="4A7E6C1C"/>
    <w:rsid w:val="4AB60164"/>
    <w:rsid w:val="4AC24D5B"/>
    <w:rsid w:val="4AF84A4E"/>
    <w:rsid w:val="4B094738"/>
    <w:rsid w:val="4B1D4687"/>
    <w:rsid w:val="4B470CBC"/>
    <w:rsid w:val="4B72052F"/>
    <w:rsid w:val="4BA007A1"/>
    <w:rsid w:val="4BA7122B"/>
    <w:rsid w:val="4BAB1C93"/>
    <w:rsid w:val="4BB714C5"/>
    <w:rsid w:val="4BC2371E"/>
    <w:rsid w:val="4BC352D8"/>
    <w:rsid w:val="4BDB2578"/>
    <w:rsid w:val="4BF23C29"/>
    <w:rsid w:val="4BF74ED8"/>
    <w:rsid w:val="4C101AF6"/>
    <w:rsid w:val="4C123AC0"/>
    <w:rsid w:val="4C3F20E9"/>
    <w:rsid w:val="4C54044A"/>
    <w:rsid w:val="4C567E51"/>
    <w:rsid w:val="4C6A097A"/>
    <w:rsid w:val="4C8229F4"/>
    <w:rsid w:val="4C8F6EBF"/>
    <w:rsid w:val="4C8F7C42"/>
    <w:rsid w:val="4CC748AA"/>
    <w:rsid w:val="4CE91036"/>
    <w:rsid w:val="4D102E83"/>
    <w:rsid w:val="4D461C73"/>
    <w:rsid w:val="4D78514E"/>
    <w:rsid w:val="4DBF769C"/>
    <w:rsid w:val="4DD70B1D"/>
    <w:rsid w:val="4DE17EC0"/>
    <w:rsid w:val="4DE4148C"/>
    <w:rsid w:val="4DE4323A"/>
    <w:rsid w:val="4DFA077B"/>
    <w:rsid w:val="4E0B134A"/>
    <w:rsid w:val="4E320449"/>
    <w:rsid w:val="4E393586"/>
    <w:rsid w:val="4E4D7031"/>
    <w:rsid w:val="4E636064"/>
    <w:rsid w:val="4EAA6232"/>
    <w:rsid w:val="4EAC20E6"/>
    <w:rsid w:val="4EAD7AD0"/>
    <w:rsid w:val="4EFD2805"/>
    <w:rsid w:val="4F1D6BDB"/>
    <w:rsid w:val="4F271630"/>
    <w:rsid w:val="4F560168"/>
    <w:rsid w:val="4F562C35"/>
    <w:rsid w:val="4F9A0054"/>
    <w:rsid w:val="4F9A2425"/>
    <w:rsid w:val="4FA71C16"/>
    <w:rsid w:val="4FAE554B"/>
    <w:rsid w:val="4FF736F9"/>
    <w:rsid w:val="4FF9BBEB"/>
    <w:rsid w:val="4FFEEF94"/>
    <w:rsid w:val="501E0C85"/>
    <w:rsid w:val="50387330"/>
    <w:rsid w:val="503E7901"/>
    <w:rsid w:val="504925C9"/>
    <w:rsid w:val="50493828"/>
    <w:rsid w:val="50675ECC"/>
    <w:rsid w:val="506A5C79"/>
    <w:rsid w:val="506E0AEE"/>
    <w:rsid w:val="50AB003F"/>
    <w:rsid w:val="50BE0128"/>
    <w:rsid w:val="50C301CB"/>
    <w:rsid w:val="51165116"/>
    <w:rsid w:val="511D5E24"/>
    <w:rsid w:val="513D5054"/>
    <w:rsid w:val="514951D3"/>
    <w:rsid w:val="51502259"/>
    <w:rsid w:val="515659E4"/>
    <w:rsid w:val="516E79EA"/>
    <w:rsid w:val="517045AA"/>
    <w:rsid w:val="51B14E18"/>
    <w:rsid w:val="51CB229D"/>
    <w:rsid w:val="51FC51FF"/>
    <w:rsid w:val="525E7A5F"/>
    <w:rsid w:val="52662EDE"/>
    <w:rsid w:val="528A4CF6"/>
    <w:rsid w:val="528F1931"/>
    <w:rsid w:val="52CA29FF"/>
    <w:rsid w:val="52EE281C"/>
    <w:rsid w:val="52F12681"/>
    <w:rsid w:val="53177C0E"/>
    <w:rsid w:val="531A0DF6"/>
    <w:rsid w:val="531B119A"/>
    <w:rsid w:val="534053B7"/>
    <w:rsid w:val="53770328"/>
    <w:rsid w:val="53782DD3"/>
    <w:rsid w:val="537A2677"/>
    <w:rsid w:val="53BB4A13"/>
    <w:rsid w:val="53D31D87"/>
    <w:rsid w:val="53DA3115"/>
    <w:rsid w:val="53EE23BF"/>
    <w:rsid w:val="544C3BEA"/>
    <w:rsid w:val="545C4258"/>
    <w:rsid w:val="545F7ABE"/>
    <w:rsid w:val="54815C87"/>
    <w:rsid w:val="54A6267F"/>
    <w:rsid w:val="54A77FA5"/>
    <w:rsid w:val="54B02FE0"/>
    <w:rsid w:val="54B675F4"/>
    <w:rsid w:val="54C433FF"/>
    <w:rsid w:val="554D618C"/>
    <w:rsid w:val="558275C0"/>
    <w:rsid w:val="55C20305"/>
    <w:rsid w:val="55DD513F"/>
    <w:rsid w:val="55EE10FA"/>
    <w:rsid w:val="56352885"/>
    <w:rsid w:val="56892BD1"/>
    <w:rsid w:val="5689497F"/>
    <w:rsid w:val="569146C9"/>
    <w:rsid w:val="572D7F6C"/>
    <w:rsid w:val="57816855"/>
    <w:rsid w:val="57871C26"/>
    <w:rsid w:val="57876737"/>
    <w:rsid w:val="57A53A3A"/>
    <w:rsid w:val="57C34BBC"/>
    <w:rsid w:val="57C93BCD"/>
    <w:rsid w:val="57DAE6E1"/>
    <w:rsid w:val="57EC3417"/>
    <w:rsid w:val="57FE2A9D"/>
    <w:rsid w:val="580F1A05"/>
    <w:rsid w:val="58117322"/>
    <w:rsid w:val="582641A6"/>
    <w:rsid w:val="58540C9C"/>
    <w:rsid w:val="586631C9"/>
    <w:rsid w:val="58676F42"/>
    <w:rsid w:val="586D44A2"/>
    <w:rsid w:val="5880741E"/>
    <w:rsid w:val="58C93758"/>
    <w:rsid w:val="58E30547"/>
    <w:rsid w:val="59161438"/>
    <w:rsid w:val="591837FC"/>
    <w:rsid w:val="593212FE"/>
    <w:rsid w:val="59350668"/>
    <w:rsid w:val="5943350B"/>
    <w:rsid w:val="597E4619"/>
    <w:rsid w:val="59837DAB"/>
    <w:rsid w:val="59B461B6"/>
    <w:rsid w:val="59C74AA1"/>
    <w:rsid w:val="59E6355E"/>
    <w:rsid w:val="59F24396"/>
    <w:rsid w:val="5A0013FC"/>
    <w:rsid w:val="5A040EEC"/>
    <w:rsid w:val="5A132EDD"/>
    <w:rsid w:val="5A3D43FE"/>
    <w:rsid w:val="5A6000EC"/>
    <w:rsid w:val="5A7D6400"/>
    <w:rsid w:val="5A84160F"/>
    <w:rsid w:val="5A8B5AA5"/>
    <w:rsid w:val="5A9F56BB"/>
    <w:rsid w:val="5AA10AAE"/>
    <w:rsid w:val="5AC71F19"/>
    <w:rsid w:val="5ACE32A8"/>
    <w:rsid w:val="5AD34125"/>
    <w:rsid w:val="5AE1122D"/>
    <w:rsid w:val="5B2630E4"/>
    <w:rsid w:val="5B372BFB"/>
    <w:rsid w:val="5B842F41"/>
    <w:rsid w:val="5BB9023F"/>
    <w:rsid w:val="5BC62F1F"/>
    <w:rsid w:val="5BED59B0"/>
    <w:rsid w:val="5BFA2570"/>
    <w:rsid w:val="5C49708A"/>
    <w:rsid w:val="5C657C3C"/>
    <w:rsid w:val="5C990CF9"/>
    <w:rsid w:val="5D170F6F"/>
    <w:rsid w:val="5D243653"/>
    <w:rsid w:val="5D2B49E2"/>
    <w:rsid w:val="5D6A46E8"/>
    <w:rsid w:val="5D7E0072"/>
    <w:rsid w:val="5DB949BF"/>
    <w:rsid w:val="5DCF35BF"/>
    <w:rsid w:val="5E0A06B5"/>
    <w:rsid w:val="5E6F6B50"/>
    <w:rsid w:val="5E74536A"/>
    <w:rsid w:val="5E802B0B"/>
    <w:rsid w:val="5E84136F"/>
    <w:rsid w:val="5EAB084D"/>
    <w:rsid w:val="5EFD23AE"/>
    <w:rsid w:val="5F0955FB"/>
    <w:rsid w:val="5F1C2834"/>
    <w:rsid w:val="5F3D09FC"/>
    <w:rsid w:val="5F4E2D75"/>
    <w:rsid w:val="5F651C88"/>
    <w:rsid w:val="5F665FB3"/>
    <w:rsid w:val="5F920D48"/>
    <w:rsid w:val="5F9F3B11"/>
    <w:rsid w:val="5FAF36A8"/>
    <w:rsid w:val="5FCE47EF"/>
    <w:rsid w:val="5FD9E0A3"/>
    <w:rsid w:val="5FEA0B84"/>
    <w:rsid w:val="60121E89"/>
    <w:rsid w:val="60395667"/>
    <w:rsid w:val="60956D42"/>
    <w:rsid w:val="60DC61D1"/>
    <w:rsid w:val="613F0A5C"/>
    <w:rsid w:val="614E6EF1"/>
    <w:rsid w:val="614F44C4"/>
    <w:rsid w:val="614F5EDC"/>
    <w:rsid w:val="61716EB7"/>
    <w:rsid w:val="619863BE"/>
    <w:rsid w:val="619E1C26"/>
    <w:rsid w:val="61BE23FD"/>
    <w:rsid w:val="61DC639E"/>
    <w:rsid w:val="61E961F7"/>
    <w:rsid w:val="620D0B5A"/>
    <w:rsid w:val="622A34BA"/>
    <w:rsid w:val="62456545"/>
    <w:rsid w:val="6269745A"/>
    <w:rsid w:val="62742987"/>
    <w:rsid w:val="62976675"/>
    <w:rsid w:val="62E418BB"/>
    <w:rsid w:val="63064B86"/>
    <w:rsid w:val="63413410"/>
    <w:rsid w:val="63467B6E"/>
    <w:rsid w:val="63A96660"/>
    <w:rsid w:val="63BB7B2D"/>
    <w:rsid w:val="63C811DC"/>
    <w:rsid w:val="63F02D6C"/>
    <w:rsid w:val="641415C6"/>
    <w:rsid w:val="641C5084"/>
    <w:rsid w:val="642152E2"/>
    <w:rsid w:val="644F7208"/>
    <w:rsid w:val="645D1F01"/>
    <w:rsid w:val="645D5FE8"/>
    <w:rsid w:val="647764AE"/>
    <w:rsid w:val="64833355"/>
    <w:rsid w:val="64994927"/>
    <w:rsid w:val="64A62BA0"/>
    <w:rsid w:val="64CF0348"/>
    <w:rsid w:val="64E2007C"/>
    <w:rsid w:val="64EE6A20"/>
    <w:rsid w:val="65077AE2"/>
    <w:rsid w:val="650C48D0"/>
    <w:rsid w:val="650C6EA7"/>
    <w:rsid w:val="650F7C99"/>
    <w:rsid w:val="655733D8"/>
    <w:rsid w:val="65C07C91"/>
    <w:rsid w:val="65CE0600"/>
    <w:rsid w:val="6620240D"/>
    <w:rsid w:val="666F593F"/>
    <w:rsid w:val="66BA4C17"/>
    <w:rsid w:val="66D9725C"/>
    <w:rsid w:val="66F944DB"/>
    <w:rsid w:val="67082D9B"/>
    <w:rsid w:val="671B5AC7"/>
    <w:rsid w:val="672C3830"/>
    <w:rsid w:val="67452B44"/>
    <w:rsid w:val="676F04A0"/>
    <w:rsid w:val="677D408C"/>
    <w:rsid w:val="6786683D"/>
    <w:rsid w:val="678A3FEA"/>
    <w:rsid w:val="67C021CA"/>
    <w:rsid w:val="681D7F1B"/>
    <w:rsid w:val="68297D70"/>
    <w:rsid w:val="6832131A"/>
    <w:rsid w:val="68490412"/>
    <w:rsid w:val="684A1AB1"/>
    <w:rsid w:val="68925F2D"/>
    <w:rsid w:val="68B47F81"/>
    <w:rsid w:val="68CF4DBB"/>
    <w:rsid w:val="693052F5"/>
    <w:rsid w:val="69331441"/>
    <w:rsid w:val="6933534A"/>
    <w:rsid w:val="694F5C0F"/>
    <w:rsid w:val="69852275"/>
    <w:rsid w:val="69A24A69"/>
    <w:rsid w:val="69AB645C"/>
    <w:rsid w:val="69DB133C"/>
    <w:rsid w:val="69ED5ECF"/>
    <w:rsid w:val="6A3053E5"/>
    <w:rsid w:val="6A9B6047"/>
    <w:rsid w:val="6A9C6F1F"/>
    <w:rsid w:val="6ABC0748"/>
    <w:rsid w:val="6ABF49BB"/>
    <w:rsid w:val="6AC36259"/>
    <w:rsid w:val="6AD71D05"/>
    <w:rsid w:val="6AEF1016"/>
    <w:rsid w:val="6AF97ECD"/>
    <w:rsid w:val="6B0D1BCA"/>
    <w:rsid w:val="6B573D9B"/>
    <w:rsid w:val="6B737C7F"/>
    <w:rsid w:val="6B777ED9"/>
    <w:rsid w:val="6BB12556"/>
    <w:rsid w:val="6BDA7CFF"/>
    <w:rsid w:val="6BE82315"/>
    <w:rsid w:val="6BEB2069"/>
    <w:rsid w:val="6C2B2E55"/>
    <w:rsid w:val="6C3F52F9"/>
    <w:rsid w:val="6C3F5AFF"/>
    <w:rsid w:val="6C55262A"/>
    <w:rsid w:val="6CBA7B30"/>
    <w:rsid w:val="6CD50C99"/>
    <w:rsid w:val="6CF2168F"/>
    <w:rsid w:val="6D0112BB"/>
    <w:rsid w:val="6D3F28C7"/>
    <w:rsid w:val="6D4B464B"/>
    <w:rsid w:val="6D654999"/>
    <w:rsid w:val="6D837F22"/>
    <w:rsid w:val="6DBE449A"/>
    <w:rsid w:val="6DBF079F"/>
    <w:rsid w:val="6DDD5BBD"/>
    <w:rsid w:val="6DEC3D19"/>
    <w:rsid w:val="6E0A2864"/>
    <w:rsid w:val="6E36244E"/>
    <w:rsid w:val="6E41177B"/>
    <w:rsid w:val="6E56688C"/>
    <w:rsid w:val="6E7553CB"/>
    <w:rsid w:val="6E8C5DEC"/>
    <w:rsid w:val="6E9F5D02"/>
    <w:rsid w:val="6EBF1ABE"/>
    <w:rsid w:val="6EC95E08"/>
    <w:rsid w:val="6ED44ED9"/>
    <w:rsid w:val="6F1F3C7A"/>
    <w:rsid w:val="6F4A2C25"/>
    <w:rsid w:val="6F545B94"/>
    <w:rsid w:val="6F551878"/>
    <w:rsid w:val="6F6C0CDE"/>
    <w:rsid w:val="6F6DE783"/>
    <w:rsid w:val="6FCB1FDB"/>
    <w:rsid w:val="6FCF3A9D"/>
    <w:rsid w:val="6FF30BB6"/>
    <w:rsid w:val="6FF54D55"/>
    <w:rsid w:val="6FFF26AD"/>
    <w:rsid w:val="700E00D7"/>
    <w:rsid w:val="7021099F"/>
    <w:rsid w:val="702932C7"/>
    <w:rsid w:val="702C100D"/>
    <w:rsid w:val="702F613F"/>
    <w:rsid w:val="70544E4E"/>
    <w:rsid w:val="70645DE9"/>
    <w:rsid w:val="707C28E9"/>
    <w:rsid w:val="70815866"/>
    <w:rsid w:val="70AF1B62"/>
    <w:rsid w:val="70B76BA3"/>
    <w:rsid w:val="70CB230C"/>
    <w:rsid w:val="70D859B1"/>
    <w:rsid w:val="70EB02B8"/>
    <w:rsid w:val="70F42ADA"/>
    <w:rsid w:val="71241A1C"/>
    <w:rsid w:val="713B794E"/>
    <w:rsid w:val="714300F4"/>
    <w:rsid w:val="715916C6"/>
    <w:rsid w:val="71777D9E"/>
    <w:rsid w:val="71922532"/>
    <w:rsid w:val="72367E0F"/>
    <w:rsid w:val="723F61FD"/>
    <w:rsid w:val="724A54B2"/>
    <w:rsid w:val="729E74BD"/>
    <w:rsid w:val="72EF7B74"/>
    <w:rsid w:val="73102258"/>
    <w:rsid w:val="732B5081"/>
    <w:rsid w:val="734B3290"/>
    <w:rsid w:val="735842B7"/>
    <w:rsid w:val="7363682B"/>
    <w:rsid w:val="73A81F4C"/>
    <w:rsid w:val="73AA26AC"/>
    <w:rsid w:val="73CD0149"/>
    <w:rsid w:val="73F5251D"/>
    <w:rsid w:val="74147B26"/>
    <w:rsid w:val="743125EA"/>
    <w:rsid w:val="744A3547"/>
    <w:rsid w:val="74503C07"/>
    <w:rsid w:val="748A603A"/>
    <w:rsid w:val="74C8108D"/>
    <w:rsid w:val="74CE7B30"/>
    <w:rsid w:val="751639B6"/>
    <w:rsid w:val="7541494A"/>
    <w:rsid w:val="75641328"/>
    <w:rsid w:val="75790588"/>
    <w:rsid w:val="758C4F85"/>
    <w:rsid w:val="7590368B"/>
    <w:rsid w:val="75930F1E"/>
    <w:rsid w:val="75D14D26"/>
    <w:rsid w:val="75EA88C1"/>
    <w:rsid w:val="75FF6A86"/>
    <w:rsid w:val="761050D9"/>
    <w:rsid w:val="761426A7"/>
    <w:rsid w:val="761B3A1B"/>
    <w:rsid w:val="764A5C49"/>
    <w:rsid w:val="76564134"/>
    <w:rsid w:val="76975A86"/>
    <w:rsid w:val="76B56D7E"/>
    <w:rsid w:val="77030A18"/>
    <w:rsid w:val="772F6015"/>
    <w:rsid w:val="77723FC8"/>
    <w:rsid w:val="777604CC"/>
    <w:rsid w:val="7789082B"/>
    <w:rsid w:val="77924E4F"/>
    <w:rsid w:val="779E2329"/>
    <w:rsid w:val="77BA09E4"/>
    <w:rsid w:val="77D52A6F"/>
    <w:rsid w:val="77EF68E0"/>
    <w:rsid w:val="7839323B"/>
    <w:rsid w:val="785859F3"/>
    <w:rsid w:val="786643A0"/>
    <w:rsid w:val="78787FE1"/>
    <w:rsid w:val="788C05D2"/>
    <w:rsid w:val="78975968"/>
    <w:rsid w:val="78E621CB"/>
    <w:rsid w:val="78EA52F9"/>
    <w:rsid w:val="79091C23"/>
    <w:rsid w:val="790C1713"/>
    <w:rsid w:val="796E4CAE"/>
    <w:rsid w:val="79787958"/>
    <w:rsid w:val="79787F61"/>
    <w:rsid w:val="797D43BF"/>
    <w:rsid w:val="798E3639"/>
    <w:rsid w:val="799534B7"/>
    <w:rsid w:val="79D54662"/>
    <w:rsid w:val="79E166FC"/>
    <w:rsid w:val="7A2417D0"/>
    <w:rsid w:val="7A32296A"/>
    <w:rsid w:val="7A9A4690"/>
    <w:rsid w:val="7AF302A1"/>
    <w:rsid w:val="7AFE32DE"/>
    <w:rsid w:val="7B0A70AA"/>
    <w:rsid w:val="7B326E14"/>
    <w:rsid w:val="7B5B3EF1"/>
    <w:rsid w:val="7B9638CF"/>
    <w:rsid w:val="7BB120FE"/>
    <w:rsid w:val="7BB54E9D"/>
    <w:rsid w:val="7BED1E3F"/>
    <w:rsid w:val="7C2E3FB5"/>
    <w:rsid w:val="7C3C5E6C"/>
    <w:rsid w:val="7C541407"/>
    <w:rsid w:val="7C617B9C"/>
    <w:rsid w:val="7CA657CE"/>
    <w:rsid w:val="7CC8377C"/>
    <w:rsid w:val="7D0A6858"/>
    <w:rsid w:val="7D11554A"/>
    <w:rsid w:val="7D5E6FAB"/>
    <w:rsid w:val="7D957F29"/>
    <w:rsid w:val="7D9A699F"/>
    <w:rsid w:val="7DBE1B15"/>
    <w:rsid w:val="7DF34F77"/>
    <w:rsid w:val="7E4E6C6D"/>
    <w:rsid w:val="7E664997"/>
    <w:rsid w:val="7E771F1B"/>
    <w:rsid w:val="7E9F2324"/>
    <w:rsid w:val="7EB7B118"/>
    <w:rsid w:val="7EC243A0"/>
    <w:rsid w:val="7EF020BD"/>
    <w:rsid w:val="7EF537AD"/>
    <w:rsid w:val="7EFF4E7B"/>
    <w:rsid w:val="7EFFEA3D"/>
    <w:rsid w:val="7F0F3F82"/>
    <w:rsid w:val="7F3379FA"/>
    <w:rsid w:val="7F35379D"/>
    <w:rsid w:val="7F3C6705"/>
    <w:rsid w:val="7F3D2DE9"/>
    <w:rsid w:val="7F3F1977"/>
    <w:rsid w:val="7F4DBC21"/>
    <w:rsid w:val="7F7C9F53"/>
    <w:rsid w:val="7F7D81EE"/>
    <w:rsid w:val="7F8F1EB3"/>
    <w:rsid w:val="7FB87EFF"/>
    <w:rsid w:val="7FCB7C32"/>
    <w:rsid w:val="7FE7D1A4"/>
    <w:rsid w:val="7FFD82EA"/>
    <w:rsid w:val="AFB93E2D"/>
    <w:rsid w:val="B9BD50B5"/>
    <w:rsid w:val="BA29BEBD"/>
    <w:rsid w:val="BBBBF601"/>
    <w:rsid w:val="BD630731"/>
    <w:rsid w:val="BFFF0E71"/>
    <w:rsid w:val="CD47D644"/>
    <w:rsid w:val="DD7BA43F"/>
    <w:rsid w:val="DDF64CCE"/>
    <w:rsid w:val="DDFFEDC6"/>
    <w:rsid w:val="DEFE4995"/>
    <w:rsid w:val="DFF70FF0"/>
    <w:rsid w:val="E7FFDF4B"/>
    <w:rsid w:val="ECDF148A"/>
    <w:rsid w:val="EFBEC315"/>
    <w:rsid w:val="EFE52194"/>
    <w:rsid w:val="F8EDAF5B"/>
    <w:rsid w:val="FBCB48A5"/>
    <w:rsid w:val="FBFBB985"/>
    <w:rsid w:val="FDBF45F0"/>
    <w:rsid w:val="FED57E1A"/>
    <w:rsid w:val="FF8A6DCD"/>
    <w:rsid w:val="FFE4DAF0"/>
    <w:rsid w:val="FFEF9DB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3"/>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327"/>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293"/>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48"/>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307"/>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358"/>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183"/>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1">
    <w:name w:val="Default Paragraph Font"/>
    <w:semiHidden/>
    <w:unhideWhenUsed/>
    <w:qFormat/>
    <w:uiPriority w:val="1"/>
  </w:style>
  <w:style w:type="table" w:default="1" w:styleId="6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194"/>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230"/>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3"/>
    <w:qFormat/>
    <w:uiPriority w:val="0"/>
    <w:pPr>
      <w:shd w:val="clear" w:color="auto" w:fill="000080"/>
    </w:pPr>
  </w:style>
  <w:style w:type="paragraph" w:styleId="19">
    <w:name w:val="annotation text"/>
    <w:basedOn w:val="1"/>
    <w:link w:val="344"/>
    <w:qFormat/>
    <w:uiPriority w:val="99"/>
    <w:pPr>
      <w:jc w:val="left"/>
    </w:pPr>
  </w:style>
  <w:style w:type="paragraph" w:styleId="20">
    <w:name w:val="Salutation"/>
    <w:basedOn w:val="1"/>
    <w:next w:val="1"/>
    <w:link w:val="298"/>
    <w:qFormat/>
    <w:uiPriority w:val="0"/>
    <w:rPr>
      <w:rFonts w:ascii="仿宋_GB2312" w:eastAsia="仿宋_GB2312"/>
      <w:sz w:val="28"/>
      <w:szCs w:val="20"/>
    </w:rPr>
  </w:style>
  <w:style w:type="paragraph" w:styleId="21">
    <w:name w:val="Body Text 3"/>
    <w:basedOn w:val="1"/>
    <w:link w:val="330"/>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30"/>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next w:val="25"/>
    <w:link w:val="265"/>
    <w:qFormat/>
    <w:uiPriority w:val="0"/>
    <w:pPr>
      <w:spacing w:line="480" w:lineRule="exact"/>
      <w:ind w:firstLine="480" w:firstLineChars="200"/>
    </w:pPr>
    <w:rPr>
      <w:rFonts w:ascii="宋体" w:hAnsi="宋体"/>
      <w:sz w:val="24"/>
    </w:rPr>
  </w:style>
  <w:style w:type="paragraph" w:customStyle="1" w:styleId="25">
    <w:name w:val="Default"/>
    <w:next w:val="1"/>
    <w:link w:val="23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26">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220"/>
    <w:qFormat/>
    <w:uiPriority w:val="0"/>
    <w:pPr>
      <w:widowControl/>
      <w:adjustRightInd/>
      <w:ind w:firstLine="200" w:firstLineChars="200"/>
      <w:jc w:val="left"/>
    </w:pPr>
    <w:rPr>
      <w:rFonts w:ascii="宋体" w:hAnsi="宋体"/>
      <w:i/>
      <w:iCs/>
      <w:kern w:val="0"/>
      <w:sz w:val="24"/>
    </w:rPr>
  </w:style>
  <w:style w:type="paragraph" w:styleId="31">
    <w:name w:val="index 4"/>
    <w:basedOn w:val="1"/>
    <w:next w:val="1"/>
    <w:qFormat/>
    <w:uiPriority w:val="0"/>
    <w:pPr>
      <w:adjustRightInd w:val="0"/>
      <w:spacing w:line="360" w:lineRule="atLeast"/>
      <w:ind w:left="600" w:hanging="57"/>
      <w:jc w:val="left"/>
      <w:textAlignment w:val="baseline"/>
    </w:pPr>
    <w:rPr>
      <w:kern w:val="0"/>
      <w:sz w:val="24"/>
      <w:szCs w:val="20"/>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next w:val="35"/>
    <w:link w:val="125"/>
    <w:qFormat/>
    <w:uiPriority w:val="0"/>
    <w:rPr>
      <w:rFonts w:ascii="宋体" w:hAnsi="Courier New" w:cs="Arial"/>
      <w:snapToGrid w:val="0"/>
      <w:szCs w:val="21"/>
    </w:rPr>
  </w:style>
  <w:style w:type="paragraph" w:styleId="35">
    <w:name w:val="Date"/>
    <w:basedOn w:val="1"/>
    <w:next w:val="1"/>
    <w:link w:val="182"/>
    <w:qFormat/>
    <w:uiPriority w:val="0"/>
    <w:pPr>
      <w:ind w:left="100" w:leftChars="2500"/>
    </w:pPr>
    <w:rPr>
      <w:rFonts w:ascii="宋体"/>
      <w:sz w:val="24"/>
      <w:szCs w:val="21"/>
      <w:lang w:val="zh-CN"/>
    </w:rPr>
  </w:style>
  <w:style w:type="paragraph" w:styleId="36">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qFormat/>
    <w:uiPriority w:val="0"/>
    <w:pPr>
      <w:ind w:left="2940" w:leftChars="1400"/>
    </w:pPr>
  </w:style>
  <w:style w:type="paragraph" w:styleId="38">
    <w:name w:val="Body Text Indent 2"/>
    <w:basedOn w:val="1"/>
    <w:link w:val="308"/>
    <w:qFormat/>
    <w:uiPriority w:val="0"/>
    <w:pPr>
      <w:spacing w:line="360" w:lineRule="auto"/>
      <w:ind w:firstLine="601"/>
      <w:textAlignment w:val="baseline"/>
    </w:pPr>
    <w:rPr>
      <w:rFonts w:ascii="宋体"/>
      <w:kern w:val="0"/>
      <w:sz w:val="28"/>
      <w:szCs w:val="20"/>
    </w:rPr>
  </w:style>
  <w:style w:type="paragraph" w:styleId="39">
    <w:name w:val="endnote text"/>
    <w:basedOn w:val="1"/>
    <w:link w:val="931"/>
    <w:qFormat/>
    <w:uiPriority w:val="0"/>
    <w:rPr>
      <w:lang w:val="zh-CN"/>
    </w:rPr>
  </w:style>
  <w:style w:type="paragraph" w:styleId="40">
    <w:name w:val="Balloon Text"/>
    <w:basedOn w:val="1"/>
    <w:link w:val="189"/>
    <w:qFormat/>
    <w:uiPriority w:val="0"/>
    <w:rPr>
      <w:sz w:val="18"/>
      <w:szCs w:val="18"/>
    </w:rPr>
  </w:style>
  <w:style w:type="paragraph" w:styleId="41">
    <w:name w:val="footer"/>
    <w:basedOn w:val="1"/>
    <w:link w:val="383"/>
    <w:qFormat/>
    <w:uiPriority w:val="99"/>
    <w:pPr>
      <w:tabs>
        <w:tab w:val="center" w:pos="4153"/>
        <w:tab w:val="right" w:pos="8306"/>
      </w:tabs>
      <w:snapToGrid w:val="0"/>
      <w:jc w:val="left"/>
    </w:pPr>
    <w:rPr>
      <w:sz w:val="18"/>
      <w:szCs w:val="18"/>
    </w:rPr>
  </w:style>
  <w:style w:type="paragraph" w:styleId="42">
    <w:name w:val="header"/>
    <w:basedOn w:val="1"/>
    <w:link w:val="392"/>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5"/>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basedOn w:val="1"/>
    <w:next w:val="1"/>
    <w:link w:val="134"/>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15"/>
    <w:link w:val="310"/>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5"/>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2"/>
    <w:qFormat/>
    <w:uiPriority w:val="0"/>
    <w:pPr>
      <w:spacing w:after="120" w:line="480" w:lineRule="auto"/>
    </w:pPr>
  </w:style>
  <w:style w:type="paragraph" w:styleId="58">
    <w:name w:val="HTML Preformatted"/>
    <w:basedOn w:val="1"/>
    <w:link w:val="30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6"/>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6"/>
    <w:qFormat/>
    <w:uiPriority w:val="0"/>
    <w:rPr>
      <w:b/>
      <w:bCs/>
    </w:rPr>
  </w:style>
  <w:style w:type="paragraph" w:styleId="62">
    <w:name w:val="Body Text First Indent"/>
    <w:basedOn w:val="23"/>
    <w:link w:val="321"/>
    <w:qFormat/>
    <w:uiPriority w:val="0"/>
    <w:pPr>
      <w:ind w:firstLine="420"/>
    </w:pPr>
    <w:rPr>
      <w:rFonts w:hAnsi="Calibri" w:cs="Times New Roman"/>
      <w:snapToGrid/>
      <w:szCs w:val="20"/>
    </w:rPr>
  </w:style>
  <w:style w:type="paragraph" w:styleId="63">
    <w:name w:val="Body Text First Indent 2"/>
    <w:basedOn w:val="24"/>
    <w:link w:val="121"/>
    <w:qFormat/>
    <w:uiPriority w:val="0"/>
    <w:pPr>
      <w:adjustRightInd/>
      <w:spacing w:after="120" w:line="240" w:lineRule="auto"/>
      <w:ind w:left="420" w:leftChars="200" w:firstLine="210"/>
    </w:pPr>
    <w:rPr>
      <w:sz w:val="21"/>
    </w:rPr>
  </w:style>
  <w:style w:type="table" w:styleId="65">
    <w:name w:val="Table Grid"/>
    <w:basedOn w:val="6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Theme"/>
    <w:basedOn w:val="6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7">
    <w:name w:val="Table Elegant"/>
    <w:basedOn w:val="64"/>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8">
    <w:name w:val="Table Grid 5"/>
    <w:basedOn w:val="64"/>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9">
    <w:name w:val="Table Grid 8"/>
    <w:basedOn w:val="64"/>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0">
    <w:name w:val="Table Professional"/>
    <w:basedOn w:val="64"/>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2">
    <w:name w:val="Strong"/>
    <w:basedOn w:val="71"/>
    <w:qFormat/>
    <w:uiPriority w:val="22"/>
    <w:rPr>
      <w:b/>
      <w:bCs/>
    </w:rPr>
  </w:style>
  <w:style w:type="character" w:styleId="73">
    <w:name w:val="endnote reference"/>
    <w:qFormat/>
    <w:uiPriority w:val="0"/>
    <w:rPr>
      <w:vertAlign w:val="superscript"/>
    </w:rPr>
  </w:style>
  <w:style w:type="character" w:styleId="74">
    <w:name w:val="page number"/>
    <w:basedOn w:val="71"/>
    <w:qFormat/>
    <w:uiPriority w:val="0"/>
    <w:rPr>
      <w:rFonts w:ascii="Arial" w:hAnsi="Arial" w:eastAsia="黑体" w:cs="Arial"/>
      <w:snapToGrid w:val="0"/>
      <w:kern w:val="0"/>
      <w:szCs w:val="21"/>
    </w:rPr>
  </w:style>
  <w:style w:type="character" w:styleId="75">
    <w:name w:val="FollowedHyperlink"/>
    <w:qFormat/>
    <w:uiPriority w:val="99"/>
    <w:rPr>
      <w:rFonts w:ascii="Arial" w:hAnsi="Arial" w:eastAsia="黑体" w:cs="Arial"/>
      <w:snapToGrid w:val="0"/>
      <w:color w:val="000000"/>
      <w:kern w:val="0"/>
      <w:sz w:val="18"/>
      <w:szCs w:val="18"/>
      <w:u w:val="none"/>
    </w:rPr>
  </w:style>
  <w:style w:type="character" w:styleId="76">
    <w:name w:val="Emphasis"/>
    <w:qFormat/>
    <w:uiPriority w:val="20"/>
    <w:rPr>
      <w:color w:val="CC0033"/>
    </w:rPr>
  </w:style>
  <w:style w:type="character" w:styleId="77">
    <w:name w:val="line number"/>
    <w:basedOn w:val="71"/>
    <w:qFormat/>
    <w:uiPriority w:val="0"/>
    <w:rPr>
      <w:rFonts w:ascii="Arial" w:hAnsi="Arial" w:eastAsia="黑体" w:cs="Arial"/>
      <w:snapToGrid w:val="0"/>
      <w:kern w:val="0"/>
      <w:szCs w:val="21"/>
    </w:rPr>
  </w:style>
  <w:style w:type="character" w:styleId="78">
    <w:name w:val="Hyperlink"/>
    <w:qFormat/>
    <w:uiPriority w:val="99"/>
    <w:rPr>
      <w:rFonts w:ascii="Arial" w:hAnsi="Arial" w:eastAsia="黑体" w:cs="Arial"/>
      <w:snapToGrid w:val="0"/>
      <w:color w:val="000000"/>
      <w:kern w:val="0"/>
      <w:sz w:val="18"/>
      <w:szCs w:val="18"/>
      <w:u w:val="none"/>
    </w:rPr>
  </w:style>
  <w:style w:type="character" w:styleId="79">
    <w:name w:val="HTML Code"/>
    <w:qFormat/>
    <w:uiPriority w:val="0"/>
    <w:rPr>
      <w:rFonts w:ascii="黑体" w:hAnsi="Courier New" w:eastAsia="黑体" w:cs="楷体_GB2312"/>
      <w:sz w:val="20"/>
      <w:szCs w:val="20"/>
    </w:rPr>
  </w:style>
  <w:style w:type="character" w:styleId="80">
    <w:name w:val="annotation reference"/>
    <w:qFormat/>
    <w:uiPriority w:val="99"/>
    <w:rPr>
      <w:sz w:val="21"/>
      <w:szCs w:val="21"/>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61"/>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63"/>
    <w:qFormat/>
    <w:uiPriority w:val="0"/>
    <w:rPr>
      <w:rFonts w:ascii="宋体" w:hAnsi="宋体"/>
      <w:kern w:val="2"/>
      <w:sz w:val="21"/>
      <w:szCs w:val="24"/>
    </w:rPr>
  </w:style>
  <w:style w:type="character" w:customStyle="1" w:styleId="122">
    <w:name w:val="font11"/>
    <w:basedOn w:val="7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71"/>
    <w:qFormat/>
    <w:uiPriority w:val="0"/>
    <w:rPr>
      <w:rFonts w:ascii="Arial" w:hAnsi="Arial" w:eastAsia="黑体" w:cs="Arial"/>
      <w:snapToGrid w:val="0"/>
      <w:kern w:val="0"/>
      <w:szCs w:val="21"/>
    </w:rPr>
  </w:style>
  <w:style w:type="character" w:customStyle="1" w:styleId="125">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32"/>
    <w:link w:val="130"/>
    <w:qFormat/>
    <w:uiPriority w:val="0"/>
    <w:pPr>
      <w:tabs>
        <w:tab w:val="right" w:leader="dot" w:pos="8268"/>
      </w:tabs>
      <w:spacing w:before="156" w:line="360" w:lineRule="auto"/>
      <w:ind w:firstLine="510" w:firstLineChars="200"/>
    </w:pPr>
    <w:rPr>
      <w:sz w:val="24"/>
      <w:szCs w:val="20"/>
    </w:rPr>
  </w:style>
  <w:style w:type="paragraph" w:customStyle="1" w:styleId="132">
    <w:name w:val="正文1"/>
    <w:basedOn w:val="33"/>
    <w:qFormat/>
    <w:uiPriority w:val="0"/>
    <w:pPr>
      <w:ind w:left="0" w:leftChars="0" w:firstLine="480" w:firstLineChars="200"/>
    </w:pPr>
    <w:rPr>
      <w:rFonts w:ascii="仿宋_GB2312" w:hAnsi="Courier New" w:eastAsia="仿宋_GB2312"/>
      <w:kern w:val="28"/>
      <w:sz w:val="24"/>
    </w:rPr>
  </w:style>
  <w:style w:type="character" w:customStyle="1" w:styleId="133">
    <w:name w:val="Char Char24"/>
    <w:qFormat/>
    <w:uiPriority w:val="6"/>
    <w:rPr>
      <w:kern w:val="1"/>
      <w:sz w:val="21"/>
    </w:rPr>
  </w:style>
  <w:style w:type="character" w:customStyle="1" w:styleId="134">
    <w:name w:val="副标题 Char"/>
    <w:link w:val="48"/>
    <w:qFormat/>
    <w:uiPriority w:val="0"/>
    <w:rPr>
      <w:rFonts w:ascii="Arial" w:hAnsi="Arial" w:eastAsia="隶书"/>
      <w:b/>
      <w:bCs/>
      <w:kern w:val="28"/>
      <w:sz w:val="44"/>
      <w:szCs w:val="32"/>
      <w:lang w:val="en-US" w:eastAsia="zh-CN" w:bidi="ar-SA"/>
    </w:rPr>
  </w:style>
  <w:style w:type="character" w:customStyle="1" w:styleId="135">
    <w:name w:val="普通文字 Char1 Char"/>
    <w:qFormat/>
    <w:uiPriority w:val="0"/>
    <w:rPr>
      <w:rFonts w:ascii="宋体" w:hAnsi="Courier New" w:eastAsia="宋体"/>
      <w:kern w:val="2"/>
      <w:sz w:val="21"/>
      <w:szCs w:val="24"/>
      <w:lang w:val="en-US" w:eastAsia="zh-CN" w:bidi="ar-SA"/>
    </w:rPr>
  </w:style>
  <w:style w:type="character" w:customStyle="1" w:styleId="136">
    <w:name w:val="h3 Char1"/>
    <w:qFormat/>
    <w:uiPriority w:val="0"/>
    <w:rPr>
      <w:rFonts w:eastAsia="宋体"/>
      <w:b/>
      <w:bCs/>
      <w:kern w:val="2"/>
      <w:sz w:val="32"/>
      <w:szCs w:val="32"/>
      <w:lang w:bidi="ar-SA"/>
    </w:rPr>
  </w:style>
  <w:style w:type="character" w:customStyle="1" w:styleId="137">
    <w:name w:val="标题 Char1"/>
    <w:qFormat/>
    <w:uiPriority w:val="0"/>
    <w:rPr>
      <w:rFonts w:ascii="Cambria" w:hAnsi="Cambria" w:eastAsia="宋体" w:cs="Times New Roman"/>
      <w:b/>
      <w:bCs/>
      <w:sz w:val="32"/>
      <w:szCs w:val="32"/>
      <w:lang w:bidi="ar-SA"/>
    </w:rPr>
  </w:style>
  <w:style w:type="character" w:customStyle="1" w:styleId="138">
    <w:name w:val="gf正文1 Char"/>
    <w:qFormat/>
    <w:uiPriority w:val="0"/>
    <w:rPr>
      <w:rFonts w:ascii="宋体" w:hAnsi="宋体" w:eastAsia="宋体" w:cs="宋体"/>
      <w:kern w:val="2"/>
      <w:sz w:val="24"/>
      <w:szCs w:val="24"/>
      <w:lang w:val="en-US" w:eastAsia="zh-CN" w:bidi="ar-SA"/>
    </w:rPr>
  </w:style>
  <w:style w:type="character" w:customStyle="1" w:styleId="139">
    <w:name w:val="正文文本缩进 Char1"/>
    <w:qFormat/>
    <w:uiPriority w:val="0"/>
    <w:rPr>
      <w:rFonts w:ascii="Calibri" w:hAnsi="Calibri"/>
      <w:sz w:val="28"/>
    </w:rPr>
  </w:style>
  <w:style w:type="character" w:customStyle="1" w:styleId="140">
    <w:name w:val="No Spacing Char"/>
    <w:link w:val="141"/>
    <w:qFormat/>
    <w:uiPriority w:val="1"/>
    <w:rPr>
      <w:sz w:val="22"/>
      <w:szCs w:val="22"/>
      <w:lang w:val="en-US" w:eastAsia="zh-CN" w:bidi="ar-SA"/>
    </w:rPr>
  </w:style>
  <w:style w:type="paragraph" w:customStyle="1" w:styleId="141">
    <w:name w:val="无间隔1"/>
    <w:link w:val="140"/>
    <w:qFormat/>
    <w:uiPriority w:val="1"/>
    <w:rPr>
      <w:rFonts w:ascii="Times New Roman" w:hAnsi="Times New Roman" w:eastAsia="宋体" w:cs="Times New Roman"/>
      <w:sz w:val="22"/>
      <w:szCs w:val="22"/>
      <w:lang w:val="en-US" w:eastAsia="zh-CN" w:bidi="ar-SA"/>
    </w:rPr>
  </w:style>
  <w:style w:type="character" w:customStyle="1" w:styleId="142">
    <w:name w:val="样式7 Char"/>
    <w:qFormat/>
    <w:uiPriority w:val="0"/>
    <w:rPr>
      <w:rFonts w:ascii="仿宋_GB2312" w:hAnsi="仿宋" w:eastAsia="仿宋_GB2312"/>
      <w:b/>
      <w:kern w:val="2"/>
      <w:sz w:val="24"/>
      <w:szCs w:val="24"/>
    </w:rPr>
  </w:style>
  <w:style w:type="character" w:customStyle="1" w:styleId="143">
    <w:name w:val="font12gray1"/>
    <w:qFormat/>
    <w:uiPriority w:val="0"/>
    <w:rPr>
      <w:rFonts w:ascii="仿宋_GB2312" w:eastAsia="微软雅黑"/>
      <w:b/>
      <w:spacing w:val="300"/>
      <w:kern w:val="2"/>
      <w:sz w:val="18"/>
      <w:szCs w:val="18"/>
      <w:lang w:val="en-US" w:eastAsia="zh-CN" w:bidi="ar-SA"/>
    </w:rPr>
  </w:style>
  <w:style w:type="character" w:customStyle="1" w:styleId="144">
    <w:name w:val="Char Char7"/>
    <w:qFormat/>
    <w:uiPriority w:val="0"/>
    <w:rPr>
      <w:rFonts w:eastAsia="宋体"/>
      <w:kern w:val="2"/>
      <w:sz w:val="21"/>
      <w:szCs w:val="24"/>
      <w:lang w:val="en-US" w:eastAsia="zh-CN" w:bidi="ar-SA"/>
    </w:rPr>
  </w:style>
  <w:style w:type="character" w:customStyle="1" w:styleId="145">
    <w:name w:val="表名 Char"/>
    <w:qFormat/>
    <w:uiPriority w:val="0"/>
    <w:rPr>
      <w:rFonts w:eastAsia="宋体"/>
      <w:b/>
      <w:bCs/>
      <w:kern w:val="2"/>
      <w:sz w:val="24"/>
      <w:szCs w:val="24"/>
      <w:lang w:val="en-US" w:eastAsia="zh-CN" w:bidi="ar-SA"/>
    </w:rPr>
  </w:style>
  <w:style w:type="character" w:customStyle="1" w:styleId="146">
    <w:name w:val="Document Map Char"/>
    <w:qFormat/>
    <w:uiPriority w:val="0"/>
    <w:rPr>
      <w:rFonts w:eastAsia="宋体"/>
      <w:kern w:val="2"/>
      <w:sz w:val="21"/>
      <w:szCs w:val="24"/>
      <w:lang w:val="en-US" w:eastAsia="zh-CN" w:bidi="ar-SA"/>
    </w:rPr>
  </w:style>
  <w:style w:type="character" w:customStyle="1" w:styleId="147">
    <w:name w:val="font41"/>
    <w:basedOn w:val="71"/>
    <w:qFormat/>
    <w:uiPriority w:val="0"/>
    <w:rPr>
      <w:rFonts w:hint="eastAsia" w:ascii="仿宋_GB2312" w:eastAsia="仿宋_GB2312" w:cs="仿宋_GB2312"/>
      <w:color w:val="000000"/>
      <w:sz w:val="22"/>
      <w:szCs w:val="22"/>
      <w:u w:val="none"/>
    </w:rPr>
  </w:style>
  <w:style w:type="character" w:customStyle="1" w:styleId="148">
    <w:name w:val="标题 6 Char"/>
    <w:link w:val="7"/>
    <w:qFormat/>
    <w:uiPriority w:val="0"/>
    <w:rPr>
      <w:rFonts w:ascii="Arial" w:hAnsi="Arial" w:eastAsia="黑体"/>
      <w:b/>
      <w:bCs/>
      <w:kern w:val="2"/>
      <w:sz w:val="24"/>
      <w:szCs w:val="24"/>
    </w:rPr>
  </w:style>
  <w:style w:type="character" w:customStyle="1" w:styleId="149">
    <w:name w:val="纯文本 Char_0"/>
    <w:link w:val="150"/>
    <w:qFormat/>
    <w:uiPriority w:val="0"/>
    <w:rPr>
      <w:rFonts w:ascii="宋体" w:hAnsi="Courier New"/>
      <w:kern w:val="2"/>
      <w:sz w:val="21"/>
      <w:szCs w:val="21"/>
      <w:lang w:val="en-US" w:eastAsia="zh-CN"/>
    </w:rPr>
  </w:style>
  <w:style w:type="paragraph" w:customStyle="1" w:styleId="150">
    <w:name w:val="纯文本_0_0"/>
    <w:basedOn w:val="151"/>
    <w:link w:val="149"/>
    <w:qFormat/>
    <w:uiPriority w:val="0"/>
    <w:rPr>
      <w:rFonts w:ascii="宋体" w:hAnsi="Courier New"/>
      <w:szCs w:val="21"/>
    </w:rPr>
  </w:style>
  <w:style w:type="paragraph" w:customStyle="1" w:styleId="15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2">
    <w:name w:val="Balloon Text Char"/>
    <w:qFormat/>
    <w:uiPriority w:val="0"/>
    <w:rPr>
      <w:rFonts w:eastAsia="宋体"/>
      <w:kern w:val="2"/>
      <w:sz w:val="18"/>
      <w:szCs w:val="18"/>
      <w:lang w:val="en-US" w:eastAsia="zh-CN" w:bidi="ar-SA"/>
    </w:rPr>
  </w:style>
  <w:style w:type="character" w:customStyle="1" w:styleId="153">
    <w:name w:val="正文 项目2 Char"/>
    <w:basedOn w:val="154"/>
    <w:qFormat/>
    <w:uiPriority w:val="0"/>
    <w:rPr>
      <w:rFonts w:ascii="仿宋_GB2312" w:hAnsi="仿宋_GB2312" w:eastAsia="仿宋_GB2312"/>
      <w:kern w:val="2"/>
      <w:sz w:val="24"/>
      <w:lang w:bidi="ar-SA"/>
    </w:rPr>
  </w:style>
  <w:style w:type="character" w:customStyle="1" w:styleId="154">
    <w:name w:val="正文 项目 Char"/>
    <w:qFormat/>
    <w:uiPriority w:val="0"/>
    <w:rPr>
      <w:rFonts w:ascii="仿宋_GB2312" w:hAnsi="仿宋_GB2312" w:eastAsia="仿宋_GB2312"/>
      <w:kern w:val="2"/>
      <w:sz w:val="24"/>
      <w:lang w:bidi="ar-SA"/>
    </w:rPr>
  </w:style>
  <w:style w:type="character" w:customStyle="1" w:styleId="155">
    <w:name w:val="h Char Char1"/>
    <w:qFormat/>
    <w:uiPriority w:val="0"/>
    <w:rPr>
      <w:rFonts w:eastAsia="宋体"/>
      <w:kern w:val="2"/>
      <w:sz w:val="18"/>
      <w:szCs w:val="18"/>
      <w:lang w:val="en-US" w:eastAsia="zh-CN" w:bidi="ar-SA"/>
    </w:rPr>
  </w:style>
  <w:style w:type="character" w:customStyle="1" w:styleId="156">
    <w:name w:val="Char Char27"/>
    <w:qFormat/>
    <w:uiPriority w:val="6"/>
    <w:rPr>
      <w:rFonts w:ascii="宋体" w:hAnsi="宋体" w:eastAsia="宋体"/>
      <w:color w:val="000000"/>
      <w:kern w:val="1"/>
      <w:sz w:val="28"/>
      <w:lang w:val="en-US" w:eastAsia="zh-CN" w:bidi="ar-SA"/>
    </w:rPr>
  </w:style>
  <w:style w:type="character" w:customStyle="1" w:styleId="157">
    <w:name w:val="px14"/>
    <w:qFormat/>
    <w:uiPriority w:val="0"/>
    <w:rPr>
      <w:rFonts w:ascii="仿宋_GB2312" w:eastAsia="微软雅黑" w:cs="Times New Roman"/>
      <w:b/>
      <w:kern w:val="2"/>
      <w:sz w:val="32"/>
      <w:szCs w:val="32"/>
      <w:lang w:val="en-US" w:eastAsia="zh-CN" w:bidi="ar-SA"/>
    </w:rPr>
  </w:style>
  <w:style w:type="character" w:customStyle="1" w:styleId="158">
    <w:name w:val="HTML 预设格式 Char1"/>
    <w:qFormat/>
    <w:uiPriority w:val="0"/>
    <w:rPr>
      <w:rFonts w:ascii="Courier New" w:hAnsi="Courier New" w:eastAsia="宋体" w:cs="Courier New"/>
      <w:sz w:val="20"/>
      <w:szCs w:val="20"/>
    </w:rPr>
  </w:style>
  <w:style w:type="character" w:customStyle="1" w:styleId="159">
    <w:name w:val="普通文字 Char1"/>
    <w:qFormat/>
    <w:uiPriority w:val="0"/>
    <w:rPr>
      <w:rFonts w:ascii="宋体" w:hAnsi="Courier New" w:eastAsia="宋体"/>
      <w:kern w:val="2"/>
      <w:sz w:val="21"/>
      <w:lang w:val="en-US" w:eastAsia="zh-CN"/>
    </w:rPr>
  </w:style>
  <w:style w:type="character" w:customStyle="1" w:styleId="160">
    <w:name w:val="hei16b1"/>
    <w:qFormat/>
    <w:uiPriority w:val="0"/>
    <w:rPr>
      <w:rFonts w:hint="default" w:ascii="Arial" w:hAnsi="Arial" w:cs="Arial"/>
      <w:b/>
      <w:bCs/>
      <w:color w:val="000000"/>
      <w:sz w:val="24"/>
      <w:szCs w:val="24"/>
    </w:rPr>
  </w:style>
  <w:style w:type="character" w:customStyle="1" w:styleId="161">
    <w:name w:val="正文（绿盟科技） Char"/>
    <w:link w:val="162"/>
    <w:qFormat/>
    <w:uiPriority w:val="0"/>
    <w:rPr>
      <w:rFonts w:ascii="Arial" w:hAnsi="Arial"/>
      <w:sz w:val="21"/>
      <w:szCs w:val="21"/>
    </w:rPr>
  </w:style>
  <w:style w:type="paragraph" w:customStyle="1" w:styleId="162">
    <w:name w:val="正文（绿盟科技）"/>
    <w:link w:val="161"/>
    <w:qFormat/>
    <w:uiPriority w:val="0"/>
    <w:pPr>
      <w:spacing w:line="300" w:lineRule="auto"/>
    </w:pPr>
    <w:rPr>
      <w:rFonts w:ascii="Arial" w:hAnsi="Arial" w:eastAsia="宋体" w:cs="Times New Roman"/>
      <w:sz w:val="21"/>
      <w:szCs w:val="21"/>
      <w:lang w:val="en-US" w:eastAsia="zh-CN" w:bidi="ar-SA"/>
    </w:rPr>
  </w:style>
  <w:style w:type="character" w:customStyle="1" w:styleId="163">
    <w:name w:val="Char Char19"/>
    <w:qFormat/>
    <w:uiPriority w:val="6"/>
    <w:rPr>
      <w:rFonts w:ascii="宋体" w:hAnsi="宋体"/>
      <w:i/>
      <w:sz w:val="24"/>
      <w:szCs w:val="24"/>
    </w:rPr>
  </w:style>
  <w:style w:type="character" w:customStyle="1" w:styleId="164">
    <w:name w:val="页脚 Char"/>
    <w:qFormat/>
    <w:uiPriority w:val="99"/>
    <w:rPr>
      <w:rFonts w:eastAsia="仿宋_GB2312"/>
      <w:kern w:val="2"/>
      <w:sz w:val="18"/>
      <w:lang w:val="en-US" w:eastAsia="zh-CN"/>
    </w:rPr>
  </w:style>
  <w:style w:type="character" w:customStyle="1" w:styleId="165">
    <w:name w:val="批注主题 Char"/>
    <w:qFormat/>
    <w:uiPriority w:val="0"/>
    <w:rPr>
      <w:rFonts w:eastAsia="宋体"/>
      <w:b/>
      <w:bCs/>
      <w:kern w:val="2"/>
      <w:sz w:val="21"/>
      <w:szCs w:val="24"/>
      <w:lang w:val="en-US" w:eastAsia="zh-CN" w:bidi="ar-SA"/>
    </w:rPr>
  </w:style>
  <w:style w:type="character" w:customStyle="1" w:styleId="166">
    <w:name w:val="Comment Text Char"/>
    <w:qFormat/>
    <w:uiPriority w:val="0"/>
    <w:rPr>
      <w:rFonts w:ascii="宋体" w:hAnsi="宋体" w:eastAsia="宋体"/>
      <w:kern w:val="2"/>
      <w:sz w:val="24"/>
      <w:lang w:val="en-US" w:eastAsia="zh-CN" w:bidi="ar-SA"/>
    </w:rPr>
  </w:style>
  <w:style w:type="character" w:customStyle="1" w:styleId="167">
    <w:name w:val="标题 2 字符"/>
    <w:qFormat/>
    <w:uiPriority w:val="1"/>
    <w:rPr>
      <w:rFonts w:ascii="仿宋_GB2312" w:hAnsi="Times New Roman" w:eastAsia="仿宋_GB2312" w:cs="Times New Roman"/>
      <w:b/>
      <w:kern w:val="2"/>
      <w:sz w:val="24"/>
      <w:lang w:val="zh-CN"/>
    </w:rPr>
  </w:style>
  <w:style w:type="character" w:customStyle="1" w:styleId="168">
    <w:name w:val="Char Char72"/>
    <w:qFormat/>
    <w:uiPriority w:val="0"/>
    <w:rPr>
      <w:rFonts w:eastAsia="宋体"/>
      <w:kern w:val="2"/>
      <w:sz w:val="21"/>
      <w:szCs w:val="24"/>
      <w:lang w:val="en-US" w:eastAsia="zh-CN" w:bidi="ar-SA"/>
    </w:rPr>
  </w:style>
  <w:style w:type="character" w:customStyle="1" w:styleId="169">
    <w:name w:val="正文文本缩进 Char2"/>
    <w:qFormat/>
    <w:uiPriority w:val="0"/>
    <w:rPr>
      <w:rFonts w:ascii="Times New Roman" w:hAnsi="Times New Roman" w:eastAsia="宋体" w:cs="Times New Roman"/>
      <w:snapToGrid w:val="0"/>
      <w:kern w:val="0"/>
      <w:szCs w:val="24"/>
    </w:rPr>
  </w:style>
  <w:style w:type="character" w:customStyle="1" w:styleId="170">
    <w:name w:val="样式2 Char"/>
    <w:qFormat/>
    <w:uiPriority w:val="0"/>
    <w:rPr>
      <w:rFonts w:ascii="仿宋_GB2312" w:hAnsi="仿宋" w:eastAsia="仿宋_GB2312" w:cs="仿宋_GB2312"/>
      <w:b/>
      <w:bCs/>
      <w:sz w:val="32"/>
      <w:szCs w:val="30"/>
      <w:lang w:val="zh-CN"/>
    </w:rPr>
  </w:style>
  <w:style w:type="character" w:customStyle="1" w:styleId="171">
    <w:name w:val="表格名称[858D7CFB-ED40-4347-BF05-701D383B685F]"/>
    <w:link w:val="172"/>
    <w:qFormat/>
    <w:uiPriority w:val="0"/>
    <w:rPr>
      <w:sz w:val="32"/>
    </w:rPr>
  </w:style>
  <w:style w:type="paragraph" w:customStyle="1" w:styleId="172">
    <w:name w:val="表格名称"/>
    <w:basedOn w:val="2"/>
    <w:link w:val="171"/>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3">
    <w:name w:val="Char Char4"/>
    <w:qFormat/>
    <w:uiPriority w:val="0"/>
    <w:rPr>
      <w:rFonts w:eastAsia="宋体"/>
      <w:b/>
      <w:sz w:val="24"/>
      <w:lang w:val="en-GB" w:eastAsia="zh-CN" w:bidi="ar-SA"/>
    </w:rPr>
  </w:style>
  <w:style w:type="character" w:customStyle="1" w:styleId="174">
    <w:name w:val="c7 style3"/>
    <w:qFormat/>
    <w:uiPriority w:val="0"/>
  </w:style>
  <w:style w:type="character" w:customStyle="1" w:styleId="175">
    <w:name w:val="正文文本 3 Char1"/>
    <w:qFormat/>
    <w:uiPriority w:val="99"/>
    <w:rPr>
      <w:rFonts w:ascii="Times New Roman" w:hAnsi="Times New Roman" w:eastAsia="宋体" w:cs="Times New Roman"/>
      <w:sz w:val="16"/>
      <w:szCs w:val="16"/>
    </w:rPr>
  </w:style>
  <w:style w:type="character" w:customStyle="1" w:styleId="176">
    <w:name w:val="tw4winInternal"/>
    <w:qFormat/>
    <w:uiPriority w:val="0"/>
    <w:rPr>
      <w:rFonts w:ascii="Courier New" w:hAnsi="Courier New" w:cs="Courier New"/>
      <w:color w:val="FF0000"/>
      <w:lang w:val="en-US" w:eastAsia="zh-CN"/>
    </w:rPr>
  </w:style>
  <w:style w:type="character" w:customStyle="1" w:styleId="177">
    <w:name w:val="Char Char10"/>
    <w:qFormat/>
    <w:uiPriority w:val="0"/>
    <w:rPr>
      <w:rFonts w:ascii="宋体" w:hAnsi="宋体"/>
      <w:kern w:val="2"/>
      <w:sz w:val="21"/>
      <w:szCs w:val="24"/>
      <w:lang w:val="en-US" w:eastAsia="zh-CN"/>
    </w:rPr>
  </w:style>
  <w:style w:type="character" w:customStyle="1" w:styleId="178">
    <w:name w:val="shadow11"/>
    <w:qFormat/>
    <w:uiPriority w:val="0"/>
    <w:rPr>
      <w:color w:val="000000"/>
      <w:sz w:val="21"/>
    </w:rPr>
  </w:style>
  <w:style w:type="character" w:customStyle="1" w:styleId="179">
    <w:name w:val="正文非缩进 Char3"/>
    <w:qFormat/>
    <w:uiPriority w:val="0"/>
    <w:rPr>
      <w:rFonts w:ascii="宋体" w:eastAsia="宋体"/>
      <w:snapToGrid w:val="0"/>
      <w:color w:val="000000"/>
      <w:kern w:val="28"/>
      <w:sz w:val="28"/>
      <w:lang w:val="en-US" w:eastAsia="zh-CN" w:bidi="ar-SA"/>
    </w:rPr>
  </w:style>
  <w:style w:type="character" w:customStyle="1" w:styleId="180">
    <w:name w:val="Char Char"/>
    <w:qFormat/>
    <w:uiPriority w:val="0"/>
    <w:rPr>
      <w:rFonts w:ascii="宋体" w:hAnsi="Courier New" w:eastAsia="宋体"/>
      <w:kern w:val="2"/>
      <w:sz w:val="21"/>
      <w:lang w:val="en-US" w:eastAsia="zh-CN" w:bidi="ar-SA"/>
    </w:rPr>
  </w:style>
  <w:style w:type="character" w:customStyle="1" w:styleId="181">
    <w:name w:val="签名 Char1"/>
    <w:qFormat/>
    <w:uiPriority w:val="0"/>
    <w:rPr>
      <w:rFonts w:ascii="Times New Roman" w:hAnsi="Times New Roman" w:eastAsia="宋体" w:cs="Times New Roman"/>
      <w:szCs w:val="24"/>
    </w:rPr>
  </w:style>
  <w:style w:type="character" w:customStyle="1" w:styleId="182">
    <w:name w:val="日期 Char"/>
    <w:link w:val="35"/>
    <w:qFormat/>
    <w:uiPriority w:val="0"/>
    <w:rPr>
      <w:rFonts w:ascii="宋体"/>
      <w:kern w:val="2"/>
      <w:sz w:val="24"/>
      <w:szCs w:val="21"/>
      <w:lang w:val="zh-CN"/>
    </w:rPr>
  </w:style>
  <w:style w:type="character" w:customStyle="1" w:styleId="183">
    <w:name w:val="标题 9 Char"/>
    <w:link w:val="10"/>
    <w:qFormat/>
    <w:uiPriority w:val="0"/>
    <w:rPr>
      <w:rFonts w:ascii="Arial" w:hAnsi="Arial" w:eastAsia="黑体"/>
      <w:kern w:val="2"/>
      <w:sz w:val="21"/>
      <w:szCs w:val="21"/>
    </w:rPr>
  </w:style>
  <w:style w:type="character" w:customStyle="1" w:styleId="184">
    <w:name w:val="Char Char18"/>
    <w:qFormat/>
    <w:uiPriority w:val="6"/>
    <w:rPr>
      <w:rFonts w:ascii="宋体" w:hAnsi="宋体"/>
      <w:sz w:val="28"/>
    </w:rPr>
  </w:style>
  <w:style w:type="character" w:customStyle="1" w:styleId="185">
    <w:name w:val="批注文字 Char"/>
    <w:qFormat/>
    <w:uiPriority w:val="0"/>
    <w:rPr>
      <w:kern w:val="2"/>
      <w:sz w:val="21"/>
      <w:szCs w:val="24"/>
    </w:rPr>
  </w:style>
  <w:style w:type="character" w:customStyle="1" w:styleId="186">
    <w:name w:val="Char Char22"/>
    <w:qFormat/>
    <w:uiPriority w:val="6"/>
    <w:rPr>
      <w:rFonts w:ascii="宋体" w:hAnsi="宋体"/>
      <w:kern w:val="1"/>
      <w:sz w:val="24"/>
      <w:szCs w:val="24"/>
    </w:rPr>
  </w:style>
  <w:style w:type="character" w:customStyle="1" w:styleId="187">
    <w:name w:val="pt141"/>
    <w:qFormat/>
    <w:uiPriority w:val="0"/>
    <w:rPr>
      <w:color w:val="330066"/>
      <w:sz w:val="22"/>
      <w:szCs w:val="22"/>
    </w:rPr>
  </w:style>
  <w:style w:type="character" w:customStyle="1" w:styleId="188">
    <w:name w:val="正文文本缩进 2 Char1"/>
    <w:qFormat/>
    <w:uiPriority w:val="99"/>
    <w:rPr>
      <w:rFonts w:ascii="Times New Roman" w:hAnsi="Times New Roman" w:eastAsia="宋体" w:cs="Times New Roman"/>
      <w:szCs w:val="24"/>
    </w:rPr>
  </w:style>
  <w:style w:type="character" w:customStyle="1" w:styleId="189">
    <w:name w:val="批注框文本 Char"/>
    <w:link w:val="40"/>
    <w:qFormat/>
    <w:uiPriority w:val="0"/>
    <w:rPr>
      <w:kern w:val="2"/>
      <w:sz w:val="18"/>
      <w:szCs w:val="18"/>
    </w:rPr>
  </w:style>
  <w:style w:type="character" w:customStyle="1" w:styleId="190">
    <w:name w:val="Char Char611"/>
    <w:qFormat/>
    <w:uiPriority w:val="0"/>
    <w:rPr>
      <w:rFonts w:eastAsia="宋体"/>
      <w:kern w:val="2"/>
      <w:sz w:val="21"/>
      <w:szCs w:val="24"/>
      <w:lang w:val="en-US" w:eastAsia="zh-CN" w:bidi="ar-SA"/>
    </w:rPr>
  </w:style>
  <w:style w:type="character" w:customStyle="1" w:styleId="191">
    <w:name w:val="highlight1"/>
    <w:qFormat/>
    <w:uiPriority w:val="0"/>
    <w:rPr>
      <w:rFonts w:ascii="仿宋_GB2312" w:eastAsia="微软雅黑"/>
      <w:b/>
      <w:kern w:val="2"/>
      <w:sz w:val="23"/>
      <w:szCs w:val="23"/>
      <w:lang w:val="en-US" w:eastAsia="zh-CN" w:bidi="ar-SA"/>
    </w:rPr>
  </w:style>
  <w:style w:type="character" w:customStyle="1" w:styleId="192">
    <w:name w:val="my正文 Char"/>
    <w:link w:val="193"/>
    <w:qFormat/>
    <w:uiPriority w:val="0"/>
    <w:rPr>
      <w:rFonts w:ascii="Tahoma" w:hAnsi="Tahoma"/>
      <w:sz w:val="24"/>
      <w:szCs w:val="24"/>
    </w:rPr>
  </w:style>
  <w:style w:type="paragraph" w:customStyle="1" w:styleId="193">
    <w:name w:val="my正文"/>
    <w:basedOn w:val="1"/>
    <w:link w:val="192"/>
    <w:qFormat/>
    <w:uiPriority w:val="0"/>
    <w:pPr>
      <w:adjustRightInd/>
      <w:spacing w:line="360" w:lineRule="auto"/>
      <w:ind w:firstLine="480" w:firstLineChars="200"/>
    </w:pPr>
    <w:rPr>
      <w:rFonts w:ascii="Tahoma" w:hAnsi="Tahoma"/>
      <w:kern w:val="0"/>
      <w:sz w:val="24"/>
    </w:rPr>
  </w:style>
  <w:style w:type="character" w:customStyle="1" w:styleId="194">
    <w:name w:val="正文缩进 Char2"/>
    <w:link w:val="15"/>
    <w:qFormat/>
    <w:uiPriority w:val="0"/>
    <w:rPr>
      <w:rFonts w:ascii="宋体" w:eastAsia="宋体"/>
      <w:snapToGrid w:val="0"/>
      <w:color w:val="000000"/>
      <w:kern w:val="28"/>
      <w:sz w:val="28"/>
      <w:lang w:val="en-US" w:eastAsia="zh-CN" w:bidi="ar-SA"/>
    </w:rPr>
  </w:style>
  <w:style w:type="character" w:customStyle="1" w:styleId="195">
    <w:name w:val="Used by Word for text of Help footnotes Char Char1"/>
    <w:qFormat/>
    <w:uiPriority w:val="0"/>
    <w:rPr>
      <w:color w:val="0000FF"/>
      <w:sz w:val="21"/>
    </w:rPr>
  </w:style>
  <w:style w:type="character" w:customStyle="1" w:styleId="196">
    <w:name w:val="页眉 Char"/>
    <w:qFormat/>
    <w:uiPriority w:val="99"/>
    <w:rPr>
      <w:rFonts w:eastAsia="仿宋_GB2312"/>
      <w:kern w:val="2"/>
      <w:sz w:val="18"/>
      <w:lang w:val="en-US" w:eastAsia="zh-CN"/>
    </w:rPr>
  </w:style>
  <w:style w:type="character" w:customStyle="1" w:styleId="197">
    <w:name w:val="FA正文 Char Char"/>
    <w:qFormat/>
    <w:uiPriority w:val="0"/>
    <w:rPr>
      <w:rFonts w:hAnsi="宋体"/>
      <w:kern w:val="2"/>
      <w:sz w:val="24"/>
      <w:lang w:bidi="ar-SA"/>
    </w:rPr>
  </w:style>
  <w:style w:type="character" w:customStyle="1" w:styleId="198">
    <w:name w:val="纯文本 字符"/>
    <w:qFormat/>
    <w:uiPriority w:val="0"/>
    <w:rPr>
      <w:rFonts w:ascii="宋体" w:hAnsi="Courier New" w:eastAsia="宋体" w:cs="Arial"/>
      <w:snapToGrid w:val="0"/>
      <w:kern w:val="2"/>
      <w:sz w:val="21"/>
      <w:szCs w:val="21"/>
      <w:lang w:val="en-US" w:eastAsia="zh-CN" w:bidi="ar-SA"/>
    </w:rPr>
  </w:style>
  <w:style w:type="character" w:customStyle="1" w:styleId="199">
    <w:name w:val="3级 Char"/>
    <w:link w:val="200"/>
    <w:qFormat/>
    <w:uiPriority w:val="0"/>
    <w:rPr>
      <w:rFonts w:ascii="宋体" w:hAnsi="宋体"/>
      <w:b/>
      <w:bCs/>
      <w:snapToGrid/>
      <w:sz w:val="28"/>
    </w:rPr>
  </w:style>
  <w:style w:type="paragraph" w:customStyle="1" w:styleId="200">
    <w:name w:val="3级"/>
    <w:basedOn w:val="201"/>
    <w:link w:val="199"/>
    <w:qFormat/>
    <w:uiPriority w:val="0"/>
    <w:pPr>
      <w:ind w:left="0" w:right="466" w:firstLine="288"/>
    </w:pPr>
    <w:rPr>
      <w:rFonts w:hAnsi="宋体"/>
      <w:snapToGrid/>
    </w:rPr>
  </w:style>
  <w:style w:type="paragraph" w:customStyle="1" w:styleId="201">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2">
    <w:name w:val="myp11"/>
    <w:qFormat/>
    <w:uiPriority w:val="0"/>
    <w:rPr>
      <w:rFonts w:ascii="仿宋_GB2312" w:eastAsia="微软雅黑"/>
      <w:b/>
      <w:kern w:val="2"/>
      <w:sz w:val="32"/>
      <w:szCs w:val="32"/>
      <w:lang w:val="en-US" w:eastAsia="zh-CN" w:bidi="ar-SA"/>
    </w:rPr>
  </w:style>
  <w:style w:type="character" w:customStyle="1" w:styleId="203">
    <w:name w:val="文档结构图 Char1"/>
    <w:link w:val="18"/>
    <w:qFormat/>
    <w:uiPriority w:val="0"/>
    <w:rPr>
      <w:kern w:val="2"/>
      <w:sz w:val="21"/>
      <w:szCs w:val="24"/>
      <w:shd w:val="clear" w:color="auto" w:fill="000080"/>
    </w:rPr>
  </w:style>
  <w:style w:type="character" w:customStyle="1" w:styleId="204">
    <w:name w:val="H6 Char"/>
    <w:qFormat/>
    <w:uiPriority w:val="0"/>
    <w:rPr>
      <w:rFonts w:ascii="Arial" w:hAnsi="Arial" w:eastAsia="黑体"/>
      <w:b/>
      <w:bCs/>
      <w:kern w:val="2"/>
      <w:sz w:val="24"/>
      <w:szCs w:val="24"/>
    </w:rPr>
  </w:style>
  <w:style w:type="character" w:customStyle="1" w:styleId="205">
    <w:name w:val="Char Char91"/>
    <w:qFormat/>
    <w:uiPriority w:val="0"/>
    <w:rPr>
      <w:rFonts w:eastAsia="宋体"/>
      <w:kern w:val="2"/>
      <w:sz w:val="18"/>
      <w:szCs w:val="18"/>
      <w:lang w:val="en-US" w:eastAsia="zh-CN" w:bidi="ar-SA"/>
    </w:rPr>
  </w:style>
  <w:style w:type="character" w:customStyle="1" w:styleId="206">
    <w:name w:val="副标题 Char1"/>
    <w:qFormat/>
    <w:uiPriority w:val="0"/>
    <w:rPr>
      <w:rFonts w:ascii="Cambria" w:hAnsi="Cambria" w:eastAsia="宋体" w:cs="Times New Roman"/>
      <w:b/>
      <w:bCs/>
      <w:snapToGrid w:val="0"/>
      <w:kern w:val="28"/>
      <w:sz w:val="32"/>
      <w:szCs w:val="32"/>
    </w:rPr>
  </w:style>
  <w:style w:type="character" w:customStyle="1" w:styleId="207">
    <w:name w:val="font61"/>
    <w:basedOn w:val="71"/>
    <w:qFormat/>
    <w:uiPriority w:val="0"/>
    <w:rPr>
      <w:rFonts w:hint="eastAsia" w:ascii="仿宋" w:hAnsi="仿宋" w:eastAsia="仿宋" w:cs="仿宋"/>
      <w:color w:val="000000"/>
      <w:sz w:val="20"/>
      <w:szCs w:val="20"/>
      <w:u w:val="none"/>
    </w:rPr>
  </w:style>
  <w:style w:type="character" w:customStyle="1" w:styleId="208">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9">
    <w:name w:val="Char Char211"/>
    <w:qFormat/>
    <w:uiPriority w:val="0"/>
    <w:rPr>
      <w:rFonts w:eastAsia="宋体"/>
      <w:b/>
      <w:bCs/>
      <w:kern w:val="2"/>
      <w:sz w:val="21"/>
      <w:szCs w:val="24"/>
      <w:lang w:val="en-US" w:eastAsia="zh-CN" w:bidi="ar-SA"/>
    </w:rPr>
  </w:style>
  <w:style w:type="character" w:customStyle="1" w:styleId="210">
    <w:name w:val="标题 2 Char"/>
    <w:qFormat/>
    <w:uiPriority w:val="0"/>
    <w:rPr>
      <w:rFonts w:ascii="Arial" w:hAnsi="Arial" w:eastAsia="黑体"/>
      <w:b/>
      <w:kern w:val="2"/>
      <w:sz w:val="32"/>
      <w:lang w:val="en-US" w:eastAsia="zh-CN"/>
    </w:rPr>
  </w:style>
  <w:style w:type="character" w:customStyle="1" w:styleId="211">
    <w:name w:val="maywed421"/>
    <w:qFormat/>
    <w:uiPriority w:val="0"/>
    <w:rPr>
      <w:color w:val="366FB6"/>
      <w:u w:val="none"/>
    </w:rPr>
  </w:style>
  <w:style w:type="character" w:customStyle="1" w:styleId="212">
    <w:name w:val="正文文本缩进 Char"/>
    <w:qFormat/>
    <w:uiPriority w:val="0"/>
    <w:rPr>
      <w:rFonts w:ascii="宋体" w:hAnsi="宋体"/>
      <w:kern w:val="2"/>
      <w:sz w:val="24"/>
      <w:szCs w:val="24"/>
    </w:rPr>
  </w:style>
  <w:style w:type="character" w:customStyle="1" w:styleId="213">
    <w:name w:val="Char Char102"/>
    <w:qFormat/>
    <w:uiPriority w:val="0"/>
    <w:rPr>
      <w:rFonts w:ascii="宋体" w:hAnsi="宋体"/>
      <w:kern w:val="2"/>
      <w:sz w:val="21"/>
      <w:szCs w:val="24"/>
      <w:lang w:val="en-US" w:eastAsia="zh-CN"/>
    </w:rPr>
  </w:style>
  <w:style w:type="character" w:customStyle="1" w:styleId="214">
    <w:name w:val="页眉 Char1"/>
    <w:qFormat/>
    <w:uiPriority w:val="0"/>
    <w:rPr>
      <w:rFonts w:eastAsia="宋体"/>
      <w:kern w:val="2"/>
      <w:sz w:val="18"/>
      <w:szCs w:val="18"/>
      <w:lang w:val="en-US" w:eastAsia="zh-CN" w:bidi="ar-SA"/>
    </w:rPr>
  </w:style>
  <w:style w:type="character" w:customStyle="1" w:styleId="215">
    <w:name w:val="md"/>
    <w:basedOn w:val="71"/>
    <w:qFormat/>
    <w:uiPriority w:val="0"/>
    <w:rPr>
      <w:rFonts w:ascii="Arial" w:hAnsi="Arial" w:eastAsia="黑体" w:cs="Arial"/>
      <w:snapToGrid w:val="0"/>
      <w:kern w:val="0"/>
      <w:szCs w:val="21"/>
    </w:rPr>
  </w:style>
  <w:style w:type="character" w:customStyle="1" w:styleId="216">
    <w:name w:val="big1"/>
    <w:qFormat/>
    <w:uiPriority w:val="0"/>
    <w:rPr>
      <w:rFonts w:hint="eastAsia" w:ascii="宋体" w:hAnsi="宋体" w:eastAsia="宋体"/>
      <w:color w:val="333333"/>
      <w:sz w:val="22"/>
      <w:szCs w:val="22"/>
    </w:rPr>
  </w:style>
  <w:style w:type="character" w:customStyle="1" w:styleId="217">
    <w:name w:val="Char Char311"/>
    <w:qFormat/>
    <w:uiPriority w:val="0"/>
    <w:rPr>
      <w:rFonts w:eastAsia="宋体"/>
      <w:kern w:val="2"/>
      <w:sz w:val="21"/>
      <w:szCs w:val="24"/>
      <w:lang w:val="en-US" w:eastAsia="zh-CN" w:bidi="ar-SA"/>
    </w:rPr>
  </w:style>
  <w:style w:type="character" w:customStyle="1" w:styleId="218">
    <w:name w:val="Char Char81"/>
    <w:qFormat/>
    <w:uiPriority w:val="6"/>
    <w:rPr>
      <w:rFonts w:eastAsia="宋体"/>
      <w:b/>
      <w:sz w:val="24"/>
      <w:lang w:val="en-GB" w:eastAsia="zh-CN"/>
    </w:rPr>
  </w:style>
  <w:style w:type="character" w:customStyle="1" w:styleId="219">
    <w:name w:val="样式3 Char"/>
    <w:basedOn w:val="170"/>
    <w:qFormat/>
    <w:uiPriority w:val="0"/>
    <w:rPr>
      <w:rFonts w:ascii="仿宋_GB2312" w:hAnsi="仿宋" w:eastAsia="仿宋_GB2312" w:cs="仿宋_GB2312"/>
      <w:sz w:val="32"/>
      <w:szCs w:val="30"/>
      <w:lang w:val="zh-CN"/>
    </w:rPr>
  </w:style>
  <w:style w:type="character" w:customStyle="1" w:styleId="220">
    <w:name w:val="HTML 地址 Char"/>
    <w:link w:val="30"/>
    <w:qFormat/>
    <w:uiPriority w:val="0"/>
    <w:rPr>
      <w:rFonts w:ascii="宋体" w:hAnsi="宋体"/>
      <w:i/>
      <w:iCs/>
      <w:sz w:val="24"/>
      <w:szCs w:val="24"/>
    </w:rPr>
  </w:style>
  <w:style w:type="character" w:customStyle="1" w:styleId="221">
    <w:name w:val="正文首行缩进 2 Char1"/>
    <w:qFormat/>
    <w:uiPriority w:val="0"/>
    <w:rPr>
      <w:rFonts w:ascii="Times New Roman" w:hAnsi="Times New Roman" w:eastAsia="宋体" w:cs="Times New Roman"/>
      <w:kern w:val="2"/>
      <w:sz w:val="24"/>
      <w:szCs w:val="24"/>
    </w:rPr>
  </w:style>
  <w:style w:type="character" w:customStyle="1" w:styleId="222">
    <w:name w:val="副标题 Char2"/>
    <w:qFormat/>
    <w:uiPriority w:val="0"/>
    <w:rPr>
      <w:rFonts w:ascii="Cambria" w:hAnsi="Cambria" w:eastAsia="宋体" w:cs="Times New Roman"/>
      <w:b/>
      <w:bCs/>
      <w:snapToGrid w:val="0"/>
      <w:kern w:val="28"/>
      <w:sz w:val="32"/>
      <w:szCs w:val="32"/>
    </w:rPr>
  </w:style>
  <w:style w:type="character" w:customStyle="1" w:styleId="223">
    <w:name w:val="标题4-dyf Char"/>
    <w:link w:val="224"/>
    <w:qFormat/>
    <w:uiPriority w:val="0"/>
    <w:rPr>
      <w:rFonts w:ascii="Cambria" w:hAnsi="Cambria"/>
      <w:b/>
      <w:bCs/>
      <w:color w:val="000000"/>
      <w:kern w:val="2"/>
      <w:sz w:val="21"/>
      <w:szCs w:val="21"/>
    </w:rPr>
  </w:style>
  <w:style w:type="paragraph" w:customStyle="1" w:styleId="224">
    <w:name w:val="标题4-dyf"/>
    <w:basedOn w:val="5"/>
    <w:link w:val="223"/>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5">
    <w:name w:val="dectext1"/>
    <w:qFormat/>
    <w:uiPriority w:val="0"/>
    <w:rPr>
      <w:rFonts w:ascii="宋体" w:hAnsi="宋体" w:eastAsia="宋体"/>
      <w:color w:val="333333"/>
      <w:sz w:val="21"/>
      <w:szCs w:val="21"/>
      <w:u w:val="none"/>
    </w:rPr>
  </w:style>
  <w:style w:type="character" w:customStyle="1" w:styleId="226">
    <w:name w:val="冯 Char"/>
    <w:link w:val="227"/>
    <w:qFormat/>
    <w:uiPriority w:val="0"/>
    <w:rPr>
      <w:rFonts w:ascii="宋体" w:hAnsi="宋体"/>
      <w:color w:val="000000"/>
      <w:sz w:val="24"/>
      <w:szCs w:val="24"/>
    </w:rPr>
  </w:style>
  <w:style w:type="paragraph" w:customStyle="1" w:styleId="227">
    <w:name w:val="冯"/>
    <w:basedOn w:val="1"/>
    <w:link w:val="226"/>
    <w:qFormat/>
    <w:uiPriority w:val="0"/>
    <w:pPr>
      <w:widowControl/>
      <w:adjustRightInd/>
      <w:spacing w:line="360" w:lineRule="auto"/>
      <w:ind w:firstLine="480" w:firstLineChars="200"/>
    </w:pPr>
    <w:rPr>
      <w:rFonts w:ascii="宋体" w:hAnsi="宋体"/>
      <w:color w:val="000000"/>
      <w:kern w:val="0"/>
      <w:sz w:val="24"/>
    </w:rPr>
  </w:style>
  <w:style w:type="character" w:customStyle="1" w:styleId="228">
    <w:name w:val="Header Char_72f22585-e026-41c0-b855-8ac788c27b1e"/>
    <w:qFormat/>
    <w:uiPriority w:val="0"/>
    <w:rPr>
      <w:rFonts w:eastAsia="宋体"/>
      <w:kern w:val="2"/>
      <w:sz w:val="18"/>
      <w:szCs w:val="18"/>
      <w:lang w:val="en-US" w:eastAsia="zh-CN" w:bidi="ar-SA"/>
    </w:rPr>
  </w:style>
  <w:style w:type="character" w:customStyle="1" w:styleId="229">
    <w:name w:val="Char Char12"/>
    <w:qFormat/>
    <w:uiPriority w:val="0"/>
    <w:rPr>
      <w:rFonts w:ascii="仿宋_GB2312" w:eastAsia="仿宋_GB2312"/>
      <w:b/>
      <w:bCs/>
      <w:kern w:val="2"/>
      <w:sz w:val="24"/>
      <w:szCs w:val="24"/>
      <w:lang w:val="zh-CN" w:eastAsia="zh-CN" w:bidi="ar-SA"/>
    </w:rPr>
  </w:style>
  <w:style w:type="character" w:customStyle="1" w:styleId="230">
    <w:name w:val="题注 Char"/>
    <w:link w:val="16"/>
    <w:qFormat/>
    <w:uiPriority w:val="0"/>
    <w:rPr>
      <w:b/>
      <w:kern w:val="2"/>
      <w:sz w:val="28"/>
    </w:rPr>
  </w:style>
  <w:style w:type="character" w:customStyle="1" w:styleId="231">
    <w:name w:val="普通文字 Char3"/>
    <w:qFormat/>
    <w:uiPriority w:val="0"/>
    <w:rPr>
      <w:rFonts w:ascii="宋体" w:hAnsi="Courier New" w:eastAsia="宋体"/>
      <w:kern w:val="2"/>
      <w:sz w:val="21"/>
      <w:lang w:val="en-US" w:eastAsia="zh-CN" w:bidi="ar-SA"/>
    </w:rPr>
  </w:style>
  <w:style w:type="character" w:customStyle="1" w:styleId="232">
    <w:name w:val="公文正文 Char"/>
    <w:qFormat/>
    <w:uiPriority w:val="0"/>
    <w:rPr>
      <w:rFonts w:ascii="仿宋_GB2312" w:eastAsia="仿宋_GB2312"/>
      <w:kern w:val="2"/>
      <w:sz w:val="24"/>
      <w:szCs w:val="24"/>
      <w:lang w:val="en-US" w:eastAsia="zh-CN" w:bidi="ar-SA"/>
    </w:rPr>
  </w:style>
  <w:style w:type="character" w:customStyle="1" w:styleId="233">
    <w:name w:val="正文首行缩进 Char Char Char Char Char"/>
    <w:qFormat/>
    <w:uiPriority w:val="0"/>
    <w:rPr>
      <w:rFonts w:ascii="宋体"/>
      <w:kern w:val="2"/>
      <w:sz w:val="24"/>
      <w:lang w:val="zh-CN"/>
    </w:rPr>
  </w:style>
  <w:style w:type="character" w:customStyle="1" w:styleId="234">
    <w:name w:val="PI Char"/>
    <w:qFormat/>
    <w:uiPriority w:val="0"/>
    <w:rPr>
      <w:rFonts w:ascii="宋体" w:hAnsi="宋体" w:eastAsia="宋体"/>
      <w:kern w:val="2"/>
      <w:sz w:val="24"/>
      <w:szCs w:val="24"/>
      <w:lang w:val="en-US" w:eastAsia="zh-CN" w:bidi="ar-SA"/>
    </w:rPr>
  </w:style>
  <w:style w:type="character" w:customStyle="1" w:styleId="235">
    <w:name w:val="Default Char"/>
    <w:link w:val="25"/>
    <w:qFormat/>
    <w:uiPriority w:val="0"/>
    <w:rPr>
      <w:rFonts w:ascii="仿宋_GB2312" w:eastAsia="仿宋_GB2312" w:cs="仿宋_GB2312"/>
      <w:color w:val="000000"/>
      <w:sz w:val="24"/>
      <w:szCs w:val="24"/>
      <w:lang w:val="en-US" w:eastAsia="zh-CN" w:bidi="ar-SA"/>
    </w:rPr>
  </w:style>
  <w:style w:type="character" w:customStyle="1" w:styleId="236">
    <w:name w:val="style91"/>
    <w:qFormat/>
    <w:uiPriority w:val="0"/>
    <w:rPr>
      <w:color w:val="333333"/>
    </w:rPr>
  </w:style>
  <w:style w:type="character" w:customStyle="1" w:styleId="237">
    <w:name w:val="列出段落 Char2"/>
    <w:qFormat/>
    <w:uiPriority w:val="34"/>
    <w:rPr>
      <w:rFonts w:ascii="Calibri" w:hAnsi="Calibri"/>
      <w:kern w:val="2"/>
      <w:sz w:val="28"/>
    </w:rPr>
  </w:style>
  <w:style w:type="character" w:customStyle="1" w:styleId="238">
    <w:name w:val="mdeck"/>
    <w:qFormat/>
    <w:uiPriority w:val="0"/>
    <w:rPr>
      <w:rFonts w:ascii="仿宋_GB2312" w:eastAsia="微软雅黑"/>
      <w:b/>
      <w:kern w:val="2"/>
      <w:sz w:val="32"/>
      <w:szCs w:val="32"/>
      <w:lang w:val="en-US" w:eastAsia="zh-CN" w:bidi="ar-SA"/>
    </w:rPr>
  </w:style>
  <w:style w:type="character" w:customStyle="1" w:styleId="239">
    <w:name w:val="unnamed11"/>
    <w:qFormat/>
    <w:uiPriority w:val="0"/>
    <w:rPr>
      <w:sz w:val="20"/>
      <w:szCs w:val="20"/>
    </w:rPr>
  </w:style>
  <w:style w:type="character" w:customStyle="1" w:styleId="240">
    <w:name w:val="正文文本 Char2"/>
    <w:qFormat/>
    <w:uiPriority w:val="99"/>
    <w:rPr>
      <w:rFonts w:ascii="Times New Roman" w:hAnsi="Times New Roman" w:eastAsia="宋体" w:cs="Times New Roman"/>
      <w:snapToGrid w:val="0"/>
      <w:kern w:val="0"/>
      <w:szCs w:val="24"/>
    </w:rPr>
  </w:style>
  <w:style w:type="character" w:customStyle="1" w:styleId="241">
    <w:name w:val="标书正文格式 Char"/>
    <w:qFormat/>
    <w:uiPriority w:val="0"/>
    <w:rPr>
      <w:rFonts w:eastAsia="楷体_GB2312"/>
      <w:kern w:val="2"/>
      <w:sz w:val="24"/>
      <w:szCs w:val="24"/>
      <w:lang w:bidi="ar-SA"/>
    </w:rPr>
  </w:style>
  <w:style w:type="character" w:customStyle="1" w:styleId="242">
    <w:name w:val="Char Char11"/>
    <w:qFormat/>
    <w:uiPriority w:val="0"/>
    <w:rPr>
      <w:rFonts w:ascii="宋体" w:hAnsi="宋体" w:eastAsia="宋体"/>
      <w:b/>
      <w:kern w:val="2"/>
      <w:sz w:val="24"/>
      <w:szCs w:val="24"/>
      <w:lang w:val="en-US" w:eastAsia="zh-CN" w:bidi="ar-SA"/>
    </w:rPr>
  </w:style>
  <w:style w:type="character" w:customStyle="1" w:styleId="243">
    <w:name w:val="ca-131"/>
    <w:qFormat/>
    <w:uiPriority w:val="0"/>
    <w:rPr>
      <w:rFonts w:hint="eastAsia" w:ascii="仿宋_GB2312" w:eastAsia="仿宋_GB2312"/>
      <w:b/>
      <w:bCs/>
      <w:color w:val="000000"/>
      <w:spacing w:val="-20"/>
      <w:sz w:val="24"/>
      <w:szCs w:val="24"/>
    </w:rPr>
  </w:style>
  <w:style w:type="character" w:customStyle="1" w:styleId="244">
    <w:name w:val="tw4winMark"/>
    <w:qFormat/>
    <w:uiPriority w:val="0"/>
    <w:rPr>
      <w:rFonts w:ascii="Courier New" w:hAnsi="Courier New" w:cs="Courier New"/>
      <w:vanish/>
      <w:color w:val="800080"/>
      <w:sz w:val="24"/>
      <w:szCs w:val="24"/>
      <w:vertAlign w:val="subscript"/>
    </w:rPr>
  </w:style>
  <w:style w:type="character" w:customStyle="1" w:styleId="245">
    <w:name w:val="正文样式 Char"/>
    <w:link w:val="246"/>
    <w:qFormat/>
    <w:uiPriority w:val="0"/>
    <w:rPr>
      <w:rFonts w:ascii="Calibri" w:hAnsi="Calibri"/>
      <w:sz w:val="24"/>
      <w:szCs w:val="24"/>
    </w:rPr>
  </w:style>
  <w:style w:type="paragraph" w:customStyle="1" w:styleId="246">
    <w:name w:val="正文样式"/>
    <w:basedOn w:val="1"/>
    <w:link w:val="245"/>
    <w:qFormat/>
    <w:uiPriority w:val="0"/>
    <w:pPr>
      <w:adjustRightInd/>
      <w:spacing w:line="360" w:lineRule="auto"/>
      <w:ind w:firstLine="480" w:firstLineChars="200"/>
    </w:pPr>
    <w:rPr>
      <w:kern w:val="0"/>
      <w:sz w:val="24"/>
    </w:rPr>
  </w:style>
  <w:style w:type="character" w:customStyle="1" w:styleId="247">
    <w:name w:val="表正文 Char3"/>
    <w:qFormat/>
    <w:uiPriority w:val="0"/>
    <w:rPr>
      <w:rFonts w:eastAsia="宋体"/>
    </w:rPr>
  </w:style>
  <w:style w:type="character" w:customStyle="1" w:styleId="248">
    <w:name w:val="H5 Char"/>
    <w:qFormat/>
    <w:uiPriority w:val="0"/>
    <w:rPr>
      <w:b/>
      <w:bCs/>
      <w:kern w:val="2"/>
      <w:sz w:val="28"/>
      <w:szCs w:val="28"/>
    </w:rPr>
  </w:style>
  <w:style w:type="character" w:customStyle="1" w:styleId="249">
    <w:name w:val="Char Char3"/>
    <w:qFormat/>
    <w:uiPriority w:val="0"/>
    <w:rPr>
      <w:rFonts w:eastAsia="宋体"/>
      <w:kern w:val="2"/>
      <w:sz w:val="21"/>
      <w:szCs w:val="24"/>
      <w:lang w:val="en-US" w:eastAsia="zh-CN" w:bidi="ar-SA"/>
    </w:rPr>
  </w:style>
  <w:style w:type="character" w:customStyle="1" w:styleId="250">
    <w:name w:val="正文 编号 Char"/>
    <w:qFormat/>
    <w:uiPriority w:val="0"/>
    <w:rPr>
      <w:rFonts w:ascii="仿宋_GB2312" w:hAnsi="仿宋_GB2312" w:eastAsia="仿宋_GB2312"/>
      <w:kern w:val="2"/>
      <w:sz w:val="24"/>
      <w:lang w:bidi="ar-SA"/>
    </w:rPr>
  </w:style>
  <w:style w:type="character" w:customStyle="1" w:styleId="251">
    <w:name w:val="question-title2"/>
    <w:qFormat/>
    <w:uiPriority w:val="6"/>
    <w:rPr>
      <w:rFonts w:ascii="Arial" w:hAnsi="Arial" w:eastAsia="黑体" w:cs="Arial"/>
      <w:snapToGrid w:val="0"/>
      <w:kern w:val="0"/>
      <w:szCs w:val="21"/>
    </w:rPr>
  </w:style>
  <w:style w:type="character" w:customStyle="1" w:styleId="252">
    <w:name w:val="gf正文1 Char Char"/>
    <w:link w:val="253"/>
    <w:qFormat/>
    <w:uiPriority w:val="0"/>
    <w:rPr>
      <w:rFonts w:ascii="宋体" w:hAnsi="宋体" w:cs="宋体"/>
      <w:kern w:val="2"/>
      <w:sz w:val="24"/>
      <w:szCs w:val="24"/>
    </w:rPr>
  </w:style>
  <w:style w:type="paragraph" w:customStyle="1" w:styleId="253">
    <w:name w:val="gf正文1"/>
    <w:basedOn w:val="1"/>
    <w:link w:val="252"/>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4">
    <w:name w:val="Char Char15"/>
    <w:qFormat/>
    <w:uiPriority w:val="6"/>
    <w:rPr>
      <w:rFonts w:ascii="宋体" w:hAnsi="宋体"/>
      <w:kern w:val="1"/>
      <w:sz w:val="21"/>
    </w:rPr>
  </w:style>
  <w:style w:type="character" w:customStyle="1" w:styleId="255">
    <w:name w:val="正文缩进 Char3"/>
    <w:qFormat/>
    <w:uiPriority w:val="0"/>
    <w:rPr>
      <w:rFonts w:ascii="宋体" w:eastAsia="宋体"/>
      <w:snapToGrid w:val="0"/>
      <w:color w:val="000000"/>
      <w:kern w:val="28"/>
      <w:sz w:val="28"/>
      <w:lang w:val="en-US" w:eastAsia="zh-CN" w:bidi="ar-SA"/>
    </w:rPr>
  </w:style>
  <w:style w:type="character" w:customStyle="1" w:styleId="256">
    <w:name w:val="列出段落 Char1"/>
    <w:link w:val="257"/>
    <w:qFormat/>
    <w:uiPriority w:val="0"/>
    <w:rPr>
      <w:rFonts w:ascii="Calibri" w:hAnsi="Calibri"/>
      <w:sz w:val="24"/>
      <w:lang w:eastAsia="en-US"/>
    </w:rPr>
  </w:style>
  <w:style w:type="paragraph" w:customStyle="1" w:styleId="257">
    <w:name w:val="列表1"/>
    <w:basedOn w:val="1"/>
    <w:next w:val="258"/>
    <w:link w:val="256"/>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8">
    <w:name w:val="列出段落1"/>
    <w:basedOn w:val="1"/>
    <w:qFormat/>
    <w:uiPriority w:val="34"/>
    <w:pPr>
      <w:spacing w:line="360" w:lineRule="auto"/>
      <w:ind w:firstLine="200" w:firstLineChars="200"/>
    </w:pPr>
    <w:rPr>
      <w:rFonts w:eastAsia="楷体_GB2312" w:cs="Lucida Sans"/>
      <w:sz w:val="24"/>
    </w:rPr>
  </w:style>
  <w:style w:type="character" w:customStyle="1" w:styleId="259">
    <w:name w:val="Char Char8"/>
    <w:qFormat/>
    <w:uiPriority w:val="0"/>
    <w:rPr>
      <w:rFonts w:eastAsia="宋体"/>
      <w:b/>
      <w:sz w:val="24"/>
      <w:lang w:val="en-GB" w:eastAsia="zh-CN"/>
    </w:rPr>
  </w:style>
  <w:style w:type="character" w:customStyle="1" w:styleId="260">
    <w:name w:val="Normal Indent Char Char"/>
    <w:qFormat/>
    <w:uiPriority w:val="0"/>
    <w:rPr>
      <w:rFonts w:eastAsia="宋体"/>
      <w:kern w:val="2"/>
      <w:sz w:val="21"/>
      <w:lang w:val="en-US" w:eastAsia="zh-CN" w:bidi="ar-SA"/>
    </w:rPr>
  </w:style>
  <w:style w:type="character" w:customStyle="1" w:styleId="261">
    <w:name w:val="列表段落 字符"/>
    <w:qFormat/>
    <w:uiPriority w:val="99"/>
  </w:style>
  <w:style w:type="character" w:customStyle="1" w:styleId="262">
    <w:name w:val="Ò³Ã¼ Char Char1"/>
    <w:qFormat/>
    <w:uiPriority w:val="0"/>
    <w:rPr>
      <w:rFonts w:eastAsia="宋体"/>
      <w:kern w:val="2"/>
      <w:sz w:val="18"/>
      <w:szCs w:val="18"/>
      <w:lang w:val="en-US" w:eastAsia="zh-CN" w:bidi="ar-SA"/>
    </w:rPr>
  </w:style>
  <w:style w:type="character" w:customStyle="1" w:styleId="263">
    <w:name w:val="方案正文 Char"/>
    <w:qFormat/>
    <w:uiPriority w:val="0"/>
    <w:rPr>
      <w:rFonts w:ascii="仿宋_GB2312" w:eastAsia="仿宋_GB2312"/>
      <w:b/>
      <w:color w:val="000000"/>
      <w:kern w:val="2"/>
      <w:sz w:val="24"/>
      <w:lang w:val="en-US" w:eastAsia="zh-CN" w:bidi="ar-SA"/>
    </w:rPr>
  </w:style>
  <w:style w:type="character" w:customStyle="1" w:styleId="264">
    <w:name w:val="Char Char30"/>
    <w:qFormat/>
    <w:uiPriority w:val="6"/>
    <w:rPr>
      <w:rFonts w:ascii="Arial" w:hAnsi="Arial" w:eastAsia="黑体"/>
      <w:kern w:val="1"/>
      <w:sz w:val="21"/>
      <w:szCs w:val="21"/>
    </w:rPr>
  </w:style>
  <w:style w:type="character" w:customStyle="1" w:styleId="265">
    <w:name w:val="正文文本缩进 Char3"/>
    <w:link w:val="24"/>
    <w:qFormat/>
    <w:uiPriority w:val="0"/>
    <w:rPr>
      <w:rFonts w:ascii="宋体" w:hAnsi="宋体"/>
      <w:kern w:val="2"/>
      <w:sz w:val="24"/>
      <w:szCs w:val="24"/>
    </w:rPr>
  </w:style>
  <w:style w:type="character" w:customStyle="1" w:styleId="266">
    <w:name w:val="font01"/>
    <w:qFormat/>
    <w:uiPriority w:val="0"/>
    <w:rPr>
      <w:rFonts w:hint="eastAsia" w:ascii="微软雅黑" w:hAnsi="微软雅黑" w:eastAsia="微软雅黑" w:cs="微软雅黑"/>
      <w:color w:val="000000"/>
      <w:sz w:val="20"/>
      <w:szCs w:val="20"/>
      <w:u w:val="none"/>
    </w:rPr>
  </w:style>
  <w:style w:type="character" w:customStyle="1" w:styleId="267">
    <w:name w:val="Char Char20"/>
    <w:qFormat/>
    <w:uiPriority w:val="6"/>
    <w:rPr>
      <w:kern w:val="1"/>
      <w:sz w:val="24"/>
    </w:rPr>
  </w:style>
  <w:style w:type="character" w:customStyle="1" w:styleId="268">
    <w:name w:val="tw4winExternal"/>
    <w:qFormat/>
    <w:uiPriority w:val="0"/>
    <w:rPr>
      <w:rFonts w:ascii="Courier New" w:hAnsi="Courier New" w:cs="Courier New"/>
      <w:color w:val="808080"/>
      <w:lang w:val="en-US" w:eastAsia="zh-CN"/>
    </w:rPr>
  </w:style>
  <w:style w:type="character" w:customStyle="1" w:styleId="269">
    <w:name w:val="标题 4 Char1"/>
    <w:qFormat/>
    <w:uiPriority w:val="9"/>
    <w:rPr>
      <w:rFonts w:ascii="Cambria" w:hAnsi="Cambria" w:eastAsia="宋体" w:cs="Times New Roman"/>
      <w:b/>
      <w:bCs/>
      <w:kern w:val="2"/>
      <w:sz w:val="28"/>
      <w:szCs w:val="28"/>
    </w:rPr>
  </w:style>
  <w:style w:type="character" w:customStyle="1" w:styleId="270">
    <w:name w:val="批注文字 Char2"/>
    <w:qFormat/>
    <w:uiPriority w:val="99"/>
    <w:rPr>
      <w:rFonts w:ascii="Times New Roman" w:hAnsi="Times New Roman" w:eastAsia="宋体" w:cs="Times New Roman"/>
      <w:snapToGrid w:val="0"/>
      <w:kern w:val="0"/>
      <w:szCs w:val="24"/>
    </w:rPr>
  </w:style>
  <w:style w:type="character" w:customStyle="1" w:styleId="271">
    <w:name w:val="正文文本 2 Char"/>
    <w:qFormat/>
    <w:uiPriority w:val="0"/>
    <w:rPr>
      <w:rFonts w:eastAsia="宋体"/>
      <w:kern w:val="2"/>
      <w:sz w:val="21"/>
      <w:szCs w:val="24"/>
      <w:lang w:val="en-US" w:eastAsia="zh-CN" w:bidi="ar-SA"/>
    </w:rPr>
  </w:style>
  <w:style w:type="character" w:customStyle="1" w:styleId="272">
    <w:name w:val="Ò³Ã¼ Char Char"/>
    <w:qFormat/>
    <w:uiPriority w:val="0"/>
    <w:rPr>
      <w:rFonts w:eastAsia="宋体"/>
      <w:kern w:val="2"/>
      <w:sz w:val="18"/>
      <w:lang w:val="en-US" w:eastAsia="zh-CN" w:bidi="ar-SA"/>
    </w:rPr>
  </w:style>
  <w:style w:type="character" w:customStyle="1" w:styleId="273">
    <w:name w:val="message1"/>
    <w:qFormat/>
    <w:uiPriority w:val="0"/>
    <w:rPr>
      <w:rFonts w:hint="default" w:ascii="Tahoma" w:hAnsi="Tahoma" w:cs="Tahoma"/>
      <w:sz w:val="18"/>
      <w:szCs w:val="18"/>
    </w:rPr>
  </w:style>
  <w:style w:type="character" w:customStyle="1" w:styleId="274">
    <w:name w:val="Char Char23"/>
    <w:qFormat/>
    <w:uiPriority w:val="6"/>
    <w:rPr>
      <w:color w:val="0000FF"/>
      <w:sz w:val="21"/>
    </w:rPr>
  </w:style>
  <w:style w:type="character" w:customStyle="1" w:styleId="275">
    <w:name w:val="批注框文本 字符"/>
    <w:qFormat/>
    <w:uiPriority w:val="0"/>
    <w:rPr>
      <w:rFonts w:ascii="Arial" w:hAnsi="Arial" w:eastAsia="黑体" w:cs="Arial"/>
      <w:snapToGrid w:val="0"/>
      <w:kern w:val="0"/>
      <w:sz w:val="18"/>
      <w:szCs w:val="18"/>
    </w:rPr>
  </w:style>
  <w:style w:type="character" w:customStyle="1" w:styleId="276">
    <w:name w:val="纯文本 Char2"/>
    <w:qFormat/>
    <w:uiPriority w:val="99"/>
    <w:rPr>
      <w:rFonts w:ascii="宋体" w:hAnsi="Courier New" w:eastAsia="宋体" w:cs="Courier New"/>
    </w:rPr>
  </w:style>
  <w:style w:type="character" w:customStyle="1" w:styleId="277">
    <w:name w:val="Char Char25"/>
    <w:qFormat/>
    <w:uiPriority w:val="6"/>
    <w:rPr>
      <w:rFonts w:ascii="宋体" w:hAnsi="宋体"/>
      <w:kern w:val="1"/>
      <w:sz w:val="24"/>
      <w:lang w:val="zh-CN"/>
    </w:rPr>
  </w:style>
  <w:style w:type="character" w:customStyle="1" w:styleId="278">
    <w:name w:val="Char Char411"/>
    <w:qFormat/>
    <w:uiPriority w:val="0"/>
    <w:rPr>
      <w:rFonts w:eastAsia="宋体"/>
      <w:b/>
      <w:sz w:val="24"/>
      <w:lang w:val="en-GB" w:eastAsia="zh-CN" w:bidi="ar-SA"/>
    </w:rPr>
  </w:style>
  <w:style w:type="character" w:customStyle="1" w:styleId="279">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80">
    <w:name w:val="此正文 Char"/>
    <w:link w:val="281"/>
    <w:qFormat/>
    <w:uiPriority w:val="0"/>
    <w:rPr>
      <w:kern w:val="2"/>
      <w:sz w:val="24"/>
      <w:szCs w:val="24"/>
    </w:rPr>
  </w:style>
  <w:style w:type="paragraph" w:customStyle="1" w:styleId="281">
    <w:name w:val="此正文"/>
    <w:basedOn w:val="1"/>
    <w:link w:val="280"/>
    <w:qFormat/>
    <w:uiPriority w:val="0"/>
    <w:pPr>
      <w:adjustRightInd/>
      <w:spacing w:line="360" w:lineRule="auto"/>
      <w:ind w:firstLine="200" w:firstLineChars="200"/>
    </w:pPr>
    <w:rPr>
      <w:sz w:val="24"/>
    </w:rPr>
  </w:style>
  <w:style w:type="character" w:customStyle="1" w:styleId="282">
    <w:name w:val="Char Char2"/>
    <w:qFormat/>
    <w:uiPriority w:val="0"/>
    <w:rPr>
      <w:rFonts w:eastAsia="宋体"/>
      <w:b/>
      <w:bCs/>
      <w:kern w:val="2"/>
      <w:sz w:val="21"/>
      <w:szCs w:val="24"/>
      <w:lang w:val="en-US" w:eastAsia="zh-CN" w:bidi="ar-SA"/>
    </w:rPr>
  </w:style>
  <w:style w:type="character" w:customStyle="1" w:styleId="283">
    <w:name w:val="标题 1 Char"/>
    <w:link w:val="3"/>
    <w:qFormat/>
    <w:uiPriority w:val="9"/>
    <w:rPr>
      <w:b/>
      <w:bCs/>
      <w:kern w:val="44"/>
      <w:sz w:val="44"/>
      <w:szCs w:val="44"/>
    </w:rPr>
  </w:style>
  <w:style w:type="character" w:customStyle="1" w:styleId="284">
    <w:name w:val="Footer-Even Char1"/>
    <w:qFormat/>
    <w:uiPriority w:val="0"/>
    <w:rPr>
      <w:rFonts w:eastAsia="宋体"/>
      <w:kern w:val="2"/>
      <w:sz w:val="18"/>
      <w:szCs w:val="18"/>
      <w:lang w:val="en-US" w:eastAsia="zh-CN" w:bidi="ar-SA"/>
    </w:rPr>
  </w:style>
  <w:style w:type="character" w:customStyle="1" w:styleId="285">
    <w:name w:val="Char Char29"/>
    <w:qFormat/>
    <w:uiPriority w:val="6"/>
    <w:rPr>
      <w:rFonts w:ascii="Arial" w:hAnsi="Arial" w:eastAsia="微软雅黑"/>
      <w:b/>
      <w:kern w:val="1"/>
      <w:sz w:val="44"/>
      <w:szCs w:val="32"/>
      <w:lang w:val="en-US" w:eastAsia="zh-CN" w:bidi="ar-SA"/>
    </w:rPr>
  </w:style>
  <w:style w:type="character" w:customStyle="1" w:styleId="286">
    <w:name w:val="标题 Char2"/>
    <w:link w:val="60"/>
    <w:qFormat/>
    <w:uiPriority w:val="10"/>
    <w:rPr>
      <w:b/>
      <w:sz w:val="24"/>
      <w:lang w:val="en-GB"/>
    </w:rPr>
  </w:style>
  <w:style w:type="character" w:customStyle="1" w:styleId="287">
    <w:name w:val="font81"/>
    <w:qFormat/>
    <w:uiPriority w:val="0"/>
    <w:rPr>
      <w:rFonts w:ascii="微软雅黑" w:hAnsi="微软雅黑" w:eastAsia="微软雅黑" w:cs="微软雅黑"/>
      <w:color w:val="000000"/>
      <w:sz w:val="20"/>
      <w:szCs w:val="20"/>
      <w:u w:val="none"/>
    </w:rPr>
  </w:style>
  <w:style w:type="character" w:customStyle="1" w:styleId="288">
    <w:name w:val="Char Char312"/>
    <w:qFormat/>
    <w:uiPriority w:val="0"/>
    <w:rPr>
      <w:rFonts w:ascii="Times New Roman" w:hAnsi="Times New Roman" w:eastAsia="宋体" w:cs="Times New Roman"/>
      <w:b/>
      <w:kern w:val="2"/>
      <w:sz w:val="32"/>
      <w:szCs w:val="24"/>
      <w:lang w:val="en-US" w:eastAsia="zh-CN" w:bidi="ar-SA"/>
    </w:rPr>
  </w:style>
  <w:style w:type="character" w:customStyle="1" w:styleId="289">
    <w:name w:val="t21"/>
    <w:qFormat/>
    <w:uiPriority w:val="0"/>
    <w:rPr>
      <w:rFonts w:ascii="仿宋_GB2312" w:eastAsia="微软雅黑"/>
      <w:b/>
      <w:kern w:val="2"/>
      <w:sz w:val="23"/>
      <w:szCs w:val="23"/>
      <w:lang w:val="en-US" w:eastAsia="zh-CN" w:bidi="ar-SA"/>
    </w:rPr>
  </w:style>
  <w:style w:type="character" w:customStyle="1" w:styleId="290">
    <w:name w:val="样式8 Char"/>
    <w:qFormat/>
    <w:uiPriority w:val="0"/>
    <w:rPr>
      <w:rFonts w:ascii="仿宋_GB2312" w:hAnsi="宋体" w:eastAsia="仿宋_GB2312"/>
      <w:b/>
      <w:bCs/>
      <w:kern w:val="2"/>
      <w:sz w:val="24"/>
      <w:szCs w:val="24"/>
    </w:rPr>
  </w:style>
  <w:style w:type="character" w:customStyle="1" w:styleId="291">
    <w:name w:val="表格 Char Char"/>
    <w:qFormat/>
    <w:uiPriority w:val="0"/>
    <w:rPr>
      <w:rFonts w:ascii="宋体" w:hAnsi="宋体" w:eastAsia="宋体"/>
      <w:lang w:bidi="ar-SA"/>
    </w:rPr>
  </w:style>
  <w:style w:type="character" w:customStyle="1" w:styleId="292">
    <w:name w:val="正文文本 字符1"/>
    <w:qFormat/>
    <w:uiPriority w:val="0"/>
    <w:rPr>
      <w:rFonts w:ascii="Calibri" w:hAnsi="Calibri" w:eastAsia="黑体" w:cs="Arial"/>
      <w:snapToGrid w:val="0"/>
      <w:kern w:val="2"/>
      <w:sz w:val="28"/>
      <w:szCs w:val="21"/>
    </w:rPr>
  </w:style>
  <w:style w:type="character" w:customStyle="1" w:styleId="293">
    <w:name w:val="标题 5 Char"/>
    <w:link w:val="6"/>
    <w:qFormat/>
    <w:uiPriority w:val="9"/>
    <w:rPr>
      <w:b/>
      <w:bCs/>
      <w:kern w:val="2"/>
      <w:sz w:val="28"/>
      <w:szCs w:val="28"/>
    </w:rPr>
  </w:style>
  <w:style w:type="character" w:customStyle="1" w:styleId="294">
    <w:name w:val="标题 6 Char1"/>
    <w:qFormat/>
    <w:uiPriority w:val="0"/>
    <w:rPr>
      <w:rFonts w:ascii="Arial" w:hAnsi="Arial" w:eastAsia="黑体" w:cs="Times New Roman"/>
      <w:b/>
      <w:sz w:val="24"/>
      <w:szCs w:val="20"/>
      <w:lang w:bidi="ar-SA"/>
    </w:rPr>
  </w:style>
  <w:style w:type="character" w:customStyle="1" w:styleId="295">
    <w:name w:val="带编号样式 Char"/>
    <w:qFormat/>
    <w:uiPriority w:val="0"/>
    <w:rPr>
      <w:rFonts w:ascii="仿宋_GB2312" w:eastAsia="仿宋_GB2312"/>
      <w:color w:val="000000"/>
      <w:sz w:val="24"/>
      <w:lang w:bidi="ar-SA"/>
    </w:rPr>
  </w:style>
  <w:style w:type="character" w:customStyle="1" w:styleId="296">
    <w:name w:val="unnamed31"/>
    <w:qFormat/>
    <w:uiPriority w:val="0"/>
    <w:rPr>
      <w:rFonts w:ascii="Tahoma" w:hAnsi="Tahoma" w:eastAsia="宋体"/>
      <w:b/>
      <w:kern w:val="2"/>
      <w:sz w:val="24"/>
      <w:szCs w:val="32"/>
      <w:u w:val="none"/>
      <w:lang w:val="en-US" w:eastAsia="zh-CN" w:bidi="ar-SA"/>
    </w:rPr>
  </w:style>
  <w:style w:type="character" w:customStyle="1" w:styleId="297">
    <w:name w:val="正文首行缩进 Char Char Char Char Char Char1"/>
    <w:qFormat/>
    <w:uiPriority w:val="0"/>
    <w:rPr>
      <w:rFonts w:ascii="宋体" w:eastAsia="宋体"/>
      <w:kern w:val="2"/>
      <w:sz w:val="24"/>
      <w:szCs w:val="24"/>
      <w:lang w:val="zh-CN" w:bidi="ar-SA"/>
    </w:rPr>
  </w:style>
  <w:style w:type="character" w:customStyle="1" w:styleId="298">
    <w:name w:val="称呼 Char"/>
    <w:link w:val="20"/>
    <w:qFormat/>
    <w:uiPriority w:val="0"/>
    <w:rPr>
      <w:rFonts w:ascii="仿宋_GB2312" w:eastAsia="仿宋_GB2312"/>
      <w:kern w:val="2"/>
      <w:sz w:val="28"/>
    </w:rPr>
  </w:style>
  <w:style w:type="character" w:customStyle="1" w:styleId="299">
    <w:name w:val="文本正文 Char Char"/>
    <w:qFormat/>
    <w:uiPriority w:val="0"/>
    <w:rPr>
      <w:sz w:val="24"/>
      <w:lang w:bidi="ar-SA"/>
    </w:rPr>
  </w:style>
  <w:style w:type="character" w:customStyle="1" w:styleId="300">
    <w:name w:val="正文缩进 字符"/>
    <w:qFormat/>
    <w:uiPriority w:val="0"/>
    <w:rPr>
      <w:rFonts w:ascii="宋体" w:eastAsia="宋体"/>
      <w:snapToGrid w:val="0"/>
      <w:color w:val="000000"/>
      <w:kern w:val="28"/>
      <w:sz w:val="28"/>
      <w:lang w:val="en-US" w:eastAsia="zh-CN" w:bidi="ar-SA"/>
    </w:rPr>
  </w:style>
  <w:style w:type="character" w:customStyle="1" w:styleId="301">
    <w:name w:val="HTML 预设格式 Char"/>
    <w:link w:val="58"/>
    <w:qFormat/>
    <w:uiPriority w:val="0"/>
    <w:rPr>
      <w:rFonts w:ascii="黑体" w:hAnsi="Courier New" w:eastAsia="黑体"/>
    </w:rPr>
  </w:style>
  <w:style w:type="character" w:customStyle="1" w:styleId="302">
    <w:name w:val="正文文本 2 Char1"/>
    <w:link w:val="57"/>
    <w:qFormat/>
    <w:uiPriority w:val="0"/>
    <w:rPr>
      <w:kern w:val="2"/>
      <w:sz w:val="21"/>
      <w:szCs w:val="24"/>
    </w:rPr>
  </w:style>
  <w:style w:type="character" w:customStyle="1" w:styleId="303">
    <w:name w:val="样式 样式 标题 4h4H4Fab-4T5Ref Heading 1rh1Heading sqlsect 1.2.3.... +... Char"/>
    <w:link w:val="304"/>
    <w:qFormat/>
    <w:uiPriority w:val="0"/>
    <w:rPr>
      <w:rFonts w:ascii="微软雅黑" w:hAnsi="微软雅黑" w:eastAsia="微软雅黑"/>
      <w:b/>
      <w:bCs/>
      <w:kern w:val="2"/>
      <w:sz w:val="24"/>
      <w:szCs w:val="28"/>
    </w:rPr>
  </w:style>
  <w:style w:type="paragraph" w:customStyle="1" w:styleId="304">
    <w:name w:val="样式 样式 标题 4h4H4Fab-4T5Ref Heading 1rh1Heading sqlsect 1.2.3.... +..."/>
    <w:basedOn w:val="305"/>
    <w:link w:val="303"/>
    <w:qFormat/>
    <w:uiPriority w:val="0"/>
    <w:pPr>
      <w:tabs>
        <w:tab w:val="left" w:pos="2356"/>
      </w:tabs>
    </w:pPr>
  </w:style>
  <w:style w:type="paragraph" w:customStyle="1" w:styleId="305">
    <w:name w:val="样式 标题 4h4H4Fab-4T5Ref Heading 1rh1Heading sqlsect 1.2.3...."/>
    <w:basedOn w:val="5"/>
    <w:link w:val="413"/>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6">
    <w:name w:val="正文非缩进 Char"/>
    <w:qFormat/>
    <w:uiPriority w:val="0"/>
    <w:rPr>
      <w:rFonts w:ascii="宋体" w:eastAsia="宋体"/>
      <w:snapToGrid w:val="0"/>
      <w:color w:val="000000"/>
      <w:kern w:val="28"/>
      <w:sz w:val="28"/>
      <w:lang w:val="en-US" w:eastAsia="zh-CN" w:bidi="ar-SA"/>
    </w:rPr>
  </w:style>
  <w:style w:type="character" w:customStyle="1" w:styleId="307">
    <w:name w:val="标题 7 Char"/>
    <w:link w:val="8"/>
    <w:qFormat/>
    <w:uiPriority w:val="0"/>
    <w:rPr>
      <w:b/>
      <w:bCs/>
      <w:kern w:val="2"/>
      <w:sz w:val="24"/>
      <w:szCs w:val="24"/>
    </w:rPr>
  </w:style>
  <w:style w:type="character" w:customStyle="1" w:styleId="308">
    <w:name w:val="正文文本缩进 2 Char"/>
    <w:link w:val="38"/>
    <w:qFormat/>
    <w:uiPriority w:val="0"/>
    <w:rPr>
      <w:rFonts w:ascii="宋体"/>
      <w:sz w:val="28"/>
    </w:rPr>
  </w:style>
  <w:style w:type="character" w:customStyle="1" w:styleId="309">
    <w:name w:val="Char Char5"/>
    <w:qFormat/>
    <w:uiPriority w:val="0"/>
    <w:rPr>
      <w:rFonts w:ascii="宋体" w:hAnsi="Courier New" w:eastAsia="宋体"/>
      <w:kern w:val="2"/>
      <w:sz w:val="21"/>
      <w:lang w:val="en-US" w:eastAsia="zh-CN"/>
    </w:rPr>
  </w:style>
  <w:style w:type="character" w:customStyle="1" w:styleId="310">
    <w:name w:val="脚注文本 Char"/>
    <w:link w:val="51"/>
    <w:qFormat/>
    <w:uiPriority w:val="0"/>
    <w:rPr>
      <w:color w:val="0000FF"/>
      <w:sz w:val="21"/>
    </w:rPr>
  </w:style>
  <w:style w:type="character" w:customStyle="1" w:styleId="311">
    <w:name w:val="称呼 Char1"/>
    <w:qFormat/>
    <w:uiPriority w:val="0"/>
    <w:rPr>
      <w:rFonts w:ascii="Times New Roman" w:hAnsi="Times New Roman" w:eastAsia="宋体" w:cs="Times New Roman"/>
      <w:szCs w:val="24"/>
    </w:rPr>
  </w:style>
  <w:style w:type="character" w:customStyle="1" w:styleId="312">
    <w:name w:val="正文1 Char"/>
    <w:qFormat/>
    <w:uiPriority w:val="0"/>
    <w:rPr>
      <w:rFonts w:ascii="宋体" w:eastAsia="宋体"/>
      <w:snapToGrid w:val="0"/>
      <w:color w:val="000000"/>
      <w:kern w:val="28"/>
      <w:sz w:val="28"/>
      <w:lang w:val="en-US" w:eastAsia="zh-CN" w:bidi="ar-SA"/>
    </w:rPr>
  </w:style>
  <w:style w:type="character" w:customStyle="1" w:styleId="313">
    <w:name w:val="正文缩进 Char1"/>
    <w:qFormat/>
    <w:uiPriority w:val="0"/>
    <w:rPr>
      <w:rFonts w:ascii="宋体" w:eastAsia="宋体"/>
      <w:snapToGrid w:val="0"/>
      <w:color w:val="000000"/>
      <w:kern w:val="28"/>
      <w:sz w:val="28"/>
      <w:lang w:val="en-US" w:eastAsia="zh-CN" w:bidi="ar-SA"/>
    </w:rPr>
  </w:style>
  <w:style w:type="character" w:customStyle="1" w:styleId="314">
    <w:name w:val="font21"/>
    <w:qFormat/>
    <w:uiPriority w:val="0"/>
    <w:rPr>
      <w:rFonts w:hint="eastAsia" w:ascii="宋体" w:hAnsi="宋体" w:eastAsia="宋体"/>
      <w:kern w:val="2"/>
      <w:sz w:val="28"/>
      <w:szCs w:val="28"/>
      <w:lang w:val="en-US" w:eastAsia="zh-CN" w:bidi="ar-SA"/>
    </w:rPr>
  </w:style>
  <w:style w:type="character" w:customStyle="1" w:styleId="315">
    <w:name w:val="Char Char26"/>
    <w:qFormat/>
    <w:uiPriority w:val="6"/>
    <w:rPr>
      <w:kern w:val="1"/>
      <w:sz w:val="21"/>
      <w:szCs w:val="24"/>
    </w:rPr>
  </w:style>
  <w:style w:type="character" w:customStyle="1" w:styleId="316">
    <w:name w:val="Item List Char"/>
    <w:link w:val="317"/>
    <w:qFormat/>
    <w:uiPriority w:val="0"/>
    <w:rPr>
      <w:rFonts w:ascii="Arial"/>
      <w:bCs/>
      <w:sz w:val="21"/>
      <w:szCs w:val="21"/>
      <w:lang w:val="en-US" w:eastAsia="zh-CN" w:bidi="ar-SA"/>
    </w:rPr>
  </w:style>
  <w:style w:type="paragraph" w:customStyle="1" w:styleId="317">
    <w:name w:val="Item List"/>
    <w:link w:val="316"/>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8">
    <w:name w:val="批注框文本 Char1"/>
    <w:qFormat/>
    <w:uiPriority w:val="0"/>
    <w:rPr>
      <w:rFonts w:ascii="Times New Roman" w:hAnsi="Times New Roman" w:eastAsia="宋体" w:cs="Times New Roman"/>
      <w:sz w:val="18"/>
      <w:szCs w:val="18"/>
    </w:rPr>
  </w:style>
  <w:style w:type="character" w:customStyle="1" w:styleId="319">
    <w:name w:val="纯文本 Char1"/>
    <w:link w:val="320"/>
    <w:qFormat/>
    <w:uiPriority w:val="0"/>
    <w:rPr>
      <w:rFonts w:ascii="宋体" w:hAnsi="Courier New"/>
    </w:rPr>
  </w:style>
  <w:style w:type="paragraph" w:customStyle="1" w:styleId="320">
    <w:name w:val="纯文本1"/>
    <w:basedOn w:val="1"/>
    <w:link w:val="319"/>
    <w:qFormat/>
    <w:uiPriority w:val="0"/>
    <w:pPr>
      <w:adjustRightInd/>
    </w:pPr>
    <w:rPr>
      <w:rFonts w:ascii="宋体" w:hAnsi="Courier New"/>
      <w:kern w:val="0"/>
      <w:sz w:val="20"/>
      <w:szCs w:val="20"/>
    </w:rPr>
  </w:style>
  <w:style w:type="character" w:customStyle="1" w:styleId="321">
    <w:name w:val="正文首行缩进 Char"/>
    <w:link w:val="62"/>
    <w:qFormat/>
    <w:uiPriority w:val="0"/>
    <w:rPr>
      <w:rFonts w:ascii="宋体"/>
      <w:kern w:val="2"/>
      <w:sz w:val="24"/>
      <w:lang w:val="zh-CN"/>
    </w:rPr>
  </w:style>
  <w:style w:type="character" w:customStyle="1" w:styleId="322">
    <w:name w:val="h3 Char"/>
    <w:qFormat/>
    <w:uiPriority w:val="0"/>
    <w:rPr>
      <w:rFonts w:eastAsia="宋体"/>
      <w:b/>
      <w:kern w:val="2"/>
      <w:sz w:val="32"/>
      <w:lang w:val="en-US" w:eastAsia="zh-CN" w:bidi="ar-SA"/>
    </w:rPr>
  </w:style>
  <w:style w:type="character" w:customStyle="1" w:styleId="323">
    <w:name w:val="dandyren_title1"/>
    <w:qFormat/>
    <w:uiPriority w:val="0"/>
    <w:rPr>
      <w:b/>
      <w:bCs/>
      <w:color w:val="FF6633"/>
      <w:sz w:val="18"/>
      <w:szCs w:val="18"/>
    </w:rPr>
  </w:style>
  <w:style w:type="character" w:customStyle="1" w:styleId="324">
    <w:name w:val="Char Char31"/>
    <w:qFormat/>
    <w:uiPriority w:val="6"/>
    <w:rPr>
      <w:rFonts w:ascii="Arial" w:hAnsi="Arial" w:eastAsia="黑体"/>
      <w:kern w:val="1"/>
      <w:sz w:val="24"/>
      <w:szCs w:val="24"/>
    </w:rPr>
  </w:style>
  <w:style w:type="character" w:customStyle="1" w:styleId="325">
    <w:name w:val="h Char1"/>
    <w:qFormat/>
    <w:uiPriority w:val="0"/>
    <w:rPr>
      <w:sz w:val="18"/>
      <w:szCs w:val="18"/>
    </w:rPr>
  </w:style>
  <w:style w:type="character" w:customStyle="1" w:styleId="326">
    <w:name w:val="solutionfonts"/>
    <w:qFormat/>
    <w:uiPriority w:val="0"/>
  </w:style>
  <w:style w:type="character" w:customStyle="1" w:styleId="327">
    <w:name w:val="标题 4 Char2"/>
    <w:link w:val="5"/>
    <w:qFormat/>
    <w:uiPriority w:val="9"/>
    <w:rPr>
      <w:rFonts w:ascii="Arial" w:hAnsi="Arial" w:eastAsia="黑体"/>
      <w:b/>
      <w:bCs/>
      <w:kern w:val="2"/>
      <w:sz w:val="28"/>
      <w:szCs w:val="28"/>
      <w:lang w:val="zh-CN"/>
    </w:rPr>
  </w:style>
  <w:style w:type="character" w:customStyle="1" w:styleId="328">
    <w:name w:val="首行缩进 Char"/>
    <w:qFormat/>
    <w:uiPriority w:val="0"/>
    <w:rPr>
      <w:rFonts w:ascii="宋体" w:eastAsia="宋体"/>
      <w:kern w:val="2"/>
      <w:sz w:val="24"/>
      <w:lang w:val="en-US" w:eastAsia="zh-CN" w:bidi="ar-SA"/>
    </w:rPr>
  </w:style>
  <w:style w:type="character" w:customStyle="1" w:styleId="329">
    <w:name w:val="Char Char52"/>
    <w:qFormat/>
    <w:uiPriority w:val="0"/>
    <w:rPr>
      <w:rFonts w:ascii="宋体" w:hAnsi="Courier New" w:eastAsia="宋体"/>
      <w:kern w:val="2"/>
      <w:sz w:val="21"/>
      <w:lang w:val="en-US" w:eastAsia="zh-CN"/>
    </w:rPr>
  </w:style>
  <w:style w:type="character" w:customStyle="1" w:styleId="330">
    <w:name w:val="正文文本 3 Char"/>
    <w:link w:val="21"/>
    <w:qFormat/>
    <w:uiPriority w:val="0"/>
    <w:rPr>
      <w:kern w:val="2"/>
      <w:sz w:val="21"/>
    </w:rPr>
  </w:style>
  <w:style w:type="character" w:customStyle="1" w:styleId="331">
    <w:name w:val="font31"/>
    <w:qFormat/>
    <w:uiPriority w:val="0"/>
    <w:rPr>
      <w:rFonts w:hint="eastAsia" w:ascii="仿宋" w:hAnsi="仿宋" w:eastAsia="仿宋" w:cs="仿宋"/>
      <w:color w:val="000000"/>
      <w:sz w:val="20"/>
      <w:szCs w:val="20"/>
      <w:u w:val="none"/>
    </w:rPr>
  </w:style>
  <w:style w:type="character" w:customStyle="1" w:styleId="332">
    <w:name w:val="正文说明 Char"/>
    <w:link w:val="333"/>
    <w:qFormat/>
    <w:uiPriority w:val="0"/>
    <w:rPr>
      <w:sz w:val="24"/>
      <w:szCs w:val="24"/>
    </w:rPr>
  </w:style>
  <w:style w:type="paragraph" w:customStyle="1" w:styleId="333">
    <w:name w:val="正文说明"/>
    <w:basedOn w:val="1"/>
    <w:link w:val="332"/>
    <w:qFormat/>
    <w:uiPriority w:val="0"/>
    <w:pPr>
      <w:adjustRightInd/>
      <w:spacing w:line="360" w:lineRule="auto"/>
    </w:pPr>
    <w:rPr>
      <w:kern w:val="0"/>
      <w:sz w:val="24"/>
    </w:rPr>
  </w:style>
  <w:style w:type="character" w:customStyle="1" w:styleId="334">
    <w:name w:val="脚注文本 Char1"/>
    <w:qFormat/>
    <w:uiPriority w:val="0"/>
    <w:rPr>
      <w:rFonts w:ascii="Times New Roman" w:hAnsi="Times New Roman" w:eastAsia="宋体" w:cs="Times New Roman"/>
      <w:sz w:val="18"/>
      <w:szCs w:val="18"/>
    </w:rPr>
  </w:style>
  <w:style w:type="character" w:customStyle="1" w:styleId="335">
    <w:name w:val="Char Char1211"/>
    <w:qFormat/>
    <w:uiPriority w:val="0"/>
    <w:rPr>
      <w:rFonts w:ascii="仿宋_GB2312" w:eastAsia="仿宋_GB2312"/>
      <w:b/>
      <w:bCs/>
      <w:kern w:val="2"/>
      <w:sz w:val="24"/>
      <w:szCs w:val="24"/>
      <w:lang w:val="zh-CN" w:eastAsia="zh-CN" w:bidi="ar-SA"/>
    </w:rPr>
  </w:style>
  <w:style w:type="character" w:customStyle="1" w:styleId="336">
    <w:name w:val="标题 Char"/>
    <w:qFormat/>
    <w:uiPriority w:val="0"/>
    <w:rPr>
      <w:rFonts w:eastAsia="宋体"/>
      <w:b/>
      <w:sz w:val="24"/>
      <w:lang w:val="en-GB" w:eastAsia="zh-CN" w:bidi="ar-SA"/>
    </w:rPr>
  </w:style>
  <w:style w:type="character" w:customStyle="1" w:styleId="337">
    <w:name w:val="Char Char35"/>
    <w:qFormat/>
    <w:uiPriority w:val="6"/>
    <w:rPr>
      <w:rFonts w:ascii="Arial" w:hAnsi="Arial" w:eastAsia="黑体"/>
      <w:b/>
      <w:kern w:val="1"/>
      <w:sz w:val="28"/>
      <w:szCs w:val="28"/>
      <w:lang w:val="zh-CN"/>
    </w:rPr>
  </w:style>
  <w:style w:type="character" w:customStyle="1" w:styleId="338">
    <w:name w:val="纯文本 Char Char Char"/>
    <w:qFormat/>
    <w:uiPriority w:val="0"/>
    <w:rPr>
      <w:rFonts w:ascii="宋体" w:hAnsi="Courier New" w:eastAsia="宋体"/>
      <w:kern w:val="2"/>
      <w:sz w:val="21"/>
      <w:lang w:val="en-US" w:eastAsia="zh-CN" w:bidi="ar-SA"/>
    </w:rPr>
  </w:style>
  <w:style w:type="character" w:customStyle="1" w:styleId="339">
    <w:name w:val="Table Text Char"/>
    <w:link w:val="340"/>
    <w:qFormat/>
    <w:uiPriority w:val="0"/>
    <w:rPr>
      <w:sz w:val="24"/>
      <w:szCs w:val="24"/>
    </w:rPr>
  </w:style>
  <w:style w:type="paragraph" w:customStyle="1" w:styleId="340">
    <w:name w:val="Table Text"/>
    <w:basedOn w:val="1"/>
    <w:link w:val="339"/>
    <w:qFormat/>
    <w:uiPriority w:val="0"/>
    <w:pPr>
      <w:widowControl/>
      <w:spacing w:before="60" w:after="60"/>
      <w:jc w:val="left"/>
    </w:pPr>
    <w:rPr>
      <w:kern w:val="0"/>
      <w:sz w:val="24"/>
    </w:rPr>
  </w:style>
  <w:style w:type="character" w:customStyle="1" w:styleId="341">
    <w:name w:val="正文1 Char1"/>
    <w:qFormat/>
    <w:uiPriority w:val="0"/>
    <w:rPr>
      <w:rFonts w:ascii="仿宋_GB2312" w:hAnsi="Courier New" w:eastAsia="仿宋_GB2312"/>
      <w:kern w:val="28"/>
      <w:sz w:val="24"/>
      <w:szCs w:val="24"/>
      <w:lang w:val="en-US" w:eastAsia="zh-CN"/>
    </w:rPr>
  </w:style>
  <w:style w:type="character" w:customStyle="1" w:styleId="342">
    <w:name w:val="页脚 Char1"/>
    <w:qFormat/>
    <w:uiPriority w:val="0"/>
    <w:rPr>
      <w:rFonts w:eastAsia="宋体"/>
      <w:kern w:val="2"/>
      <w:sz w:val="18"/>
      <w:szCs w:val="18"/>
      <w:lang w:val="en-US" w:eastAsia="zh-CN" w:bidi="ar-SA"/>
    </w:rPr>
  </w:style>
  <w:style w:type="character" w:customStyle="1" w:styleId="343">
    <w:name w:val="Bold"/>
    <w:qFormat/>
    <w:uiPriority w:val="0"/>
    <w:rPr>
      <w:rFonts w:ascii="Arial" w:hAnsi="Arial" w:eastAsia="黑体" w:cs="Times New Roman"/>
      <w:b/>
      <w:kern w:val="2"/>
      <w:sz w:val="32"/>
      <w:szCs w:val="32"/>
      <w:lang w:val="en-US" w:eastAsia="zh-CN" w:bidi="ar-SA"/>
    </w:rPr>
  </w:style>
  <w:style w:type="character" w:customStyle="1" w:styleId="344">
    <w:name w:val="批注文字 Char1"/>
    <w:link w:val="19"/>
    <w:qFormat/>
    <w:uiPriority w:val="0"/>
    <w:rPr>
      <w:kern w:val="2"/>
      <w:sz w:val="21"/>
      <w:szCs w:val="24"/>
    </w:rPr>
  </w:style>
  <w:style w:type="character" w:customStyle="1" w:styleId="345">
    <w:name w:val="签名 Char"/>
    <w:link w:val="43"/>
    <w:qFormat/>
    <w:uiPriority w:val="0"/>
    <w:rPr>
      <w:rFonts w:eastAsia="仿宋_GB2312"/>
      <w:sz w:val="24"/>
    </w:rPr>
  </w:style>
  <w:style w:type="character" w:customStyle="1" w:styleId="346">
    <w:name w:val="hui3"/>
    <w:qFormat/>
    <w:uiPriority w:val="0"/>
    <w:rPr>
      <w:color w:val="333333"/>
    </w:rPr>
  </w:style>
  <w:style w:type="character" w:customStyle="1" w:styleId="347">
    <w:name w:val="Char Char17"/>
    <w:qFormat/>
    <w:uiPriority w:val="6"/>
    <w:rPr>
      <w:rFonts w:eastAsia="仿宋_GB2312"/>
      <w:sz w:val="24"/>
    </w:rPr>
  </w:style>
  <w:style w:type="character" w:customStyle="1" w:styleId="348">
    <w:name w:val="标题 4 字符"/>
    <w:qFormat/>
    <w:uiPriority w:val="9"/>
    <w:rPr>
      <w:rFonts w:ascii="等线 Light" w:hAnsi="等线 Light" w:eastAsia="等线 Light" w:cs="Times New Roman"/>
      <w:b/>
      <w:bCs/>
      <w:snapToGrid w:val="0"/>
      <w:kern w:val="0"/>
      <w:sz w:val="28"/>
      <w:szCs w:val="28"/>
    </w:rPr>
  </w:style>
  <w:style w:type="character" w:customStyle="1" w:styleId="349">
    <w:name w:val="Char Char37"/>
    <w:qFormat/>
    <w:uiPriority w:val="6"/>
    <w:rPr>
      <w:b/>
      <w:kern w:val="1"/>
      <w:sz w:val="44"/>
      <w:szCs w:val="44"/>
    </w:rPr>
  </w:style>
  <w:style w:type="character" w:customStyle="1" w:styleId="350">
    <w:name w:val="列出段落 Char"/>
    <w:qFormat/>
    <w:uiPriority w:val="0"/>
    <w:rPr>
      <w:rFonts w:eastAsia="楷体_GB2312" w:cs="Lucida Sans"/>
      <w:kern w:val="2"/>
      <w:sz w:val="24"/>
      <w:szCs w:val="24"/>
      <w:lang w:val="en-US" w:eastAsia="zh-CN" w:bidi="ar-SA"/>
    </w:rPr>
  </w:style>
  <w:style w:type="character" w:customStyle="1" w:styleId="351">
    <w:name w:val="正文文本缩进 3 Char1"/>
    <w:qFormat/>
    <w:uiPriority w:val="99"/>
    <w:rPr>
      <w:rFonts w:ascii="Times New Roman" w:hAnsi="Times New Roman" w:eastAsia="宋体" w:cs="Times New Roman"/>
      <w:sz w:val="16"/>
      <w:szCs w:val="16"/>
    </w:rPr>
  </w:style>
  <w:style w:type="character" w:customStyle="1" w:styleId="352">
    <w:name w:val="公文正文 Char Char"/>
    <w:link w:val="353"/>
    <w:qFormat/>
    <w:uiPriority w:val="0"/>
    <w:rPr>
      <w:rFonts w:ascii="仿宋_GB2312" w:eastAsia="仿宋_GB2312"/>
      <w:kern w:val="2"/>
      <w:sz w:val="24"/>
      <w:szCs w:val="24"/>
    </w:rPr>
  </w:style>
  <w:style w:type="paragraph" w:customStyle="1" w:styleId="353">
    <w:name w:val="公文正文"/>
    <w:basedOn w:val="1"/>
    <w:link w:val="352"/>
    <w:qFormat/>
    <w:uiPriority w:val="0"/>
    <w:pPr>
      <w:adjustRightInd/>
      <w:spacing w:before="156" w:line="360" w:lineRule="auto"/>
      <w:ind w:firstLine="360" w:firstLineChars="200"/>
    </w:pPr>
    <w:rPr>
      <w:rFonts w:ascii="仿宋_GB2312" w:eastAsia="仿宋_GB2312"/>
      <w:sz w:val="24"/>
    </w:rPr>
  </w:style>
  <w:style w:type="character" w:customStyle="1" w:styleId="354">
    <w:name w:val="Table Text Char1"/>
    <w:qFormat/>
    <w:uiPriority w:val="0"/>
    <w:rPr>
      <w:rFonts w:eastAsia="宋体"/>
      <w:sz w:val="24"/>
      <w:szCs w:val="24"/>
      <w:lang w:val="en-US" w:eastAsia="zh-CN" w:bidi="ar-SA"/>
    </w:rPr>
  </w:style>
  <w:style w:type="character" w:customStyle="1" w:styleId="355">
    <w:name w:val="标题 1 Char Char"/>
    <w:qFormat/>
    <w:uiPriority w:val="0"/>
    <w:rPr>
      <w:rFonts w:hint="eastAsia" w:ascii="宋体" w:hAnsi="宋体" w:eastAsia="宋体"/>
      <w:b/>
      <w:spacing w:val="-2"/>
      <w:sz w:val="24"/>
      <w:lang w:val="en-US" w:eastAsia="zh-CN" w:bidi="ar-SA"/>
    </w:rPr>
  </w:style>
  <w:style w:type="character" w:customStyle="1" w:styleId="356">
    <w:name w:val="正文（缩进2汉字） Char"/>
    <w:link w:val="357"/>
    <w:qFormat/>
    <w:uiPriority w:val="0"/>
    <w:rPr>
      <w:rFonts w:ascii="宋体"/>
    </w:rPr>
  </w:style>
  <w:style w:type="paragraph" w:customStyle="1" w:styleId="357">
    <w:name w:val="正文（缩进2汉字）"/>
    <w:basedOn w:val="1"/>
    <w:link w:val="356"/>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8">
    <w:name w:val="标题 8 Char"/>
    <w:link w:val="9"/>
    <w:qFormat/>
    <w:uiPriority w:val="0"/>
    <w:rPr>
      <w:rFonts w:ascii="Arial" w:hAnsi="Arial" w:eastAsia="黑体"/>
      <w:kern w:val="2"/>
      <w:sz w:val="24"/>
      <w:szCs w:val="24"/>
    </w:rPr>
  </w:style>
  <w:style w:type="character" w:customStyle="1" w:styleId="359">
    <w:name w:val="标书表格字体格式 Char"/>
    <w:qFormat/>
    <w:uiPriority w:val="0"/>
    <w:rPr>
      <w:kern w:val="2"/>
      <w:sz w:val="21"/>
      <w:szCs w:val="24"/>
      <w:lang w:bidi="ar-SA"/>
    </w:rPr>
  </w:style>
  <w:style w:type="character" w:customStyle="1" w:styleId="360">
    <w:name w:val="tw4winError"/>
    <w:qFormat/>
    <w:uiPriority w:val="0"/>
    <w:rPr>
      <w:rFonts w:ascii="Courier New" w:hAnsi="Courier New" w:cs="Courier New"/>
      <w:color w:val="00FF00"/>
      <w:sz w:val="40"/>
      <w:szCs w:val="40"/>
    </w:rPr>
  </w:style>
  <w:style w:type="character" w:customStyle="1" w:styleId="361">
    <w:name w:val="Body Text(ch) Char Char"/>
    <w:qFormat/>
    <w:uiPriority w:val="0"/>
    <w:rPr>
      <w:rFonts w:ascii="宋体"/>
      <w:kern w:val="2"/>
      <w:sz w:val="24"/>
      <w:szCs w:val="21"/>
      <w:lang w:val="zh-CN"/>
    </w:rPr>
  </w:style>
  <w:style w:type="character" w:customStyle="1" w:styleId="362">
    <w:name w:val="正文首行缩进两字 Char"/>
    <w:qFormat/>
    <w:uiPriority w:val="0"/>
    <w:rPr>
      <w:sz w:val="24"/>
      <w:szCs w:val="24"/>
      <w:lang w:val="en-US" w:eastAsia="zh-CN" w:bidi="ar-SA"/>
    </w:rPr>
  </w:style>
  <w:style w:type="character" w:customStyle="1" w:styleId="363">
    <w:name w:val="正文文本 Char"/>
    <w:qFormat/>
    <w:uiPriority w:val="0"/>
    <w:rPr>
      <w:rFonts w:eastAsia="宋体"/>
      <w:kern w:val="2"/>
      <w:sz w:val="24"/>
      <w:szCs w:val="24"/>
      <w:lang w:val="en-US" w:eastAsia="zh-CN" w:bidi="ar-SA"/>
    </w:rPr>
  </w:style>
  <w:style w:type="character" w:customStyle="1" w:styleId="364">
    <w:name w:val="文档结构图 字符1"/>
    <w:qFormat/>
    <w:uiPriority w:val="0"/>
    <w:rPr>
      <w:rFonts w:ascii="宋体" w:hAnsi="Calibri" w:eastAsia="黑体" w:cs="Arial"/>
      <w:snapToGrid w:val="0"/>
      <w:kern w:val="2"/>
      <w:sz w:val="18"/>
      <w:szCs w:val="18"/>
    </w:rPr>
  </w:style>
  <w:style w:type="character" w:customStyle="1" w:styleId="365">
    <w:name w:val="content"/>
    <w:qFormat/>
    <w:uiPriority w:val="0"/>
  </w:style>
  <w:style w:type="character" w:customStyle="1" w:styleId="366">
    <w:name w:val="tw4winPopup"/>
    <w:qFormat/>
    <w:uiPriority w:val="0"/>
    <w:rPr>
      <w:rFonts w:ascii="Courier New" w:hAnsi="Courier New" w:cs="Courier New"/>
      <w:color w:val="008000"/>
      <w:lang w:val="en-US" w:eastAsia="zh-CN"/>
    </w:rPr>
  </w:style>
  <w:style w:type="character" w:customStyle="1" w:styleId="367">
    <w:name w:val="param-name"/>
    <w:qFormat/>
    <w:uiPriority w:val="99"/>
    <w:rPr>
      <w:rFonts w:ascii="Arial" w:hAnsi="Arial" w:eastAsia="黑体" w:cs="Arial"/>
      <w:snapToGrid w:val="0"/>
      <w:kern w:val="0"/>
      <w:szCs w:val="21"/>
    </w:rPr>
  </w:style>
  <w:style w:type="character" w:customStyle="1" w:styleId="368">
    <w:name w:val="标准正文格式 Char"/>
    <w:qFormat/>
    <w:uiPriority w:val="0"/>
    <w:rPr>
      <w:rFonts w:ascii="宋体" w:eastAsia="仿宋_GB2312" w:cs="宋体"/>
      <w:color w:val="000000"/>
      <w:sz w:val="24"/>
      <w:lang w:val="en-US" w:eastAsia="zh-CN" w:bidi="ar-SA"/>
    </w:rPr>
  </w:style>
  <w:style w:type="character" w:customStyle="1" w:styleId="369">
    <w:name w:val="Char Char212"/>
    <w:qFormat/>
    <w:uiPriority w:val="0"/>
    <w:rPr>
      <w:rFonts w:eastAsia="宋体"/>
      <w:b/>
      <w:bCs/>
      <w:kern w:val="2"/>
      <w:sz w:val="21"/>
      <w:szCs w:val="24"/>
      <w:lang w:val="en-US" w:eastAsia="zh-CN" w:bidi="ar-SA"/>
    </w:rPr>
  </w:style>
  <w:style w:type="character" w:customStyle="1" w:styleId="370">
    <w:name w:val="文档结构图 Char"/>
    <w:qFormat/>
    <w:uiPriority w:val="0"/>
    <w:rPr>
      <w:rFonts w:eastAsia="宋体"/>
      <w:kern w:val="2"/>
      <w:sz w:val="21"/>
      <w:szCs w:val="24"/>
      <w:lang w:val="en-US" w:eastAsia="zh-CN" w:bidi="ar-SA"/>
    </w:rPr>
  </w:style>
  <w:style w:type="character" w:customStyle="1" w:styleId="371">
    <w:name w:val="zbggmain style9"/>
    <w:qFormat/>
    <w:uiPriority w:val="0"/>
  </w:style>
  <w:style w:type="character" w:customStyle="1" w:styleId="372">
    <w:name w:val="Char Char16"/>
    <w:qFormat/>
    <w:uiPriority w:val="6"/>
    <w:rPr>
      <w:kern w:val="1"/>
      <w:sz w:val="18"/>
      <w:szCs w:val="18"/>
    </w:rPr>
  </w:style>
  <w:style w:type="character" w:customStyle="1" w:styleId="373">
    <w:name w:val="font51"/>
    <w:qFormat/>
    <w:uiPriority w:val="0"/>
    <w:rPr>
      <w:rFonts w:hint="eastAsia" w:ascii="仿宋" w:hAnsi="仿宋" w:eastAsia="仿宋" w:cs="仿宋"/>
      <w:color w:val="000000"/>
      <w:sz w:val="20"/>
      <w:szCs w:val="20"/>
      <w:u w:val="none"/>
    </w:rPr>
  </w:style>
  <w:style w:type="character" w:customStyle="1" w:styleId="374">
    <w:name w:val="Char Char82"/>
    <w:qFormat/>
    <w:uiPriority w:val="0"/>
    <w:rPr>
      <w:rFonts w:eastAsia="宋体"/>
      <w:b/>
      <w:sz w:val="24"/>
      <w:lang w:val="en-GB" w:eastAsia="zh-CN"/>
    </w:rPr>
  </w:style>
  <w:style w:type="character" w:customStyle="1" w:styleId="375">
    <w:name w:val="正文文本缩进 3 Char"/>
    <w:link w:val="54"/>
    <w:qFormat/>
    <w:uiPriority w:val="0"/>
    <w:rPr>
      <w:kern w:val="2"/>
      <w:sz w:val="24"/>
    </w:rPr>
  </w:style>
  <w:style w:type="character" w:customStyle="1" w:styleId="376">
    <w:name w:val="日期 Char1"/>
    <w:qFormat/>
    <w:uiPriority w:val="99"/>
    <w:rPr>
      <w:rFonts w:ascii="Times New Roman" w:hAnsi="Times New Roman" w:eastAsia="宋体" w:cs="Times New Roman"/>
      <w:szCs w:val="24"/>
    </w:rPr>
  </w:style>
  <w:style w:type="character" w:customStyle="1" w:styleId="377">
    <w:name w:val="页眉 字符"/>
    <w:qFormat/>
    <w:uiPriority w:val="99"/>
    <w:rPr>
      <w:kern w:val="2"/>
      <w:sz w:val="18"/>
      <w:szCs w:val="18"/>
    </w:rPr>
  </w:style>
  <w:style w:type="character" w:customStyle="1" w:styleId="378">
    <w:name w:val="Char Char33"/>
    <w:qFormat/>
    <w:uiPriority w:val="6"/>
    <w:rPr>
      <w:rFonts w:ascii="Arial" w:hAnsi="Arial" w:eastAsia="黑体"/>
      <w:b/>
      <w:kern w:val="1"/>
      <w:sz w:val="24"/>
      <w:szCs w:val="24"/>
    </w:rPr>
  </w:style>
  <w:style w:type="character" w:customStyle="1" w:styleId="379">
    <w:name w:val="b11_01b Char"/>
    <w:link w:val="380"/>
    <w:qFormat/>
    <w:uiPriority w:val="0"/>
    <w:rPr>
      <w:rFonts w:ascii="Verdana" w:hAnsi="Verdana"/>
      <w:b/>
      <w:bCs/>
      <w:color w:val="4A82CA"/>
      <w:sz w:val="17"/>
      <w:szCs w:val="17"/>
    </w:rPr>
  </w:style>
  <w:style w:type="paragraph" w:customStyle="1" w:styleId="380">
    <w:name w:val="b11_01b"/>
    <w:basedOn w:val="1"/>
    <w:next w:val="1"/>
    <w:link w:val="379"/>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1">
    <w:name w:val="Char Char121"/>
    <w:qFormat/>
    <w:uiPriority w:val="6"/>
    <w:rPr>
      <w:rFonts w:ascii="仿宋_GB2312" w:eastAsia="仿宋_GB2312"/>
      <w:b/>
      <w:bCs/>
      <w:kern w:val="2"/>
      <w:sz w:val="24"/>
      <w:szCs w:val="24"/>
      <w:lang w:val="zh-CN" w:eastAsia="zh-CN" w:bidi="ar-SA"/>
    </w:rPr>
  </w:style>
  <w:style w:type="character" w:customStyle="1" w:styleId="382">
    <w:name w:val="Footer-Even Char"/>
    <w:qFormat/>
    <w:uiPriority w:val="0"/>
    <w:rPr>
      <w:rFonts w:eastAsia="宋体"/>
      <w:kern w:val="2"/>
      <w:sz w:val="18"/>
      <w:lang w:val="en-US" w:eastAsia="zh-CN" w:bidi="ar-SA"/>
    </w:rPr>
  </w:style>
  <w:style w:type="character" w:customStyle="1" w:styleId="383">
    <w:name w:val="页脚 Char2"/>
    <w:link w:val="41"/>
    <w:qFormat/>
    <w:uiPriority w:val="99"/>
    <w:rPr>
      <w:kern w:val="2"/>
      <w:sz w:val="18"/>
      <w:szCs w:val="18"/>
    </w:rPr>
  </w:style>
  <w:style w:type="character" w:customStyle="1" w:styleId="384">
    <w:name w:val="Char Char36"/>
    <w:qFormat/>
    <w:uiPriority w:val="6"/>
    <w:rPr>
      <w:rFonts w:ascii="仿宋_GB2312" w:hAnsi="仿宋_GB2312" w:eastAsia="仿宋_GB2312" w:cs="Arial"/>
      <w:b/>
      <w:kern w:val="1"/>
      <w:sz w:val="32"/>
      <w:szCs w:val="32"/>
      <w:lang w:val="zh-CN" w:eastAsia="zh-CN" w:bidi="ar-SA"/>
    </w:rPr>
  </w:style>
  <w:style w:type="character" w:customStyle="1" w:styleId="385">
    <w:name w:val="Char Char61"/>
    <w:qFormat/>
    <w:uiPriority w:val="6"/>
    <w:rPr>
      <w:rFonts w:eastAsia="宋体"/>
      <w:kern w:val="2"/>
      <w:sz w:val="21"/>
      <w:szCs w:val="24"/>
      <w:lang w:val="en-US" w:eastAsia="zh-CN" w:bidi="ar-SA"/>
    </w:rPr>
  </w:style>
  <w:style w:type="character" w:customStyle="1" w:styleId="386">
    <w:name w:val="正文文字缩进 2 Char Char"/>
    <w:qFormat/>
    <w:uiPriority w:val="0"/>
    <w:rPr>
      <w:rFonts w:ascii="宋体"/>
      <w:sz w:val="28"/>
    </w:rPr>
  </w:style>
  <w:style w:type="character" w:customStyle="1" w:styleId="387">
    <w:name w:val="f141"/>
    <w:qFormat/>
    <w:uiPriority w:val="0"/>
    <w:rPr>
      <w:rFonts w:ascii="Tahoma" w:hAnsi="Tahoma" w:eastAsia="宋体"/>
      <w:b/>
      <w:kern w:val="2"/>
      <w:sz w:val="21"/>
      <w:szCs w:val="21"/>
      <w:lang w:val="en-US" w:eastAsia="zh-CN" w:bidi="ar-SA"/>
    </w:rPr>
  </w:style>
  <w:style w:type="character" w:customStyle="1" w:styleId="388">
    <w:name w:val="段落 Char Char"/>
    <w:link w:val="389"/>
    <w:qFormat/>
    <w:uiPriority w:val="0"/>
    <w:rPr>
      <w:rFonts w:ascii="宋体" w:hAnsi="宋体"/>
      <w:sz w:val="24"/>
    </w:rPr>
  </w:style>
  <w:style w:type="paragraph" w:customStyle="1" w:styleId="389">
    <w:name w:val="段落"/>
    <w:basedOn w:val="1"/>
    <w:link w:val="388"/>
    <w:qFormat/>
    <w:uiPriority w:val="0"/>
    <w:pPr>
      <w:adjustRightInd/>
      <w:spacing w:line="360" w:lineRule="auto"/>
      <w:ind w:firstLine="480" w:firstLineChars="200"/>
    </w:pPr>
    <w:rPr>
      <w:rFonts w:ascii="宋体" w:hAnsi="宋体"/>
      <w:kern w:val="0"/>
      <w:sz w:val="24"/>
      <w:szCs w:val="20"/>
    </w:rPr>
  </w:style>
  <w:style w:type="character" w:customStyle="1" w:styleId="390">
    <w:name w:val="标题 3 Char2"/>
    <w:qFormat/>
    <w:uiPriority w:val="0"/>
    <w:rPr>
      <w:rFonts w:eastAsia="宋体"/>
      <w:b/>
      <w:bCs/>
      <w:kern w:val="2"/>
      <w:sz w:val="32"/>
      <w:szCs w:val="32"/>
      <w:lang w:val="en-US" w:eastAsia="zh-CN" w:bidi="ar-SA"/>
    </w:rPr>
  </w:style>
  <w:style w:type="character" w:customStyle="1" w:styleId="391">
    <w:name w:val="apple-converted-space"/>
    <w:qFormat/>
    <w:uiPriority w:val="0"/>
  </w:style>
  <w:style w:type="character" w:customStyle="1" w:styleId="392">
    <w:name w:val="页眉 Char2"/>
    <w:link w:val="42"/>
    <w:qFormat/>
    <w:uiPriority w:val="99"/>
    <w:rPr>
      <w:kern w:val="2"/>
      <w:sz w:val="18"/>
      <w:szCs w:val="18"/>
    </w:rPr>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样式 标题 4h4H4Fab-4T5Ref Heading 1rh1Heading sqlsect 1.2.3.... Char"/>
    <w:link w:val="305"/>
    <w:qFormat/>
    <w:uiPriority w:val="0"/>
    <w:rPr>
      <w:rFonts w:ascii="微软雅黑" w:hAnsi="微软雅黑" w:eastAsia="微软雅黑"/>
      <w:b/>
      <w:bCs/>
      <w:kern w:val="2"/>
      <w:sz w:val="24"/>
      <w:szCs w:val="28"/>
    </w:rPr>
  </w:style>
  <w:style w:type="character" w:customStyle="1" w:styleId="414">
    <w:name w:val="h Char Char"/>
    <w:qFormat/>
    <w:uiPriority w:val="0"/>
    <w:rPr>
      <w:rFonts w:eastAsia="宋体"/>
      <w:kern w:val="2"/>
      <w:sz w:val="18"/>
      <w:lang w:val="en-US" w:eastAsia="zh-CN" w:bidi="ar-SA"/>
    </w:rPr>
  </w:style>
  <w:style w:type="character" w:customStyle="1" w:styleId="415">
    <w:name w:val="仿宋正文 Char"/>
    <w:link w:val="416"/>
    <w:qFormat/>
    <w:uiPriority w:val="0"/>
    <w:rPr>
      <w:rFonts w:ascii="仿宋_GB2312" w:eastAsia="仿宋_GB2312"/>
      <w:kern w:val="2"/>
      <w:sz w:val="24"/>
      <w:lang w:val="en-US" w:eastAsia="zh-CN" w:bidi="ar-SA"/>
    </w:rPr>
  </w:style>
  <w:style w:type="paragraph" w:customStyle="1" w:styleId="416">
    <w:name w:val="仿宋正文"/>
    <w:basedOn w:val="1"/>
    <w:link w:val="415"/>
    <w:qFormat/>
    <w:uiPriority w:val="0"/>
    <w:pPr>
      <w:adjustRightInd/>
      <w:spacing w:line="360" w:lineRule="auto"/>
      <w:ind w:firstLine="480" w:firstLineChars="200"/>
    </w:pPr>
    <w:rPr>
      <w:rFonts w:ascii="仿宋_GB2312" w:eastAsia="仿宋_GB2312"/>
      <w:sz w:val="24"/>
      <w:szCs w:val="20"/>
    </w:rPr>
  </w:style>
  <w:style w:type="character" w:customStyle="1" w:styleId="417">
    <w:name w:val="正文首行缩进 Char Char Char Char Char Char"/>
    <w:qFormat/>
    <w:uiPriority w:val="0"/>
    <w:rPr>
      <w:rFonts w:ascii="宋体" w:eastAsia="宋体"/>
      <w:kern w:val="2"/>
      <w:sz w:val="24"/>
      <w:lang w:val="zh-CN" w:bidi="ar-SA"/>
    </w:rPr>
  </w:style>
  <w:style w:type="character" w:customStyle="1" w:styleId="418">
    <w:name w:val="样式 宋体"/>
    <w:qFormat/>
    <w:uiPriority w:val="0"/>
    <w:rPr>
      <w:rFonts w:ascii="宋体" w:hAnsi="宋体"/>
      <w:sz w:val="24"/>
    </w:rPr>
  </w:style>
  <w:style w:type="character" w:customStyle="1" w:styleId="419">
    <w:name w:val="tw4winJump"/>
    <w:qFormat/>
    <w:uiPriority w:val="0"/>
    <w:rPr>
      <w:rFonts w:ascii="Courier New" w:hAnsi="Courier New" w:cs="Courier New"/>
      <w:color w:val="008080"/>
      <w:lang w:val="en-US" w:eastAsia="zh-CN"/>
    </w:rPr>
  </w:style>
  <w:style w:type="character" w:customStyle="1" w:styleId="420">
    <w:name w:val="标题 1 字符"/>
    <w:qFormat/>
    <w:uiPriority w:val="9"/>
    <w:rPr>
      <w:rFonts w:ascii="Arial" w:hAnsi="Arial" w:eastAsia="黑体" w:cs="Arial"/>
      <w:b/>
      <w:bCs/>
      <w:snapToGrid w:val="0"/>
      <w:kern w:val="44"/>
      <w:sz w:val="44"/>
      <w:szCs w:val="44"/>
    </w:rPr>
  </w:style>
  <w:style w:type="character" w:customStyle="1" w:styleId="421">
    <w:name w:val="style36"/>
    <w:basedOn w:val="71"/>
    <w:qFormat/>
    <w:uiPriority w:val="0"/>
    <w:rPr>
      <w:rFonts w:ascii="Arial" w:hAnsi="Arial" w:eastAsia="黑体" w:cs="Arial"/>
      <w:snapToGrid w:val="0"/>
      <w:kern w:val="0"/>
      <w:szCs w:val="21"/>
    </w:rPr>
  </w:style>
  <w:style w:type="character" w:customStyle="1" w:styleId="422">
    <w:name w:val="pt9"/>
    <w:qFormat/>
    <w:uiPriority w:val="0"/>
    <w:rPr>
      <w:rFonts w:ascii="仿宋_GB2312" w:eastAsia="微软雅黑"/>
      <w:b/>
      <w:kern w:val="2"/>
      <w:sz w:val="32"/>
      <w:szCs w:val="32"/>
      <w:lang w:val="en-US" w:eastAsia="zh-CN" w:bidi="ar-SA"/>
    </w:rPr>
  </w:style>
  <w:style w:type="character" w:customStyle="1" w:styleId="423">
    <w:name w:val="DO_NOT_TRANSLATE"/>
    <w:qFormat/>
    <w:uiPriority w:val="0"/>
    <w:rPr>
      <w:rFonts w:ascii="Courier New" w:hAnsi="Courier New" w:cs="Courier New"/>
      <w:color w:val="800000"/>
      <w:lang w:val="en-US" w:eastAsia="zh-CN"/>
    </w:rPr>
  </w:style>
  <w:style w:type="character" w:customStyle="1" w:styleId="424">
    <w:name w:val="标书1 Char1"/>
    <w:qFormat/>
    <w:uiPriority w:val="0"/>
    <w:rPr>
      <w:rFonts w:eastAsia="宋体"/>
      <w:b/>
      <w:bCs/>
      <w:kern w:val="44"/>
      <w:sz w:val="44"/>
      <w:szCs w:val="44"/>
      <w:lang w:val="en-US" w:eastAsia="zh-CN" w:bidi="ar-SA"/>
    </w:rPr>
  </w:style>
  <w:style w:type="character" w:customStyle="1" w:styleId="425">
    <w:name w:val="页脚 字符"/>
    <w:qFormat/>
    <w:uiPriority w:val="99"/>
    <w:rPr>
      <w:kern w:val="2"/>
      <w:sz w:val="18"/>
      <w:szCs w:val="18"/>
    </w:rPr>
  </w:style>
  <w:style w:type="character" w:customStyle="1" w:styleId="426">
    <w:name w:val="正文2 Char"/>
    <w:qFormat/>
    <w:uiPriority w:val="0"/>
    <w:rPr>
      <w:rFonts w:eastAsia="宋体"/>
      <w:kern w:val="2"/>
      <w:sz w:val="24"/>
      <w:lang w:val="en-US" w:eastAsia="zh-CN" w:bidi="ar-SA"/>
    </w:rPr>
  </w:style>
  <w:style w:type="character" w:customStyle="1" w:styleId="427">
    <w:name w:val="Char Char21"/>
    <w:qFormat/>
    <w:uiPriority w:val="6"/>
    <w:rPr>
      <w:rFonts w:ascii="宋体" w:hAnsi="宋体"/>
      <w:kern w:val="1"/>
      <w:sz w:val="24"/>
      <w:szCs w:val="21"/>
      <w:lang w:val="zh-CN"/>
    </w:rPr>
  </w:style>
  <w:style w:type="character" w:customStyle="1" w:styleId="428">
    <w:name w:val="样式 正文缩进 + 首行缩进:  2 字符 Char Char"/>
    <w:link w:val="429"/>
    <w:qFormat/>
    <w:uiPriority w:val="0"/>
    <w:rPr>
      <w:rFonts w:cs="宋体"/>
      <w:kern w:val="2"/>
      <w:sz w:val="24"/>
    </w:rPr>
  </w:style>
  <w:style w:type="paragraph" w:customStyle="1" w:styleId="429">
    <w:name w:val="样式 正文缩进 + 首行缩进:  2 字符"/>
    <w:basedOn w:val="15"/>
    <w:link w:val="428"/>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0">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1">
    <w:name w:val="gray6"/>
    <w:basedOn w:val="71"/>
    <w:qFormat/>
    <w:uiPriority w:val="0"/>
    <w:rPr>
      <w:rFonts w:ascii="Arial" w:hAnsi="Arial" w:eastAsia="黑体" w:cs="Arial"/>
      <w:snapToGrid w:val="0"/>
      <w:kern w:val="0"/>
      <w:szCs w:val="21"/>
    </w:rPr>
  </w:style>
  <w:style w:type="character" w:customStyle="1" w:styleId="432">
    <w:name w:val="hui"/>
    <w:basedOn w:val="71"/>
    <w:qFormat/>
    <w:uiPriority w:val="0"/>
    <w:rPr>
      <w:rFonts w:ascii="Arial" w:hAnsi="Arial" w:eastAsia="黑体" w:cs="Arial"/>
      <w:snapToGrid w:val="0"/>
      <w:kern w:val="0"/>
      <w:szCs w:val="21"/>
    </w:rPr>
  </w:style>
  <w:style w:type="character" w:customStyle="1" w:styleId="433">
    <w:name w:val="哈哈正文 Char Char"/>
    <w:qFormat/>
    <w:uiPriority w:val="0"/>
    <w:rPr>
      <w:rFonts w:ascii="宋体" w:hAnsi="宋体" w:eastAsia="宋体" w:cs="宋体"/>
      <w:kern w:val="2"/>
      <w:sz w:val="24"/>
      <w:lang w:val="en-US" w:eastAsia="zh-CN" w:bidi="ar-SA"/>
    </w:rPr>
  </w:style>
  <w:style w:type="paragraph" w:customStyle="1" w:styleId="434">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5">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6">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7">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8">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9">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0">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1">
    <w:name w:val="标题4_自定义"/>
    <w:basedOn w:val="5"/>
    <w:qFormat/>
    <w:uiPriority w:val="0"/>
    <w:pPr>
      <w:adjustRightInd/>
      <w:spacing w:before="0" w:after="0" w:line="360" w:lineRule="auto"/>
    </w:pPr>
    <w:rPr>
      <w:rFonts w:ascii="Verdana" w:eastAsia="Verdana"/>
      <w:sz w:val="21"/>
      <w:lang w:val="en-US"/>
    </w:rPr>
  </w:style>
  <w:style w:type="paragraph" w:customStyle="1" w:styleId="442">
    <w:name w:val="正文 内标 序号标"/>
    <w:basedOn w:val="443"/>
    <w:qFormat/>
    <w:uiPriority w:val="0"/>
    <w:pPr>
      <w:tabs>
        <w:tab w:val="left" w:pos="0"/>
      </w:tabs>
      <w:adjustRightInd/>
      <w:spacing w:before="0"/>
      <w:ind w:firstLine="482"/>
    </w:pPr>
    <w:rPr>
      <w:rFonts w:ascii="微软雅黑" w:hAnsi="微软雅黑"/>
      <w:sz w:val="24"/>
      <w:szCs w:val="24"/>
    </w:rPr>
  </w:style>
  <w:style w:type="paragraph" w:customStyle="1" w:styleId="443">
    <w:name w:val="My正文"/>
    <w:basedOn w:val="1"/>
    <w:qFormat/>
    <w:uiPriority w:val="0"/>
    <w:pPr>
      <w:spacing w:before="120" w:line="360" w:lineRule="auto"/>
      <w:ind w:firstLine="567"/>
    </w:pPr>
    <w:rPr>
      <w:rFonts w:ascii="Arial" w:hAnsi="Arial"/>
      <w:sz w:val="20"/>
      <w:szCs w:val="20"/>
    </w:rPr>
  </w:style>
  <w:style w:type="paragraph" w:customStyle="1" w:styleId="444">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5">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6">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7">
    <w:name w:val="修订2"/>
    <w:qFormat/>
    <w:uiPriority w:val="0"/>
    <w:rPr>
      <w:rFonts w:ascii="Times New Roman" w:hAnsi="Times New Roman" w:eastAsia="宋体" w:cs="Times New Roman"/>
      <w:kern w:val="2"/>
      <w:sz w:val="21"/>
      <w:lang w:val="en-US" w:eastAsia="zh-CN" w:bidi="ar-SA"/>
    </w:rPr>
  </w:style>
  <w:style w:type="paragraph" w:customStyle="1" w:styleId="448">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0">
    <w:name w:val="文章标题"/>
    <w:next w:val="451"/>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1">
    <w:name w:val="封面公司名"/>
    <w:qFormat/>
    <w:uiPriority w:val="0"/>
    <w:pPr>
      <w:jc w:val="center"/>
    </w:pPr>
    <w:rPr>
      <w:rFonts w:ascii="Arial" w:hAnsi="Arial" w:eastAsia="楷体_GB2312" w:cs="宋体"/>
      <w:bCs/>
      <w:kern w:val="2"/>
      <w:sz w:val="28"/>
      <w:lang w:val="en-US" w:eastAsia="zh-CN" w:bidi="ar-SA"/>
    </w:rPr>
  </w:style>
  <w:style w:type="paragraph" w:customStyle="1" w:styleId="452">
    <w:name w:val="Char1 Char Char Char5"/>
    <w:basedOn w:val="1"/>
    <w:qFormat/>
    <w:uiPriority w:val="0"/>
    <w:pPr>
      <w:adjustRightInd/>
      <w:ind w:firstLine="200" w:firstLineChars="200"/>
    </w:pPr>
    <w:rPr>
      <w:rFonts w:ascii="Tahoma" w:hAnsi="Tahoma"/>
      <w:sz w:val="24"/>
      <w:szCs w:val="20"/>
    </w:rPr>
  </w:style>
  <w:style w:type="paragraph" w:customStyle="1" w:styleId="453">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4">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5">
    <w:name w:val="Char Char Char Char Char Char Char Char"/>
    <w:basedOn w:val="1"/>
    <w:qFormat/>
    <w:uiPriority w:val="0"/>
    <w:pPr>
      <w:tabs>
        <w:tab w:val="left" w:pos="360"/>
      </w:tabs>
    </w:pPr>
    <w:rPr>
      <w:sz w:val="24"/>
      <w:szCs w:val="20"/>
    </w:rPr>
  </w:style>
  <w:style w:type="paragraph" w:customStyle="1" w:styleId="456">
    <w:name w:val="Char Char11 Char Char Char"/>
    <w:basedOn w:val="1"/>
    <w:qFormat/>
    <w:uiPriority w:val="0"/>
    <w:pPr>
      <w:spacing w:line="360" w:lineRule="auto"/>
    </w:pPr>
    <w:rPr>
      <w:szCs w:val="20"/>
    </w:rPr>
  </w:style>
  <w:style w:type="paragraph" w:customStyle="1" w:styleId="457">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8">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9">
    <w:name w:val="样式3"/>
    <w:basedOn w:val="460"/>
    <w:qFormat/>
    <w:uiPriority w:val="0"/>
    <w:pPr>
      <w:tabs>
        <w:tab w:val="left" w:pos="2790"/>
        <w:tab w:val="left" w:pos="4230"/>
      </w:tabs>
      <w:spacing w:beforeLines="100"/>
      <w:jc w:val="left"/>
    </w:pPr>
  </w:style>
  <w:style w:type="paragraph" w:customStyle="1" w:styleId="460">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1">
    <w:name w:val="Char Char1 Char Char1 Char Char1"/>
    <w:basedOn w:val="1"/>
    <w:qFormat/>
    <w:uiPriority w:val="0"/>
    <w:pPr>
      <w:tabs>
        <w:tab w:val="left" w:pos="840"/>
      </w:tabs>
      <w:ind w:left="840" w:hanging="420"/>
    </w:pPr>
    <w:rPr>
      <w:rFonts w:ascii="Tahoma" w:hAnsi="Tahoma"/>
      <w:sz w:val="24"/>
    </w:rPr>
  </w:style>
  <w:style w:type="paragraph" w:customStyle="1" w:styleId="462">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3">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4">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5">
    <w:name w:val="正文21"/>
    <w:basedOn w:val="1"/>
    <w:qFormat/>
    <w:uiPriority w:val="0"/>
    <w:pPr>
      <w:adjustRightInd/>
      <w:spacing w:before="156" w:line="360" w:lineRule="auto"/>
      <w:ind w:firstLine="510" w:firstLineChars="200"/>
    </w:pPr>
    <w:rPr>
      <w:sz w:val="24"/>
      <w:szCs w:val="20"/>
    </w:rPr>
  </w:style>
  <w:style w:type="paragraph" w:customStyle="1" w:styleId="466">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7">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8">
    <w:name w:val="Char1"/>
    <w:basedOn w:val="1"/>
    <w:qFormat/>
    <w:uiPriority w:val="0"/>
    <w:rPr>
      <w:rFonts w:ascii="仿宋_GB2312" w:eastAsia="仿宋_GB2312"/>
      <w:b/>
      <w:sz w:val="32"/>
      <w:szCs w:val="32"/>
    </w:rPr>
  </w:style>
  <w:style w:type="paragraph" w:customStyle="1" w:styleId="46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0">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1">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2">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3">
    <w:name w:val="6级标题"/>
    <w:basedOn w:val="474"/>
    <w:qFormat/>
    <w:uiPriority w:val="0"/>
    <w:pPr>
      <w:keepNext/>
      <w:tabs>
        <w:tab w:val="left" w:pos="360"/>
      </w:tabs>
      <w:outlineLvl w:val="5"/>
    </w:pPr>
  </w:style>
  <w:style w:type="paragraph" w:customStyle="1" w:styleId="474">
    <w:name w:val="5级标题"/>
    <w:basedOn w:val="475"/>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5">
    <w:name w:val="4级标题"/>
    <w:basedOn w:val="258"/>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6">
    <w:name w:val="样式 正文文本缩进 + 段前: 2 字符"/>
    <w:basedOn w:val="1"/>
    <w:qFormat/>
    <w:uiPriority w:val="0"/>
    <w:pPr>
      <w:adjustRightInd/>
      <w:ind w:left="420" w:leftChars="200"/>
      <w:jc w:val="left"/>
    </w:pPr>
    <w:rPr>
      <w:sz w:val="28"/>
      <w:szCs w:val="20"/>
      <w:lang w:eastAsia="zh-TW"/>
    </w:rPr>
  </w:style>
  <w:style w:type="paragraph" w:customStyle="1" w:styleId="477">
    <w:name w:val="Char2 Char Char"/>
    <w:basedOn w:val="1"/>
    <w:qFormat/>
    <w:uiPriority w:val="0"/>
    <w:pPr>
      <w:adjustRightInd/>
    </w:pPr>
    <w:rPr>
      <w:rFonts w:ascii="Tahoma" w:hAnsi="Tahoma"/>
      <w:sz w:val="24"/>
      <w:szCs w:val="20"/>
    </w:rPr>
  </w:style>
  <w:style w:type="paragraph" w:customStyle="1" w:styleId="478">
    <w:name w:val="_Style 11"/>
    <w:basedOn w:val="1"/>
    <w:qFormat/>
    <w:uiPriority w:val="34"/>
    <w:pPr>
      <w:adjustRightInd/>
      <w:ind w:firstLine="420" w:firstLineChars="200"/>
    </w:pPr>
    <w:rPr>
      <w:rFonts w:eastAsia="仿宋_GB2312"/>
      <w:sz w:val="28"/>
    </w:rPr>
  </w:style>
  <w:style w:type="paragraph" w:customStyle="1" w:styleId="479">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0">
    <w:name w:val="Char Char Char"/>
    <w:basedOn w:val="1"/>
    <w:qFormat/>
    <w:uiPriority w:val="0"/>
    <w:rPr>
      <w:rFonts w:ascii="Tahoma" w:hAnsi="Tahoma"/>
      <w:sz w:val="24"/>
      <w:szCs w:val="20"/>
    </w:rPr>
  </w:style>
  <w:style w:type="paragraph" w:customStyle="1" w:styleId="481">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2">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3">
    <w:name w:val="无间隔2"/>
    <w:basedOn w:val="1"/>
    <w:link w:val="932"/>
    <w:qFormat/>
    <w:uiPriority w:val="99"/>
    <w:rPr>
      <w:szCs w:val="22"/>
    </w:rPr>
  </w:style>
  <w:style w:type="paragraph" w:customStyle="1" w:styleId="484">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5">
    <w:name w:val="Char Char Char Char Char Char Char Char Char Char Char Char1 Char1"/>
    <w:basedOn w:val="1"/>
    <w:qFormat/>
    <w:uiPriority w:val="6"/>
    <w:rPr>
      <w:rFonts w:ascii="Tahoma" w:hAnsi="Tahoma" w:cs="仿宋_GB2312"/>
      <w:sz w:val="24"/>
      <w:szCs w:val="20"/>
    </w:rPr>
  </w:style>
  <w:style w:type="paragraph" w:customStyle="1" w:styleId="486">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7">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8">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9">
    <w:name w:val="MM Topic 2"/>
    <w:basedOn w:val="2"/>
    <w:qFormat/>
    <w:uiPriority w:val="0"/>
    <w:pPr>
      <w:tabs>
        <w:tab w:val="left" w:pos="1260"/>
      </w:tabs>
      <w:ind w:left="1260" w:hanging="420"/>
    </w:pPr>
    <w:rPr>
      <w:rFonts w:ascii="Arial" w:hAnsi="Arial" w:eastAsia="黑体"/>
      <w:lang w:val="en-US"/>
    </w:rPr>
  </w:style>
  <w:style w:type="paragraph" w:customStyle="1" w:styleId="490">
    <w:name w:val="五级无标题条"/>
    <w:basedOn w:val="1"/>
    <w:qFormat/>
    <w:uiPriority w:val="0"/>
    <w:pPr>
      <w:adjustRightInd/>
    </w:pPr>
  </w:style>
  <w:style w:type="paragraph" w:customStyle="1" w:styleId="491">
    <w:name w:val="Char5"/>
    <w:basedOn w:val="1"/>
    <w:qFormat/>
    <w:uiPriority w:val="0"/>
    <w:rPr>
      <w:rFonts w:ascii="仿宋_GB2312" w:eastAsia="仿宋_GB2312"/>
      <w:b/>
      <w:sz w:val="32"/>
      <w:szCs w:val="32"/>
    </w:rPr>
  </w:style>
  <w:style w:type="paragraph" w:customStyle="1" w:styleId="492">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3">
    <w:name w:val="彩色列表 - 强调文字颜色 12"/>
    <w:basedOn w:val="1"/>
    <w:qFormat/>
    <w:uiPriority w:val="0"/>
    <w:pPr>
      <w:adjustRightInd/>
      <w:ind w:firstLine="420" w:firstLineChars="200"/>
    </w:pPr>
    <w:rPr>
      <w:rFonts w:ascii="Calibri" w:hAnsi="Calibri"/>
      <w:szCs w:val="22"/>
    </w:rPr>
  </w:style>
  <w:style w:type="paragraph" w:customStyle="1" w:styleId="494">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5">
    <w:name w:val="Char2"/>
    <w:basedOn w:val="1"/>
    <w:qFormat/>
    <w:uiPriority w:val="0"/>
    <w:rPr>
      <w:rFonts w:ascii="仿宋_GB2312" w:eastAsia="仿宋_GB2312"/>
      <w:b/>
      <w:sz w:val="32"/>
      <w:szCs w:val="32"/>
    </w:rPr>
  </w:style>
  <w:style w:type="paragraph" w:customStyle="1" w:styleId="496">
    <w:name w:val="数字标题3"/>
    <w:basedOn w:val="4"/>
    <w:next w:val="1"/>
    <w:qFormat/>
    <w:uiPriority w:val="0"/>
    <w:pPr>
      <w:spacing w:line="240" w:lineRule="auto"/>
    </w:pPr>
    <w:rPr>
      <w:sz w:val="28"/>
      <w:szCs w:val="28"/>
    </w:rPr>
  </w:style>
  <w:style w:type="paragraph" w:customStyle="1" w:styleId="497">
    <w:name w:val="FA正文"/>
    <w:basedOn w:val="1"/>
    <w:qFormat/>
    <w:uiPriority w:val="0"/>
    <w:pPr>
      <w:spacing w:line="360" w:lineRule="auto"/>
      <w:ind w:firstLine="480" w:firstLineChars="200"/>
    </w:pPr>
    <w:rPr>
      <w:rFonts w:hAnsi="宋体"/>
      <w:sz w:val="24"/>
      <w:szCs w:val="20"/>
    </w:rPr>
  </w:style>
  <w:style w:type="paragraph" w:customStyle="1" w:styleId="498">
    <w:name w:val="MM Topic 5"/>
    <w:basedOn w:val="6"/>
    <w:qFormat/>
    <w:uiPriority w:val="0"/>
    <w:pPr>
      <w:tabs>
        <w:tab w:val="left" w:pos="2520"/>
      </w:tabs>
      <w:adjustRightInd/>
      <w:ind w:left="2520" w:hanging="420"/>
    </w:pPr>
  </w:style>
  <w:style w:type="paragraph" w:customStyle="1" w:styleId="499">
    <w:name w:val="Char Char Char Char Char Char Char Char Char Char1"/>
    <w:basedOn w:val="1"/>
    <w:qFormat/>
    <w:uiPriority w:val="0"/>
    <w:rPr>
      <w:rFonts w:ascii="仿宋_GB2312" w:eastAsia="仿宋_GB2312"/>
      <w:b/>
      <w:sz w:val="32"/>
      <w:szCs w:val="32"/>
    </w:rPr>
  </w:style>
  <w:style w:type="paragraph" w:customStyle="1" w:styleId="50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1">
    <w:name w:val="修订1"/>
    <w:qFormat/>
    <w:uiPriority w:val="3"/>
    <w:rPr>
      <w:rFonts w:ascii="Times New Roman" w:hAnsi="Times New Roman" w:eastAsia="宋体" w:cs="Times New Roman"/>
      <w:color w:val="000000"/>
      <w:kern w:val="1"/>
      <w:sz w:val="21"/>
      <w:lang w:val="en-US" w:eastAsia="zh-CN" w:bidi="ar-SA"/>
    </w:rPr>
  </w:style>
  <w:style w:type="paragraph" w:customStyle="1" w:styleId="502">
    <w:name w:val="Char2 Char Char Char"/>
    <w:basedOn w:val="1"/>
    <w:qFormat/>
    <w:uiPriority w:val="0"/>
    <w:rPr>
      <w:rFonts w:ascii="仿宋_GB2312" w:eastAsia="仿宋_GB2312"/>
      <w:b/>
      <w:sz w:val="32"/>
      <w:szCs w:val="32"/>
    </w:rPr>
  </w:style>
  <w:style w:type="paragraph" w:customStyle="1" w:styleId="503">
    <w:name w:val="Char2 Char Char Char1"/>
    <w:basedOn w:val="1"/>
    <w:qFormat/>
    <w:uiPriority w:val="6"/>
    <w:rPr>
      <w:rFonts w:ascii="仿宋_GB2312" w:eastAsia="仿宋_GB2312"/>
      <w:b/>
      <w:sz w:val="32"/>
      <w:szCs w:val="32"/>
    </w:rPr>
  </w:style>
  <w:style w:type="paragraph" w:customStyle="1" w:styleId="504">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5">
    <w:name w:val="图中文字"/>
    <w:basedOn w:val="1"/>
    <w:qFormat/>
    <w:uiPriority w:val="0"/>
    <w:pPr>
      <w:snapToGrid w:val="0"/>
      <w:spacing w:line="0" w:lineRule="atLeast"/>
      <w:ind w:firstLine="200" w:firstLineChars="200"/>
      <w:jc w:val="center"/>
    </w:pPr>
    <w:rPr>
      <w:sz w:val="24"/>
      <w:szCs w:val="20"/>
    </w:rPr>
  </w:style>
  <w:style w:type="paragraph" w:customStyle="1" w:styleId="506">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7">
    <w:name w:val="MM Topic 3"/>
    <w:basedOn w:val="4"/>
    <w:qFormat/>
    <w:uiPriority w:val="0"/>
    <w:pPr>
      <w:tabs>
        <w:tab w:val="left" w:pos="1680"/>
      </w:tabs>
      <w:adjustRightInd/>
      <w:ind w:left="1680" w:hanging="420"/>
    </w:pPr>
  </w:style>
  <w:style w:type="paragraph" w:customStyle="1" w:styleId="508">
    <w:name w:val="标准小四"/>
    <w:basedOn w:val="1"/>
    <w:qFormat/>
    <w:uiPriority w:val="0"/>
    <w:pPr>
      <w:spacing w:line="360" w:lineRule="auto"/>
      <w:ind w:firstLine="480" w:firstLineChars="200"/>
    </w:pPr>
    <w:rPr>
      <w:rFonts w:ascii="Arial" w:hAnsi="Arial"/>
      <w:sz w:val="24"/>
      <w:szCs w:val="21"/>
    </w:rPr>
  </w:style>
  <w:style w:type="paragraph" w:customStyle="1" w:styleId="509">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10">
    <w:name w:val="表格（小）"/>
    <w:basedOn w:val="1"/>
    <w:qFormat/>
    <w:uiPriority w:val="0"/>
    <w:pPr>
      <w:adjustRightInd/>
      <w:snapToGrid w:val="0"/>
      <w:spacing w:line="300" w:lineRule="auto"/>
    </w:pPr>
    <w:rPr>
      <w:rFonts w:eastAsia="仿宋"/>
      <w:szCs w:val="21"/>
    </w:rPr>
  </w:style>
  <w:style w:type="paragraph" w:customStyle="1" w:styleId="5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2">
    <w:name w:val="Char2 Char Char1"/>
    <w:basedOn w:val="1"/>
    <w:qFormat/>
    <w:uiPriority w:val="6"/>
    <w:pPr>
      <w:adjustRightInd/>
    </w:pPr>
    <w:rPr>
      <w:rFonts w:ascii="Tahoma" w:hAnsi="Tahoma"/>
      <w:sz w:val="24"/>
      <w:szCs w:val="20"/>
    </w:rPr>
  </w:style>
  <w:style w:type="paragraph" w:customStyle="1" w:styleId="513">
    <w:name w:val="列出段落5"/>
    <w:basedOn w:val="1"/>
    <w:qFormat/>
    <w:uiPriority w:val="0"/>
    <w:pPr>
      <w:spacing w:line="360" w:lineRule="auto"/>
      <w:ind w:firstLine="200" w:firstLineChars="200"/>
    </w:pPr>
    <w:rPr>
      <w:rFonts w:eastAsia="楷体_GB2312" w:cs="Lucida Sans"/>
      <w:sz w:val="24"/>
    </w:rPr>
  </w:style>
  <w:style w:type="paragraph" w:customStyle="1" w:styleId="514">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5">
    <w:name w:val="表格文字"/>
    <w:basedOn w:val="1"/>
    <w:next w:val="15"/>
    <w:qFormat/>
    <w:uiPriority w:val="0"/>
    <w:pPr>
      <w:adjustRightInd/>
      <w:ind w:firstLine="200" w:firstLineChars="200"/>
    </w:pPr>
    <w:rPr>
      <w:rFonts w:ascii="Arial" w:hAnsi="Arial"/>
      <w:spacing w:val="-5"/>
      <w:kern w:val="0"/>
      <w:sz w:val="24"/>
      <w:szCs w:val="20"/>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5"/>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Lines="50"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25"/>
    <w:next w:val="25"/>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25"/>
    <w:next w:val="25"/>
    <w:qFormat/>
    <w:uiPriority w:val="0"/>
    <w:rPr>
      <w:rFonts w:ascii="宋体" w:eastAsia="宋体" w:cs="Times New Roman"/>
      <w:color w:val="auto"/>
    </w:rPr>
  </w:style>
  <w:style w:type="paragraph" w:customStyle="1" w:styleId="550">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3"/>
    <w:qFormat/>
    <w:uiPriority w:val="0"/>
    <w:pPr>
      <w:tabs>
        <w:tab w:val="left" w:pos="840"/>
      </w:tabs>
      <w:adjustRightInd/>
      <w:ind w:left="840" w:hanging="420"/>
    </w:pPr>
  </w:style>
  <w:style w:type="paragraph" w:customStyle="1" w:styleId="626">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60"/>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ind w:left="1680"/>
      <w:outlineLvl w:val="2"/>
    </w:pPr>
  </w:style>
  <w:style w:type="paragraph" w:customStyle="1" w:styleId="658">
    <w:name w:val="章标题"/>
    <w:next w:val="640"/>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5"/>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Lines="50"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8"/>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2">
    <w:name w:val="单元格左对齐"/>
    <w:basedOn w:val="1"/>
    <w:qFormat/>
    <w:uiPriority w:val="0"/>
    <w:pPr>
      <w:adjustRightInd/>
      <w:spacing w:line="360" w:lineRule="auto"/>
    </w:pPr>
    <w:rPr>
      <w:sz w:val="24"/>
    </w:rPr>
  </w:style>
  <w:style w:type="paragraph" w:customStyle="1" w:styleId="803">
    <w:name w:val="正文主体"/>
    <w:basedOn w:val="624"/>
    <w:qFormat/>
    <w:uiPriority w:val="0"/>
  </w:style>
  <w:style w:type="paragraph" w:customStyle="1" w:styleId="804">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qFormat/>
    <w:uiPriority w:val="0"/>
    <w:pPr>
      <w:adjustRightInd/>
      <w:spacing w:line="360" w:lineRule="auto"/>
      <w:ind w:firstLine="480" w:firstLineChars="200"/>
    </w:pPr>
    <w:rPr>
      <w:sz w:val="24"/>
      <w:szCs w:val="20"/>
    </w:rPr>
  </w:style>
  <w:style w:type="paragraph" w:customStyle="1" w:styleId="808">
    <w:name w:val="P1"/>
    <w:basedOn w:val="1"/>
    <w:qFormat/>
    <w:uiPriority w:val="0"/>
    <w:pPr>
      <w:adjustRightInd/>
      <w:spacing w:line="288" w:lineRule="auto"/>
      <w:ind w:firstLine="425" w:firstLineChars="200"/>
    </w:pPr>
  </w:style>
  <w:style w:type="paragraph" w:customStyle="1" w:styleId="809">
    <w:name w:val="列表内容"/>
    <w:basedOn w:val="1"/>
    <w:next w:val="1"/>
    <w:qFormat/>
    <w:uiPriority w:val="0"/>
    <w:pPr>
      <w:widowControl/>
      <w:tabs>
        <w:tab w:val="left" w:pos="840"/>
      </w:tabs>
      <w:ind w:left="840" w:hanging="420"/>
      <w:jc w:val="left"/>
    </w:pPr>
    <w:rPr>
      <w:kern w:val="0"/>
      <w:sz w:val="18"/>
    </w:rPr>
  </w:style>
  <w:style w:type="paragraph" w:customStyle="1" w:styleId="810">
    <w:name w:val="Char Char11 Char Char Char1"/>
    <w:basedOn w:val="1"/>
    <w:qFormat/>
    <w:uiPriority w:val="6"/>
    <w:pPr>
      <w:spacing w:line="360" w:lineRule="auto"/>
    </w:pPr>
    <w:rPr>
      <w:szCs w:val="20"/>
    </w:rPr>
  </w:style>
  <w:style w:type="paragraph" w:customStyle="1" w:styleId="811">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2">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qFormat/>
    <w:uiPriority w:val="0"/>
    <w:pPr>
      <w:spacing w:line="360" w:lineRule="auto"/>
    </w:pPr>
    <w:rPr>
      <w:szCs w:val="20"/>
    </w:rPr>
  </w:style>
  <w:style w:type="paragraph" w:customStyle="1" w:styleId="817">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qFormat/>
    <w:uiPriority w:val="0"/>
    <w:rPr>
      <w:rFonts w:ascii="仿宋_GB2312" w:eastAsia="仿宋_GB2312"/>
      <w:b/>
      <w:sz w:val="32"/>
      <w:szCs w:val="32"/>
    </w:rPr>
  </w:style>
  <w:style w:type="paragraph" w:customStyle="1" w:styleId="820">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qFormat/>
    <w:uiPriority w:val="0"/>
    <w:pPr>
      <w:adjustRightInd/>
      <w:spacing w:line="360" w:lineRule="auto"/>
      <w:ind w:firstLine="480"/>
    </w:pPr>
    <w:rPr>
      <w:rFonts w:cs="宋体"/>
      <w:sz w:val="24"/>
      <w:szCs w:val="20"/>
    </w:rPr>
  </w:style>
  <w:style w:type="paragraph" w:customStyle="1" w:styleId="823">
    <w:name w:val="Char Char4 Char Char"/>
    <w:basedOn w:val="1"/>
    <w:qFormat/>
    <w:uiPriority w:val="0"/>
    <w:pPr>
      <w:widowControl/>
      <w:adjustRightInd/>
      <w:spacing w:after="160" w:line="240" w:lineRule="exact"/>
      <w:jc w:val="left"/>
    </w:pPr>
  </w:style>
  <w:style w:type="paragraph" w:customStyle="1" w:styleId="824">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qFormat/>
    <w:uiPriority w:val="0"/>
    <w:pPr>
      <w:spacing w:line="360" w:lineRule="auto"/>
    </w:pPr>
    <w:rPr>
      <w:szCs w:val="20"/>
    </w:rPr>
  </w:style>
  <w:style w:type="paragraph" w:customStyle="1" w:styleId="826">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5"/>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qFormat/>
    <w:uiPriority w:val="0"/>
    <w:pPr>
      <w:adjustRightInd/>
      <w:ind w:firstLine="200" w:firstLineChars="200"/>
    </w:pPr>
    <w:rPr>
      <w:rFonts w:ascii="Tahoma" w:hAnsi="Tahoma"/>
      <w:sz w:val="24"/>
      <w:szCs w:val="20"/>
    </w:rPr>
  </w:style>
  <w:style w:type="paragraph" w:customStyle="1" w:styleId="833">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qFormat/>
    <w:uiPriority w:val="0"/>
    <w:pPr>
      <w:tabs>
        <w:tab w:val="left" w:pos="0"/>
      </w:tabs>
      <w:ind w:left="900" w:firstLine="0" w:firstLineChars="0"/>
    </w:pPr>
  </w:style>
  <w:style w:type="paragraph" w:customStyle="1" w:styleId="836">
    <w:name w:val="Bulleted List"/>
    <w:basedOn w:val="1"/>
    <w:qFormat/>
    <w:uiPriority w:val="0"/>
    <w:pPr>
      <w:tabs>
        <w:tab w:val="left" w:pos="1260"/>
      </w:tabs>
      <w:adjustRightInd/>
      <w:ind w:left="1260" w:hanging="420"/>
    </w:pPr>
  </w:style>
  <w:style w:type="paragraph" w:customStyle="1" w:styleId="837">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qFormat/>
    <w:uiPriority w:val="0"/>
    <w:rPr>
      <w:rFonts w:ascii="Tahoma" w:hAnsi="Tahoma" w:cs="仿宋_GB2312"/>
      <w:sz w:val="24"/>
      <w:szCs w:val="20"/>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4"/>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8"/>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2"/>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8"/>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9"/>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6"/>
    <w:next w:val="1"/>
    <w:qFormat/>
    <w:uiPriority w:val="0"/>
    <w:pPr>
      <w:tabs>
        <w:tab w:val="left" w:pos="1080"/>
      </w:tabs>
      <w:ind w:left="1080" w:hanging="1080"/>
    </w:pPr>
  </w:style>
  <w:style w:type="paragraph" w:customStyle="1" w:styleId="896">
    <w:name w:val="数字标题1"/>
    <w:basedOn w:val="3"/>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3"/>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2"/>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9"/>
    <w:qFormat/>
    <w:uiPriority w:val="0"/>
    <w:rPr>
      <w:kern w:val="2"/>
      <w:sz w:val="21"/>
      <w:szCs w:val="24"/>
      <w:lang w:val="zh-CN"/>
    </w:rPr>
  </w:style>
  <w:style w:type="character" w:customStyle="1" w:styleId="932">
    <w:name w:val="无间隔 Char"/>
    <w:link w:val="483"/>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8"/>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71"/>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paragraph" w:styleId="964">
    <w:name w:val="List Paragraph"/>
    <w:basedOn w:val="1"/>
    <w:qFormat/>
    <w:uiPriority w:val="34"/>
    <w:pPr>
      <w:ind w:firstLine="420" w:firstLineChars="200"/>
    </w:pPr>
  </w:style>
  <w:style w:type="table" w:customStyle="1" w:styleId="965">
    <w:name w:val="Table Normal"/>
    <w:semiHidden/>
    <w:unhideWhenUsed/>
    <w:qFormat/>
    <w:uiPriority w:val="0"/>
    <w:tblPr>
      <w:tblCellMar>
        <w:top w:w="0" w:type="dxa"/>
        <w:left w:w="0" w:type="dxa"/>
        <w:bottom w:w="0" w:type="dxa"/>
        <w:right w:w="0" w:type="dxa"/>
      </w:tblCellMar>
    </w:tblPr>
  </w:style>
  <w:style w:type="character" w:customStyle="1" w:styleId="966">
    <w:name w:val="font111"/>
    <w:basedOn w:val="71"/>
    <w:qFormat/>
    <w:uiPriority w:val="0"/>
    <w:rPr>
      <w:rFonts w:hint="eastAsia" w:ascii="宋体" w:hAnsi="宋体" w:eastAsia="宋体" w:cs="宋体"/>
      <w:color w:val="000000"/>
      <w:sz w:val="22"/>
      <w:szCs w:val="22"/>
      <w:u w:val="none"/>
    </w:rPr>
  </w:style>
  <w:style w:type="character" w:customStyle="1" w:styleId="967">
    <w:name w:val="font101"/>
    <w:basedOn w:val="71"/>
    <w:qFormat/>
    <w:uiPriority w:val="0"/>
    <w:rPr>
      <w:rFonts w:hint="eastAsia" w:ascii="宋体" w:hAnsi="宋体" w:eastAsia="宋体" w:cs="宋体"/>
      <w:color w:val="FF0000"/>
      <w:sz w:val="22"/>
      <w:szCs w:val="22"/>
      <w:u w:val="none"/>
    </w:rPr>
  </w:style>
  <w:style w:type="paragraph" w:customStyle="1" w:styleId="968">
    <w:name w:val="Proposals body"/>
    <w:next w:val="1"/>
    <w:qFormat/>
    <w:uiPriority w:val="0"/>
    <w:pPr>
      <w:widowControl/>
      <w:spacing w:line="360" w:lineRule="auto"/>
      <w:jc w:val="left"/>
    </w:pPr>
    <w:rPr>
      <w:rFonts w:ascii="宋体" w:hAnsi="Times New Roman" w:eastAsia="宋体" w:cs="Times New Roman"/>
      <w:snapToGrid w:val="0"/>
      <w:color w:val="000000"/>
      <w:kern w:val="0"/>
      <w:sz w:val="24"/>
      <w:szCs w:val="20"/>
      <w:lang w:val="en-US" w:eastAsia="zh-CN" w:bidi="ar-SA"/>
    </w:rPr>
  </w:style>
  <w:style w:type="paragraph" w:customStyle="1" w:styleId="969">
    <w:name w:val="Body text|1"/>
    <w:basedOn w:val="1"/>
    <w:qFormat/>
    <w:uiPriority w:val="0"/>
    <w:pPr>
      <w:widowControl w:val="0"/>
      <w:shd w:val="clear" w:color="auto" w:fill="auto"/>
      <w:spacing w:line="434" w:lineRule="auto"/>
      <w:ind w:firstLine="400"/>
    </w:pPr>
    <w:rPr>
      <w:rFonts w:ascii="宋体" w:hAnsi="宋体" w:eastAsia="宋体" w:cs="宋体"/>
      <w:sz w:val="18"/>
      <w:szCs w:val="18"/>
      <w:u w:val="none"/>
      <w:shd w:val="clear" w:color="auto" w:fill="auto"/>
      <w:lang w:val="zh-TW" w:eastAsia="zh-TW" w:bidi="zh-TW"/>
    </w:rPr>
  </w:style>
  <w:style w:type="paragraph" w:customStyle="1" w:styleId="970">
    <w:name w:val="条款样式"/>
    <w:qFormat/>
    <w:uiPriority w:val="0"/>
    <w:pPr>
      <w:widowControl w:val="0"/>
      <w:tabs>
        <w:tab w:val="left" w:pos="770"/>
      </w:tabs>
      <w:spacing w:line="400" w:lineRule="exact"/>
      <w:ind w:hanging="771" w:hangingChars="367"/>
      <w:contextualSpacing/>
      <w:textAlignment w:val="center"/>
    </w:pPr>
    <w:rPr>
      <w:rFonts w:ascii="Calibri" w:hAnsi="Calibri" w:eastAsia="宋体" w:cs="Times New Roman"/>
      <w:kern w:val="2"/>
      <w:sz w:val="21"/>
      <w:szCs w:val="22"/>
      <w:lang w:val="en-US" w:eastAsia="zh-CN" w:bidi="ar-SA"/>
    </w:rPr>
  </w:style>
  <w:style w:type="paragraph" w:customStyle="1" w:styleId="971">
    <w:name w:val="正文文本缩进 31"/>
    <w:basedOn w:val="1"/>
    <w:qFormat/>
    <w:uiPriority w:val="0"/>
    <w:pPr>
      <w:ind w:firstLine="480"/>
    </w:pPr>
    <w:rPr>
      <w:kern w:val="16"/>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header" Target="header9.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138</Pages>
  <Words>18409</Words>
  <Characters>21266</Characters>
  <Lines>1</Lines>
  <Paragraphs>1</Paragraphs>
  <TotalTime>4</TotalTime>
  <ScaleCrop>false</ScaleCrop>
  <LinksUpToDate>false</LinksUpToDate>
  <CharactersWithSpaces>21510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绍兴轨交充电网二期项目</dc:title>
  <dc:creator>玥</dc:creator>
  <cp:lastModifiedBy>蒋红</cp:lastModifiedBy>
  <cp:lastPrinted>2025-11-14T08:03:00Z</cp:lastPrinted>
  <dcterms:created xsi:type="dcterms:W3CDTF">2021-08-04T08:22:00Z</dcterms:created>
  <dcterms:modified xsi:type="dcterms:W3CDTF">2026-01-21T00:52:25Z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95B8CADB4900FA0457425A690EBF02E5_43</vt:lpwstr>
  </property>
  <property fmtid="{D5CDD505-2E9C-101B-9397-08002B2CF9AE}" pid="5" name="KSOTemplateDocerSaveRecord">
    <vt:lpwstr>eyJoZGlkIjoiODZlMzA1NWQ0NmY5YjdkZmFjODUxZDMzZmViMDUwYTQiLCJ1c2VySWQiOiI1NTcxMDE5OTQifQ==</vt:lpwstr>
  </property>
</Properties>
</file>