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D6610">
      <w:pPr>
        <w:shd w:val="clear"/>
        <w:adjustRightInd/>
        <w:spacing w:line="360" w:lineRule="auto"/>
        <w:jc w:val="center"/>
        <w:outlineLvl w:val="0"/>
        <w:rPr>
          <w:rFonts w:hint="eastAsia" w:ascii="仿宋" w:hAnsi="仿宋" w:eastAsia="仿宋" w:cs="仿宋"/>
          <w:b/>
          <w:color w:val="auto"/>
          <w:sz w:val="32"/>
          <w:szCs w:val="18"/>
          <w:highlight w:val="none"/>
        </w:rPr>
      </w:pPr>
      <w:r>
        <w:rPr>
          <w:rFonts w:hint="eastAsia" w:ascii="仿宋" w:hAnsi="仿宋" w:eastAsia="仿宋" w:cs="仿宋"/>
          <w:b/>
          <w:color w:val="auto"/>
          <w:sz w:val="32"/>
          <w:szCs w:val="18"/>
          <w:highlight w:val="none"/>
        </w:rPr>
        <w:t>浙江翔实建设项目管理有限公司关于绍兴市公共交通集团有限公司公交车保险服务项目的公开招标公告</w:t>
      </w:r>
    </w:p>
    <w:p w14:paraId="32DD3B3B">
      <w:pPr>
        <w:pBdr>
          <w:top w:val="single" w:color="auto" w:sz="4" w:space="1"/>
          <w:left w:val="single" w:color="auto" w:sz="4" w:space="4"/>
          <w:bottom w:val="single" w:color="auto" w:sz="4" w:space="1"/>
          <w:right w:val="single" w:color="auto" w:sz="4" w:space="4"/>
        </w:pBdr>
        <w:shd w:val="clear"/>
        <w:spacing w:line="440" w:lineRule="exact"/>
        <w:ind w:firstLine="480" w:firstLineChars="200"/>
        <w:rPr>
          <w:rFonts w:hint="eastAsia" w:ascii="仿宋" w:hAnsi="仿宋" w:eastAsia="仿宋" w:cs="仿宋"/>
          <w:color w:val="auto"/>
          <w:sz w:val="24"/>
          <w:highlight w:val="none"/>
          <w:u w:val="single"/>
        </w:rPr>
      </w:pPr>
      <w:r>
        <w:rPr>
          <w:rFonts w:hint="eastAsia" w:ascii="仿宋" w:hAnsi="仿宋" w:eastAsia="仿宋" w:cs="仿宋"/>
          <w:color w:val="auto"/>
          <w:sz w:val="24"/>
          <w:highlight w:val="none"/>
        </w:rPr>
        <w:t>项目概况：</w:t>
      </w:r>
      <w:r>
        <w:rPr>
          <w:rFonts w:hint="eastAsia" w:ascii="仿宋" w:hAnsi="仿宋" w:eastAsia="仿宋" w:cs="仿宋"/>
          <w:bCs/>
          <w:color w:val="auto"/>
          <w:sz w:val="24"/>
          <w:highlight w:val="none"/>
          <w:u w:val="single"/>
          <w:lang w:eastAsia="zh-CN"/>
        </w:rPr>
        <w:t>绍兴市公共交通集团有限公司公交车保险服务项目</w:t>
      </w:r>
      <w:r>
        <w:rPr>
          <w:rFonts w:hint="eastAsia" w:ascii="仿宋" w:hAnsi="仿宋" w:eastAsia="仿宋" w:cs="仿宋"/>
          <w:color w:val="auto"/>
          <w:sz w:val="24"/>
          <w:highlight w:val="none"/>
        </w:rPr>
        <w:t>招标项目的潜在投标人应在乐采云平台（</w:t>
      </w:r>
      <w:r>
        <w:rPr>
          <w:rFonts w:hint="eastAsia" w:ascii="仿宋" w:hAnsi="仿宋" w:eastAsia="仿宋" w:cs="仿宋"/>
          <w:color w:val="auto"/>
          <w:highlight w:val="none"/>
        </w:rPr>
        <w:fldChar w:fldCharType="begin"/>
      </w:r>
      <w:r>
        <w:rPr>
          <w:rFonts w:hint="eastAsia" w:ascii="仿宋" w:hAnsi="仿宋" w:eastAsia="仿宋" w:cs="仿宋"/>
          <w:color w:val="auto"/>
          <w:highlight w:val="none"/>
        </w:rPr>
        <w:instrText xml:space="preserve"> HYPERLINK "https://www.zcygov.cn/）获取（下载）招标文件，并于202%20年%20月%20日%20点%20分00秒" </w:instrText>
      </w:r>
      <w:r>
        <w:rPr>
          <w:rFonts w:hint="eastAsia" w:ascii="仿宋" w:hAnsi="仿宋" w:eastAsia="仿宋" w:cs="仿宋"/>
          <w:color w:val="auto"/>
          <w:highlight w:val="none"/>
        </w:rPr>
        <w:fldChar w:fldCharType="separate"/>
      </w:r>
      <w:r>
        <w:rPr>
          <w:rStyle w:val="8"/>
          <w:rFonts w:hint="eastAsia" w:ascii="仿宋" w:hAnsi="仿宋" w:eastAsia="仿宋" w:cs="仿宋"/>
          <w:snapToGrid/>
          <w:color w:val="auto"/>
          <w:kern w:val="2"/>
          <w:sz w:val="24"/>
          <w:szCs w:val="24"/>
          <w:highlight w:val="none"/>
        </w:rPr>
        <w:t>https://www.lecaiyun.com/）获取（下载）招标文件，并于202</w:t>
      </w:r>
      <w:r>
        <w:rPr>
          <w:rStyle w:val="8"/>
          <w:rFonts w:hint="eastAsia" w:ascii="仿宋" w:hAnsi="仿宋" w:eastAsia="仿宋" w:cs="仿宋"/>
          <w:snapToGrid/>
          <w:color w:val="auto"/>
          <w:kern w:val="2"/>
          <w:sz w:val="24"/>
          <w:szCs w:val="24"/>
          <w:highlight w:val="none"/>
          <w:lang w:val="en-US" w:eastAsia="zh-CN"/>
        </w:rPr>
        <w:t>5</w:t>
      </w:r>
      <w:r>
        <w:rPr>
          <w:rStyle w:val="8"/>
          <w:rFonts w:hint="eastAsia" w:ascii="仿宋" w:hAnsi="仿宋" w:eastAsia="仿宋" w:cs="仿宋"/>
          <w:snapToGrid/>
          <w:color w:val="auto"/>
          <w:kern w:val="2"/>
          <w:sz w:val="24"/>
          <w:szCs w:val="24"/>
          <w:highlight w:val="none"/>
        </w:rPr>
        <w:t>年</w:t>
      </w:r>
      <w:r>
        <w:rPr>
          <w:rStyle w:val="8"/>
          <w:rFonts w:hint="eastAsia" w:ascii="仿宋" w:hAnsi="仿宋" w:eastAsia="仿宋" w:cs="仿宋"/>
          <w:snapToGrid/>
          <w:color w:val="auto"/>
          <w:kern w:val="2"/>
          <w:sz w:val="24"/>
          <w:szCs w:val="24"/>
          <w:highlight w:val="none"/>
          <w:lang w:val="en-US" w:eastAsia="zh-CN"/>
        </w:rPr>
        <w:t xml:space="preserve"> 8 </w:t>
      </w:r>
      <w:r>
        <w:rPr>
          <w:rStyle w:val="8"/>
          <w:rFonts w:hint="eastAsia" w:ascii="仿宋" w:hAnsi="仿宋" w:eastAsia="仿宋" w:cs="仿宋"/>
          <w:snapToGrid/>
          <w:color w:val="auto"/>
          <w:kern w:val="2"/>
          <w:sz w:val="24"/>
          <w:szCs w:val="24"/>
          <w:highlight w:val="none"/>
        </w:rPr>
        <w:t>月</w:t>
      </w:r>
      <w:r>
        <w:rPr>
          <w:rStyle w:val="8"/>
          <w:rFonts w:hint="eastAsia" w:ascii="仿宋" w:hAnsi="仿宋" w:eastAsia="仿宋" w:cs="仿宋"/>
          <w:snapToGrid/>
          <w:color w:val="auto"/>
          <w:kern w:val="2"/>
          <w:sz w:val="24"/>
          <w:szCs w:val="24"/>
          <w:highlight w:val="none"/>
          <w:lang w:val="en-US" w:eastAsia="zh-CN"/>
        </w:rPr>
        <w:t xml:space="preserve"> 22</w:t>
      </w:r>
      <w:r>
        <w:rPr>
          <w:rStyle w:val="8"/>
          <w:rFonts w:hint="eastAsia" w:ascii="仿宋" w:hAnsi="仿宋" w:eastAsia="仿宋" w:cs="仿宋"/>
          <w:snapToGrid/>
          <w:color w:val="auto"/>
          <w:kern w:val="2"/>
          <w:sz w:val="24"/>
          <w:szCs w:val="24"/>
          <w:highlight w:val="none"/>
        </w:rPr>
        <w:t>日</w:t>
      </w:r>
      <w:r>
        <w:rPr>
          <w:rStyle w:val="8"/>
          <w:rFonts w:hint="eastAsia" w:ascii="仿宋" w:hAnsi="仿宋" w:eastAsia="仿宋" w:cs="仿宋"/>
          <w:snapToGrid/>
          <w:color w:val="auto"/>
          <w:kern w:val="2"/>
          <w:sz w:val="24"/>
          <w:szCs w:val="24"/>
          <w:highlight w:val="none"/>
          <w:lang w:val="en-US" w:eastAsia="zh-CN"/>
        </w:rPr>
        <w:t>9</w:t>
      </w:r>
      <w:r>
        <w:rPr>
          <w:rStyle w:val="8"/>
          <w:rFonts w:hint="eastAsia" w:ascii="仿宋" w:hAnsi="仿宋" w:eastAsia="仿宋" w:cs="仿宋"/>
          <w:snapToGrid/>
          <w:color w:val="auto"/>
          <w:kern w:val="2"/>
          <w:sz w:val="24"/>
          <w:szCs w:val="24"/>
          <w:highlight w:val="none"/>
        </w:rPr>
        <w:t>点</w:t>
      </w:r>
      <w:r>
        <w:rPr>
          <w:rStyle w:val="8"/>
          <w:rFonts w:hint="eastAsia" w:ascii="仿宋" w:hAnsi="仿宋" w:eastAsia="仿宋" w:cs="仿宋"/>
          <w:snapToGrid/>
          <w:color w:val="auto"/>
          <w:kern w:val="2"/>
          <w:sz w:val="24"/>
          <w:szCs w:val="24"/>
          <w:highlight w:val="none"/>
          <w:lang w:val="en-US" w:eastAsia="zh-CN"/>
        </w:rPr>
        <w:t>00</w:t>
      </w:r>
      <w:r>
        <w:rPr>
          <w:rStyle w:val="8"/>
          <w:rFonts w:hint="eastAsia" w:ascii="仿宋" w:hAnsi="仿宋" w:eastAsia="仿宋" w:cs="仿宋"/>
          <w:snapToGrid/>
          <w:color w:val="auto"/>
          <w:kern w:val="2"/>
          <w:sz w:val="24"/>
          <w:szCs w:val="24"/>
          <w:highlight w:val="none"/>
        </w:rPr>
        <w:t>分</w:t>
      </w:r>
      <w:r>
        <w:rPr>
          <w:rStyle w:val="8"/>
          <w:rFonts w:hint="eastAsia" w:ascii="仿宋" w:hAnsi="仿宋" w:eastAsia="仿宋" w:cs="仿宋"/>
          <w:bCs/>
          <w:snapToGrid/>
          <w:color w:val="auto"/>
          <w:kern w:val="2"/>
          <w:sz w:val="24"/>
          <w:szCs w:val="24"/>
          <w:highlight w:val="none"/>
        </w:rPr>
        <w:t>00秒</w:t>
      </w:r>
      <w:r>
        <w:rPr>
          <w:rStyle w:val="8"/>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7CE992A2">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一、项目基本情况</w:t>
      </w:r>
    </w:p>
    <w:p w14:paraId="7198FCB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b/>
          <w:color w:val="auto"/>
          <w:sz w:val="24"/>
          <w:szCs w:val="24"/>
          <w:highlight w:val="none"/>
        </w:rPr>
        <w:t>项目编号：</w:t>
      </w:r>
      <w:r>
        <w:rPr>
          <w:rFonts w:hint="eastAsia" w:ascii="仿宋" w:hAnsi="仿宋" w:eastAsia="仿宋" w:cs="仿宋"/>
          <w:b w:val="0"/>
          <w:bCs/>
          <w:color w:val="auto"/>
          <w:sz w:val="24"/>
          <w:szCs w:val="24"/>
          <w:highlight w:val="none"/>
        </w:rPr>
        <w:t xml:space="preserve">CGSHZJ-2025-N001157 </w:t>
      </w:r>
      <w:r>
        <w:rPr>
          <w:rFonts w:hint="eastAsia" w:ascii="仿宋" w:hAnsi="仿宋" w:eastAsia="仿宋" w:cs="仿宋"/>
          <w:b/>
          <w:color w:val="auto"/>
          <w:sz w:val="24"/>
          <w:szCs w:val="24"/>
          <w:highlight w:val="none"/>
          <w:lang w:eastAsia="zh-CN"/>
        </w:rPr>
        <w:t xml:space="preserve">      </w:t>
      </w:r>
    </w:p>
    <w:p w14:paraId="178500F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项目名称：</w:t>
      </w:r>
      <w:r>
        <w:rPr>
          <w:rFonts w:hint="eastAsia" w:ascii="仿宋" w:hAnsi="仿宋" w:eastAsia="仿宋" w:cs="仿宋"/>
          <w:b w:val="0"/>
          <w:bCs/>
          <w:color w:val="auto"/>
          <w:sz w:val="24"/>
          <w:szCs w:val="24"/>
          <w:highlight w:val="none"/>
          <w:lang w:eastAsia="zh-CN"/>
        </w:rPr>
        <w:t>绍兴市公共交通集团有限公司公交车保险服务项目</w:t>
      </w:r>
    </w:p>
    <w:p w14:paraId="28246E2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color w:val="auto"/>
          <w:sz w:val="24"/>
          <w:szCs w:val="24"/>
          <w:highlight w:val="none"/>
          <w:lang w:val="en-US"/>
        </w:rPr>
      </w:pPr>
      <w:r>
        <w:rPr>
          <w:rFonts w:hint="eastAsia" w:ascii="仿宋" w:hAnsi="仿宋" w:eastAsia="仿宋" w:cs="仿宋"/>
          <w:b/>
          <w:color w:val="auto"/>
          <w:sz w:val="24"/>
          <w:szCs w:val="24"/>
          <w:highlight w:val="none"/>
        </w:rPr>
        <w:t>预算金额（元）：</w:t>
      </w:r>
      <w:r>
        <w:rPr>
          <w:rFonts w:hint="eastAsia" w:ascii="仿宋" w:hAnsi="仿宋" w:eastAsia="仿宋" w:cs="仿宋"/>
          <w:b w:val="0"/>
          <w:bCs w:val="0"/>
          <w:color w:val="auto"/>
          <w:sz w:val="24"/>
          <w:szCs w:val="24"/>
          <w:highlight w:val="none"/>
          <w:lang w:val="en-US" w:eastAsia="zh-CN"/>
        </w:rPr>
        <w:t>36000000</w:t>
      </w:r>
    </w:p>
    <w:p w14:paraId="5641BF16">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default" w:ascii="仿宋" w:hAnsi="仿宋" w:eastAsia="仿宋" w:cs="仿宋"/>
          <w:b w:val="0"/>
          <w:bCs/>
          <w:color w:val="auto"/>
          <w:sz w:val="24"/>
          <w:szCs w:val="24"/>
          <w:highlight w:val="none"/>
          <w:lang w:val="en-US"/>
        </w:rPr>
      </w:pPr>
      <w:r>
        <w:rPr>
          <w:rFonts w:hint="eastAsia" w:ascii="仿宋" w:hAnsi="仿宋" w:eastAsia="仿宋" w:cs="仿宋"/>
          <w:b/>
          <w:color w:val="auto"/>
          <w:sz w:val="24"/>
          <w:szCs w:val="24"/>
          <w:highlight w:val="none"/>
        </w:rPr>
        <w:t>最高限价（元）：</w:t>
      </w:r>
      <w:r>
        <w:rPr>
          <w:rFonts w:hint="eastAsia" w:ascii="仿宋" w:hAnsi="仿宋" w:eastAsia="仿宋" w:cs="仿宋"/>
          <w:b w:val="0"/>
          <w:bCs w:val="0"/>
          <w:color w:val="auto"/>
          <w:sz w:val="24"/>
          <w:szCs w:val="24"/>
          <w:highlight w:val="none"/>
          <w:lang w:val="en-US" w:eastAsia="zh-CN"/>
        </w:rPr>
        <w:t>36000000</w:t>
      </w:r>
    </w:p>
    <w:p w14:paraId="6F5F83E3">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采购需求：</w:t>
      </w:r>
    </w:p>
    <w:p w14:paraId="2BEF095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标项一:</w:t>
      </w:r>
    </w:p>
    <w:p w14:paraId="2925987E">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标项名称:</w:t>
      </w:r>
      <w:r>
        <w:rPr>
          <w:rFonts w:hint="eastAsia" w:ascii="仿宋" w:hAnsi="仿宋" w:eastAsia="仿宋" w:cs="仿宋"/>
          <w:b w:val="0"/>
          <w:bCs/>
          <w:color w:val="auto"/>
          <w:sz w:val="24"/>
          <w:szCs w:val="24"/>
          <w:highlight w:val="none"/>
          <w:lang w:eastAsia="zh-CN"/>
        </w:rPr>
        <w:t>绍兴市公共交通集团有限公司公交车保险服务项目</w:t>
      </w:r>
      <w:r>
        <w:rPr>
          <w:rFonts w:hint="eastAsia" w:ascii="仿宋" w:hAnsi="仿宋" w:eastAsia="仿宋" w:cs="仿宋"/>
          <w:bCs/>
          <w:color w:val="auto"/>
          <w:sz w:val="24"/>
          <w:szCs w:val="24"/>
          <w:highlight w:val="none"/>
        </w:rPr>
        <w:t xml:space="preserve"> </w:t>
      </w:r>
    </w:p>
    <w:p w14:paraId="0A229D9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lang w:val="en-US"/>
        </w:rPr>
      </w:pPr>
      <w:r>
        <w:rPr>
          <w:rFonts w:hint="eastAsia" w:ascii="仿宋" w:hAnsi="仿宋" w:eastAsia="仿宋" w:cs="仿宋"/>
          <w:bCs/>
          <w:color w:val="auto"/>
          <w:sz w:val="24"/>
          <w:szCs w:val="24"/>
          <w:highlight w:val="none"/>
        </w:rPr>
        <w:t> 数量:</w:t>
      </w:r>
      <w:r>
        <w:rPr>
          <w:rFonts w:hint="eastAsia" w:ascii="仿宋" w:hAnsi="仿宋" w:eastAsia="仿宋" w:cs="仿宋"/>
          <w:bCs/>
          <w:color w:val="auto"/>
          <w:sz w:val="24"/>
          <w:szCs w:val="24"/>
          <w:highlight w:val="none"/>
          <w:lang w:val="en-US" w:eastAsia="zh-CN"/>
        </w:rPr>
        <w:t>1</w:t>
      </w:r>
      <w:bookmarkStart w:id="13" w:name="_GoBack"/>
      <w:bookmarkEnd w:id="13"/>
    </w:p>
    <w:p w14:paraId="4DA0F8F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b w:val="0"/>
          <w:bCs w:val="0"/>
          <w:color w:val="auto"/>
          <w:sz w:val="24"/>
          <w:szCs w:val="24"/>
          <w:highlight w:val="none"/>
          <w:lang w:val="en-US" w:eastAsia="zh-CN"/>
        </w:rPr>
      </w:pPr>
      <w:r>
        <w:rPr>
          <w:rFonts w:hint="eastAsia" w:ascii="仿宋" w:hAnsi="仿宋" w:eastAsia="仿宋" w:cs="仿宋"/>
          <w:bCs/>
          <w:color w:val="auto"/>
          <w:sz w:val="24"/>
          <w:szCs w:val="24"/>
          <w:highlight w:val="none"/>
        </w:rPr>
        <w:t> 预算金额（元）:</w:t>
      </w:r>
      <w:r>
        <w:rPr>
          <w:rFonts w:hint="eastAsia" w:ascii="仿宋" w:hAnsi="仿宋" w:eastAsia="仿宋" w:cs="仿宋"/>
          <w:b w:val="0"/>
          <w:bCs w:val="0"/>
          <w:color w:val="auto"/>
          <w:sz w:val="24"/>
          <w:szCs w:val="24"/>
          <w:highlight w:val="none"/>
          <w:lang w:val="en-US" w:eastAsia="zh-CN"/>
        </w:rPr>
        <w:t>36000000</w:t>
      </w:r>
    </w:p>
    <w:p w14:paraId="290807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主要内容：</w:t>
      </w:r>
      <w:r>
        <w:rPr>
          <w:rFonts w:hint="eastAsia" w:ascii="仿宋" w:hAnsi="仿宋" w:eastAsia="仿宋" w:cs="仿宋"/>
          <w:bCs/>
          <w:color w:val="auto"/>
          <w:sz w:val="24"/>
          <w:szCs w:val="24"/>
          <w:highlight w:val="none"/>
          <w:lang w:eastAsia="zh-CN"/>
        </w:rPr>
        <w:t>具体</w:t>
      </w:r>
      <w:r>
        <w:rPr>
          <w:rFonts w:hint="eastAsia" w:ascii="仿宋" w:hAnsi="仿宋" w:eastAsia="仿宋" w:cs="仿宋"/>
          <w:bCs/>
          <w:color w:val="auto"/>
          <w:sz w:val="24"/>
          <w:szCs w:val="24"/>
          <w:highlight w:val="none"/>
        </w:rPr>
        <w:t>详见采购文件 </w:t>
      </w:r>
      <w:r>
        <w:rPr>
          <w:rFonts w:hint="eastAsia" w:ascii="仿宋" w:hAnsi="仿宋" w:eastAsia="仿宋" w:cs="仿宋"/>
          <w:bCs/>
          <w:color w:val="auto"/>
          <w:sz w:val="24"/>
          <w:szCs w:val="24"/>
          <w:highlight w:val="none"/>
          <w:lang w:eastAsia="zh-CN"/>
        </w:rPr>
        <w:t>。</w:t>
      </w:r>
    </w:p>
    <w:p w14:paraId="1776D46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 备注：</w:t>
      </w:r>
      <w:r>
        <w:rPr>
          <w:rFonts w:hint="eastAsia" w:ascii="仿宋" w:hAnsi="仿宋" w:eastAsia="仿宋" w:cs="仿宋"/>
          <w:bCs/>
          <w:color w:val="auto"/>
          <w:sz w:val="24"/>
          <w:szCs w:val="24"/>
          <w:highlight w:val="none"/>
          <w:lang w:eastAsia="zh-CN"/>
        </w:rPr>
        <w:t>无</w:t>
      </w:r>
    </w:p>
    <w:p w14:paraId="1E92010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rPr>
      </w:pPr>
      <w:r>
        <w:rPr>
          <w:rFonts w:hint="eastAsia" w:ascii="仿宋" w:hAnsi="仿宋" w:eastAsia="仿宋" w:cs="仿宋"/>
          <w:bCs/>
          <w:color w:val="auto"/>
          <w:sz w:val="24"/>
          <w:szCs w:val="24"/>
          <w:highlight w:val="none"/>
        </w:rPr>
        <w:t>合同履行期限：按双方合同约定条款执行。</w:t>
      </w:r>
    </w:p>
    <w:p w14:paraId="6F427D8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本项目接受联合体投标：</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4"/>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pacing w:val="-100"/>
          <w:sz w:val="24"/>
          <w:szCs w:val="24"/>
          <w:highlight w:val="none"/>
        </w:rPr>
        <w:t xml:space="preserve"> </w:t>
      </w:r>
      <w:r>
        <w:rPr>
          <w:rFonts w:hint="eastAsia" w:ascii="仿宋" w:hAnsi="仿宋" w:eastAsia="仿宋" w:cs="仿宋"/>
          <w:b/>
          <w:color w:val="auto"/>
          <w:sz w:val="24"/>
          <w:szCs w:val="24"/>
          <w:highlight w:val="none"/>
        </w:rPr>
        <w:t>是，☐否。</w:t>
      </w:r>
    </w:p>
    <w:p w14:paraId="379ABA8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二、申请人的资格要求：</w:t>
      </w:r>
    </w:p>
    <w:p w14:paraId="3D7D38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4"/>
          <w:highlight w:val="none"/>
        </w:rPr>
        <w:t>1.</w:t>
      </w:r>
      <w:r>
        <w:rPr>
          <w:rFonts w:hint="eastAsia" w:ascii="仿宋" w:hAnsi="仿宋" w:eastAsia="仿宋" w:cs="仿宋"/>
          <w:snapToGrid w:val="0"/>
          <w:color w:val="auto"/>
          <w:kern w:val="28"/>
          <w:sz w:val="24"/>
          <w:szCs w:val="20"/>
          <w:highlight w:val="none"/>
        </w:rPr>
        <w:t>满足《中华人民共和国政府采购法》第二十二条规定；未被“信用中国”（</w:t>
      </w:r>
      <w:r>
        <w:rPr>
          <w:rFonts w:ascii="仿宋" w:hAnsi="仿宋" w:eastAsia="仿宋" w:cs="仿宋"/>
          <w:snapToGrid w:val="0"/>
          <w:color w:val="auto"/>
          <w:kern w:val="28"/>
          <w:sz w:val="24"/>
          <w:szCs w:val="20"/>
          <w:highlight w:val="none"/>
        </w:rPr>
        <w:t>www.creditchina.gov.cn)、中国政府采购网（www.ccgp.gov.cn）列入失信被执行人、</w:t>
      </w:r>
      <w:r>
        <w:rPr>
          <w:rFonts w:hint="eastAsia" w:ascii="仿宋" w:hAnsi="仿宋" w:eastAsia="仿宋" w:cs="仿宋"/>
          <w:snapToGrid w:val="0"/>
          <w:color w:val="auto"/>
          <w:kern w:val="28"/>
          <w:sz w:val="24"/>
          <w:szCs w:val="20"/>
          <w:highlight w:val="none"/>
          <w:lang w:eastAsia="zh-CN"/>
        </w:rPr>
        <w:t>重大税收违法失信主体</w:t>
      </w:r>
      <w:r>
        <w:rPr>
          <w:rFonts w:ascii="仿宋" w:hAnsi="仿宋" w:eastAsia="仿宋" w:cs="仿宋"/>
          <w:snapToGrid w:val="0"/>
          <w:color w:val="auto"/>
          <w:kern w:val="28"/>
          <w:sz w:val="24"/>
          <w:szCs w:val="20"/>
          <w:highlight w:val="none"/>
        </w:rPr>
        <w:t>、政府采购严重违法失信行为记录名单；</w:t>
      </w:r>
    </w:p>
    <w:p w14:paraId="0FE75D2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2.以联合体形式投标的，提供联合协议(本项目不接受联合体投标或者投标人不以联合体形式投标的，则不需要提供) ；</w:t>
      </w:r>
    </w:p>
    <w:p w14:paraId="046FF3A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snapToGrid w:val="0"/>
          <w:color w:val="auto"/>
          <w:kern w:val="28"/>
          <w:sz w:val="24"/>
          <w:szCs w:val="24"/>
          <w:highlight w:val="none"/>
        </w:rPr>
      </w:pPr>
      <w:r>
        <w:rPr>
          <w:rFonts w:hint="eastAsia" w:ascii="仿宋" w:hAnsi="仿宋" w:eastAsia="仿宋" w:cs="仿宋"/>
          <w:snapToGrid w:val="0"/>
          <w:color w:val="auto"/>
          <w:kern w:val="28"/>
          <w:sz w:val="24"/>
          <w:szCs w:val="24"/>
          <w:highlight w:val="none"/>
        </w:rPr>
        <w:t>3.落实采购政策需满足的资格要求：</w:t>
      </w:r>
    </w:p>
    <w:p w14:paraId="2B5CFA17">
      <w:pPr>
        <w:keepNext w:val="0"/>
        <w:keepLines w:val="0"/>
        <w:pageBreakBefore w:val="0"/>
        <w:shd w:val="clear"/>
        <w:kinsoku/>
        <w:wordWrap/>
        <w:overflowPunct/>
        <w:topLinePunct w:val="0"/>
        <w:autoSpaceDE/>
        <w:autoSpaceDN/>
        <w:bidi w:val="0"/>
        <w:snapToGrid/>
        <w:spacing w:line="440" w:lineRule="exact"/>
        <w:ind w:firstLine="5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100"/>
          <w:sz w:val="24"/>
          <w:szCs w:val="24"/>
          <w:highlight w:val="none"/>
        </w:rPr>
        <w:t xml:space="preserve"> </w:t>
      </w:r>
      <w:r>
        <w:rPr>
          <w:rFonts w:hint="eastAsia" w:ascii="仿宋" w:hAnsi="仿宋" w:eastAsia="仿宋" w:cs="仿宋"/>
          <w:color w:val="auto"/>
          <w:position w:val="-4"/>
          <w:sz w:val="24"/>
          <w:szCs w:val="24"/>
          <w:highlight w:val="none"/>
        </w:rPr>
        <w:drawing>
          <wp:inline distT="0" distB="0" distL="0" distR="0">
            <wp:extent cx="118110" cy="168275"/>
            <wp:effectExtent l="0" t="0" r="15240" b="2540"/>
            <wp:docPr id="3" name="IM 2"/>
            <wp:cNvGraphicFramePr/>
            <a:graphic xmlns:a="http://schemas.openxmlformats.org/drawingml/2006/main">
              <a:graphicData uri="http://schemas.openxmlformats.org/drawingml/2006/picture">
                <pic:pic xmlns:pic="http://schemas.openxmlformats.org/drawingml/2006/picture">
                  <pic:nvPicPr>
                    <pic:cNvPr id="3" name="IM 2"/>
                    <pic:cNvPicPr/>
                  </pic:nvPicPr>
                  <pic:blipFill>
                    <a:blip r:embed="rId4"/>
                    <a:stretch>
                      <a:fillRect/>
                    </a:stretch>
                  </pic:blipFill>
                  <pic:spPr>
                    <a:xfrm>
                      <a:off x="0" y="0"/>
                      <a:ext cx="118719" cy="168859"/>
                    </a:xfrm>
                    <a:prstGeom prst="rect">
                      <a:avLst/>
                    </a:prstGeom>
                  </pic:spPr>
                </pic:pic>
              </a:graphicData>
            </a:graphic>
          </wp:inline>
        </w:drawing>
      </w:r>
      <w:r>
        <w:rPr>
          <w:rFonts w:hint="eastAsia" w:ascii="仿宋" w:hAnsi="仿宋" w:eastAsia="仿宋" w:cs="仿宋"/>
          <w:color w:val="auto"/>
          <w:sz w:val="24"/>
          <w:szCs w:val="24"/>
          <w:highlight w:val="none"/>
        </w:rPr>
        <w:t>无；</w:t>
      </w:r>
    </w:p>
    <w:p w14:paraId="12DC460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☐专</w:t>
      </w:r>
      <w:r>
        <w:rPr>
          <w:rFonts w:hint="eastAsia" w:ascii="仿宋" w:hAnsi="仿宋" w:eastAsia="仿宋" w:cs="仿宋"/>
          <w:color w:val="auto"/>
          <w:sz w:val="24"/>
          <w:szCs w:val="24"/>
          <w:highlight w:val="none"/>
        </w:rPr>
        <w:t>门面向中小企业</w:t>
      </w:r>
    </w:p>
    <w:p w14:paraId="0544FD25">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u w:val="singl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货物全部由符合政策要求的中小企业制造，提供中小企业声明函；</w:t>
      </w:r>
    </w:p>
    <w:p w14:paraId="4D7AF1D1">
      <w:pPr>
        <w:keepNext w:val="0"/>
        <w:keepLines w:val="0"/>
        <w:pageBreakBefore w:val="0"/>
        <w:shd w:val="clear"/>
        <w:kinsoku/>
        <w:wordWrap/>
        <w:overflowPunct/>
        <w:topLinePunct w:val="0"/>
        <w:autoSpaceDE/>
        <w:autoSpaceDN/>
        <w:bidi w:val="0"/>
        <w:snapToGrid/>
        <w:spacing w:line="440" w:lineRule="exact"/>
        <w:ind w:firstLine="897" w:firstLineChars="374"/>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货物全部由符合政策要求的小微企业制造，提供中小企业声明函；</w:t>
      </w:r>
    </w:p>
    <w:p w14:paraId="75948484">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bookmarkStart w:id="0" w:name="_Hlk101132524"/>
      <w:r>
        <w:rPr>
          <w:rFonts w:hint="eastAsia" w:ascii="仿宋" w:hAnsi="仿宋" w:eastAsia="仿宋" w:cs="仿宋"/>
          <w:color w:val="auto"/>
          <w:sz w:val="24"/>
          <w:szCs w:val="24"/>
          <w:highlight w:val="none"/>
        </w:rPr>
        <w:t>要求以联合体形式参加，提供联合协议和中小企业声明函，联合协议中中小企业合同金额应当达到%，其中小微企业合同金额应当达到%;</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如果供应商本身提供所有标的均由中小企业制造、承建或承接，并相应达到了前述比例要求，视同符合了资格条件，无需再与其他中小企业组成联合体参加采购活动，无需提供联合协议</w:t>
      </w:r>
      <w:r>
        <w:rPr>
          <w:rFonts w:hint="eastAsia" w:ascii="仿宋" w:hAnsi="仿宋" w:eastAsia="仿宋" w:cs="仿宋"/>
          <w:color w:val="auto"/>
          <w:sz w:val="24"/>
          <w:szCs w:val="24"/>
          <w:highlight w:val="none"/>
        </w:rPr>
        <w:t>；</w:t>
      </w:r>
    </w:p>
    <w:bookmarkEnd w:id="0"/>
    <w:p w14:paraId="3B804F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要求合同分包，提供分包意向协议和中小企业声明函，分包意向协议中中小企业合同金额应当达到% ，其中小微企业合同金额应当达到% ;</w:t>
      </w:r>
      <w:r>
        <w:rPr>
          <w:rFonts w:hint="eastAsia" w:ascii="仿宋" w:hAnsi="仿宋" w:eastAsia="仿宋" w:cs="仿宋"/>
          <w:color w:val="auto"/>
          <w:spacing w:val="8"/>
          <w:kern w:val="0"/>
          <w:sz w:val="24"/>
          <w:szCs w:val="24"/>
          <w:highlight w:val="none"/>
        </w:rPr>
        <w:t>如果供应商本身提供所有标的均由中小企业制造、承建或承接，并相应达到了前述比例要求，视同符合了资格条件，无需再向中小企业分包，无需提供分包意向协议</w:t>
      </w:r>
      <w:r>
        <w:rPr>
          <w:rFonts w:hint="eastAsia" w:ascii="仿宋" w:hAnsi="仿宋" w:eastAsia="仿宋" w:cs="仿宋"/>
          <w:color w:val="auto"/>
          <w:sz w:val="24"/>
          <w:szCs w:val="24"/>
          <w:highlight w:val="none"/>
        </w:rPr>
        <w:t>；</w:t>
      </w:r>
    </w:p>
    <w:p w14:paraId="62D0031F">
      <w:pPr>
        <w:keepNext w:val="0"/>
        <w:keepLines w:val="0"/>
        <w:pageBreakBefore w:val="0"/>
        <w:numPr>
          <w:ilvl w:val="0"/>
          <w:numId w:val="1"/>
        </w:numPr>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u w:val="single"/>
          <w:lang w:val="en-US" w:eastAsia="zh-CN" w:bidi="ar-SA"/>
        </w:rPr>
      </w:pPr>
      <w:r>
        <w:rPr>
          <w:rFonts w:hint="eastAsia" w:ascii="仿宋" w:hAnsi="仿宋" w:eastAsia="仿宋" w:cs="仿宋"/>
          <w:color w:val="auto"/>
          <w:sz w:val="24"/>
          <w:szCs w:val="24"/>
          <w:highlight w:val="none"/>
        </w:rPr>
        <w:t>本项目的特定资格要求：</w:t>
      </w:r>
    </w:p>
    <w:p w14:paraId="345F11AC">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rPr>
      </w:pPr>
      <w:r>
        <w:rPr>
          <w:rFonts w:hint="eastAsia" w:ascii="仿宋" w:hAnsi="仿宋" w:eastAsia="仿宋" w:cs="仿宋"/>
          <w:color w:val="auto"/>
          <w:spacing w:val="8"/>
          <w:kern w:val="0"/>
          <w:sz w:val="24"/>
          <w:szCs w:val="24"/>
          <w:highlight w:val="none"/>
        </w:rPr>
        <w:t>4.1</w:t>
      </w:r>
      <w:r>
        <w:rPr>
          <w:rFonts w:hint="eastAsia" w:ascii="仿宋" w:hAnsi="仿宋" w:eastAsia="仿宋" w:cs="仿宋"/>
          <w:color w:val="auto"/>
          <w:spacing w:val="8"/>
          <w:kern w:val="0"/>
          <w:sz w:val="24"/>
          <w:szCs w:val="24"/>
          <w:highlight w:val="none"/>
          <w:lang w:val="en-US" w:eastAsia="zh-CN"/>
        </w:rPr>
        <w:t>投标人必须是经监管机构批准的具有《中华人民共和国保险许可证》且开展机动车辆保险业务的保险公司或其分支机构</w:t>
      </w:r>
      <w:r>
        <w:rPr>
          <w:rFonts w:hint="eastAsia" w:ascii="仿宋" w:hAnsi="仿宋" w:eastAsia="仿宋" w:cs="仿宋"/>
          <w:color w:val="auto"/>
          <w:spacing w:val="8"/>
          <w:kern w:val="0"/>
          <w:sz w:val="24"/>
          <w:szCs w:val="24"/>
          <w:highlight w:val="none"/>
        </w:rPr>
        <w:t>；</w:t>
      </w:r>
    </w:p>
    <w:p w14:paraId="4441308E">
      <w:pPr>
        <w:keepNext w:val="0"/>
        <w:keepLines w:val="0"/>
        <w:pageBreakBefore w:val="0"/>
        <w:shd w:val="clear"/>
        <w:kinsoku/>
        <w:wordWrap/>
        <w:overflowPunct/>
        <w:topLinePunct w:val="0"/>
        <w:autoSpaceDE/>
        <w:autoSpaceDN/>
        <w:bidi w:val="0"/>
        <w:snapToGrid/>
        <w:spacing w:line="440" w:lineRule="exact"/>
        <w:ind w:firstLine="512" w:firstLineChars="200"/>
        <w:textAlignment w:val="auto"/>
        <w:rPr>
          <w:rFonts w:hint="eastAsia" w:ascii="仿宋" w:hAnsi="仿宋" w:eastAsia="仿宋" w:cs="仿宋"/>
          <w:color w:val="auto"/>
          <w:spacing w:val="8"/>
          <w:kern w:val="0"/>
          <w:sz w:val="24"/>
          <w:szCs w:val="24"/>
          <w:highlight w:val="none"/>
          <w:lang w:val="en-US" w:eastAsia="zh-CN"/>
        </w:rPr>
      </w:pPr>
      <w:r>
        <w:rPr>
          <w:rFonts w:hint="eastAsia" w:ascii="仿宋" w:hAnsi="仿宋" w:eastAsia="仿宋" w:cs="仿宋"/>
          <w:color w:val="auto"/>
          <w:spacing w:val="8"/>
          <w:kern w:val="0"/>
          <w:sz w:val="24"/>
          <w:szCs w:val="24"/>
          <w:highlight w:val="none"/>
        </w:rPr>
        <w:t>4.2若投标人无法人资格，须取得其总公司针对本项目的书面授权，且同一法人针对本项目的书面授权只能授予其所属的一个分（支）公司。</w:t>
      </w:r>
    </w:p>
    <w:p w14:paraId="1E606E1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742A37B0">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三、获取招标文件</w:t>
      </w:r>
    </w:p>
    <w:p w14:paraId="1DA3DDC2">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时间：</w:t>
      </w:r>
      <w:r>
        <w:rPr>
          <w:rFonts w:hint="eastAsia" w:ascii="仿宋" w:hAnsi="仿宋" w:eastAsia="仿宋" w:cs="仿宋"/>
          <w:color w:val="auto"/>
          <w:sz w:val="24"/>
          <w:szCs w:val="24"/>
          <w:highlight w:val="none"/>
        </w:rPr>
        <w:t>/至</w:t>
      </w:r>
      <w:r>
        <w:rPr>
          <w:rFonts w:hint="eastAsia" w:ascii="仿宋" w:hAnsi="仿宋" w:eastAsia="仿宋" w:cs="仿宋"/>
          <w:color w:val="auto"/>
          <w:sz w:val="24"/>
          <w:szCs w:val="24"/>
          <w:highlight w:val="none"/>
          <w:u w:val="single"/>
          <w:lang w:val="en-US" w:eastAsia="zh-CN"/>
        </w:rPr>
        <w:t>2025</w:t>
      </w:r>
      <w:r>
        <w:rPr>
          <w:rFonts w:hint="eastAsia" w:ascii="仿宋" w:hAnsi="仿宋" w:eastAsia="仿宋" w:cs="仿宋"/>
          <w:color w:val="auto"/>
          <w:sz w:val="24"/>
          <w:szCs w:val="24"/>
          <w:highlight w:val="none"/>
          <w:u w:val="single"/>
        </w:rPr>
        <w:t>年</w:t>
      </w:r>
      <w:r>
        <w:rPr>
          <w:rFonts w:hint="eastAsia" w:ascii="仿宋" w:hAnsi="仿宋" w:eastAsia="仿宋" w:cs="仿宋"/>
          <w:color w:val="auto"/>
          <w:sz w:val="24"/>
          <w:szCs w:val="24"/>
          <w:highlight w:val="none"/>
          <w:u w:val="single"/>
          <w:lang w:val="en-US" w:eastAsia="zh-CN"/>
        </w:rPr>
        <w:t>8</w:t>
      </w:r>
      <w:r>
        <w:rPr>
          <w:rFonts w:hint="eastAsia" w:ascii="仿宋" w:hAnsi="仿宋" w:eastAsia="仿宋" w:cs="仿宋"/>
          <w:color w:val="auto"/>
          <w:sz w:val="24"/>
          <w:szCs w:val="24"/>
          <w:highlight w:val="none"/>
          <w:u w:val="single"/>
        </w:rPr>
        <w:t>月</w:t>
      </w:r>
      <w:r>
        <w:rPr>
          <w:rFonts w:hint="eastAsia" w:ascii="仿宋" w:hAnsi="仿宋" w:eastAsia="仿宋" w:cs="仿宋"/>
          <w:color w:val="auto"/>
          <w:sz w:val="24"/>
          <w:szCs w:val="24"/>
          <w:highlight w:val="none"/>
          <w:u w:val="single"/>
          <w:lang w:val="en-US" w:eastAsia="zh-CN"/>
        </w:rPr>
        <w:t>22</w:t>
      </w:r>
      <w:r>
        <w:rPr>
          <w:rFonts w:hint="eastAsia" w:ascii="仿宋" w:hAnsi="仿宋" w:eastAsia="仿宋" w:cs="仿宋"/>
          <w:color w:val="auto"/>
          <w:sz w:val="24"/>
          <w:szCs w:val="24"/>
          <w:highlight w:val="none"/>
          <w:u w:val="single"/>
        </w:rPr>
        <w:t>日</w:t>
      </w:r>
      <w:r>
        <w:rPr>
          <w:rFonts w:hint="eastAsia" w:ascii="仿宋" w:hAnsi="仿宋" w:eastAsia="仿宋" w:cs="仿宋"/>
          <w:color w:val="auto"/>
          <w:sz w:val="24"/>
          <w:szCs w:val="24"/>
          <w:highlight w:val="none"/>
        </w:rPr>
        <w:t>，每天上午00:00至12:00 ，下午12:00至23:59（北京时间，线上获取法定节假日均可，线下获取文件法定节假日除外）</w:t>
      </w:r>
    </w:p>
    <w:p w14:paraId="0652470E">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地点（网址）：</w:t>
      </w:r>
      <w:r>
        <w:rPr>
          <w:rFonts w:hint="eastAsia" w:ascii="仿宋" w:hAnsi="仿宋" w:eastAsia="仿宋" w:cs="仿宋"/>
          <w:color w:val="auto"/>
          <w:sz w:val="24"/>
          <w:szCs w:val="24"/>
          <w:highlight w:val="none"/>
        </w:rPr>
        <w:t xml:space="preserve">乐采云平台（https://www.lecaiyun.com/） </w:t>
      </w:r>
    </w:p>
    <w:p w14:paraId="4C38AFC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方式：</w:t>
      </w:r>
      <w:r>
        <w:rPr>
          <w:rFonts w:hint="eastAsia" w:ascii="仿宋" w:hAnsi="仿宋" w:eastAsia="仿宋" w:cs="仿宋"/>
          <w:color w:val="auto"/>
          <w:sz w:val="24"/>
          <w:szCs w:val="24"/>
          <w:highlight w:val="none"/>
        </w:rPr>
        <w:t xml:space="preserve">供应商登录乐采云平台https://www.lecaiyun.com/在线申请获取采购文件（进入“项目采购”应用，在获取采购文件菜单中选择项目，申请获取采购文件）。 </w:t>
      </w:r>
    </w:p>
    <w:p w14:paraId="05C08F9F">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售价（元）：</w:t>
      </w:r>
      <w:r>
        <w:rPr>
          <w:rFonts w:hint="eastAsia" w:ascii="仿宋" w:hAnsi="仿宋" w:eastAsia="仿宋" w:cs="仿宋"/>
          <w:color w:val="auto"/>
          <w:sz w:val="24"/>
          <w:szCs w:val="24"/>
          <w:highlight w:val="none"/>
        </w:rPr>
        <w:t xml:space="preserve">0 </w:t>
      </w:r>
      <w:r>
        <w:rPr>
          <w:rFonts w:hint="eastAsia" w:ascii="仿宋" w:hAnsi="仿宋" w:eastAsia="仿宋" w:cs="仿宋"/>
          <w:color w:val="auto"/>
          <w:sz w:val="24"/>
          <w:szCs w:val="24"/>
          <w:highlight w:val="none"/>
        </w:rPr>
        <w:tab/>
      </w:r>
    </w:p>
    <w:p w14:paraId="73CAD628">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四、提交投标文件截止时间、开标时间和地点</w:t>
      </w:r>
    </w:p>
    <w:p w14:paraId="6F1A804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提交投标文件截止时间：</w:t>
      </w:r>
      <w:r>
        <w:rPr>
          <w:rStyle w:val="8"/>
          <w:rFonts w:hint="eastAsia" w:ascii="仿宋" w:hAnsi="仿宋" w:eastAsia="仿宋" w:cs="仿宋"/>
          <w:snapToGrid/>
          <w:color w:val="auto"/>
          <w:kern w:val="2"/>
          <w:sz w:val="24"/>
          <w:szCs w:val="24"/>
          <w:highlight w:val="none"/>
        </w:rPr>
        <w:t>202</w:t>
      </w:r>
      <w:r>
        <w:rPr>
          <w:rStyle w:val="8"/>
          <w:rFonts w:hint="eastAsia" w:ascii="仿宋" w:hAnsi="仿宋" w:eastAsia="仿宋" w:cs="仿宋"/>
          <w:snapToGrid/>
          <w:color w:val="auto"/>
          <w:kern w:val="2"/>
          <w:sz w:val="24"/>
          <w:szCs w:val="24"/>
          <w:highlight w:val="none"/>
          <w:lang w:val="en-US" w:eastAsia="zh-CN"/>
        </w:rPr>
        <w:t>5</w:t>
      </w:r>
      <w:r>
        <w:rPr>
          <w:rStyle w:val="8"/>
          <w:rFonts w:hint="eastAsia" w:ascii="仿宋" w:hAnsi="仿宋" w:eastAsia="仿宋" w:cs="仿宋"/>
          <w:snapToGrid/>
          <w:color w:val="auto"/>
          <w:kern w:val="2"/>
          <w:sz w:val="24"/>
          <w:szCs w:val="24"/>
          <w:highlight w:val="none"/>
        </w:rPr>
        <w:t>年</w:t>
      </w:r>
      <w:r>
        <w:rPr>
          <w:rStyle w:val="8"/>
          <w:rFonts w:hint="eastAsia" w:ascii="仿宋" w:hAnsi="仿宋" w:eastAsia="仿宋" w:cs="仿宋"/>
          <w:snapToGrid/>
          <w:color w:val="auto"/>
          <w:kern w:val="2"/>
          <w:sz w:val="24"/>
          <w:szCs w:val="24"/>
          <w:highlight w:val="none"/>
          <w:lang w:val="en-US" w:eastAsia="zh-CN"/>
        </w:rPr>
        <w:t>8</w:t>
      </w:r>
      <w:r>
        <w:rPr>
          <w:rStyle w:val="8"/>
          <w:rFonts w:hint="eastAsia" w:ascii="仿宋" w:hAnsi="仿宋" w:eastAsia="仿宋" w:cs="仿宋"/>
          <w:snapToGrid/>
          <w:color w:val="auto"/>
          <w:kern w:val="2"/>
          <w:sz w:val="24"/>
          <w:szCs w:val="24"/>
          <w:highlight w:val="none"/>
        </w:rPr>
        <w:t>月</w:t>
      </w:r>
      <w:r>
        <w:rPr>
          <w:rStyle w:val="8"/>
          <w:rFonts w:hint="eastAsia" w:ascii="仿宋" w:hAnsi="仿宋" w:eastAsia="仿宋" w:cs="仿宋"/>
          <w:snapToGrid/>
          <w:color w:val="auto"/>
          <w:kern w:val="2"/>
          <w:sz w:val="24"/>
          <w:szCs w:val="24"/>
          <w:highlight w:val="none"/>
          <w:lang w:val="en-US" w:eastAsia="zh-CN"/>
        </w:rPr>
        <w:t xml:space="preserve">22 </w:t>
      </w:r>
      <w:r>
        <w:rPr>
          <w:rStyle w:val="8"/>
          <w:rFonts w:hint="eastAsia" w:ascii="仿宋" w:hAnsi="仿宋" w:eastAsia="仿宋" w:cs="仿宋"/>
          <w:snapToGrid/>
          <w:color w:val="auto"/>
          <w:kern w:val="2"/>
          <w:sz w:val="24"/>
          <w:szCs w:val="24"/>
          <w:highlight w:val="none"/>
        </w:rPr>
        <w:t>日</w:t>
      </w:r>
      <w:r>
        <w:rPr>
          <w:rStyle w:val="8"/>
          <w:rFonts w:hint="eastAsia" w:ascii="仿宋" w:hAnsi="仿宋" w:eastAsia="仿宋" w:cs="仿宋"/>
          <w:snapToGrid/>
          <w:color w:val="auto"/>
          <w:kern w:val="2"/>
          <w:sz w:val="24"/>
          <w:szCs w:val="24"/>
          <w:highlight w:val="none"/>
          <w:lang w:val="en-US" w:eastAsia="zh-CN"/>
        </w:rPr>
        <w:t>9</w:t>
      </w:r>
      <w:r>
        <w:rPr>
          <w:rStyle w:val="8"/>
          <w:rFonts w:hint="eastAsia" w:ascii="仿宋" w:hAnsi="仿宋" w:eastAsia="仿宋" w:cs="仿宋"/>
          <w:snapToGrid/>
          <w:color w:val="auto"/>
          <w:kern w:val="2"/>
          <w:sz w:val="24"/>
          <w:szCs w:val="24"/>
          <w:highlight w:val="none"/>
        </w:rPr>
        <w:t>点</w:t>
      </w:r>
      <w:r>
        <w:rPr>
          <w:rStyle w:val="8"/>
          <w:rFonts w:hint="eastAsia" w:ascii="仿宋" w:hAnsi="仿宋" w:eastAsia="仿宋" w:cs="仿宋"/>
          <w:snapToGrid/>
          <w:color w:val="auto"/>
          <w:kern w:val="2"/>
          <w:sz w:val="24"/>
          <w:szCs w:val="24"/>
          <w:highlight w:val="none"/>
          <w:lang w:val="en-US" w:eastAsia="zh-CN"/>
        </w:rPr>
        <w:t>00</w:t>
      </w:r>
      <w:r>
        <w:rPr>
          <w:rStyle w:val="8"/>
          <w:rFonts w:hint="eastAsia" w:ascii="仿宋" w:hAnsi="仿宋" w:eastAsia="仿宋" w:cs="仿宋"/>
          <w:snapToGrid/>
          <w:color w:val="auto"/>
          <w:kern w:val="2"/>
          <w:sz w:val="24"/>
          <w:szCs w:val="24"/>
          <w:highlight w:val="none"/>
        </w:rPr>
        <w:t>分</w:t>
      </w:r>
      <w:r>
        <w:rPr>
          <w:rStyle w:val="8"/>
          <w:rFonts w:hint="eastAsia" w:ascii="仿宋" w:hAnsi="仿宋" w:eastAsia="仿宋" w:cs="仿宋"/>
          <w:bCs/>
          <w:snapToGrid/>
          <w:color w:val="auto"/>
          <w:kern w:val="2"/>
          <w:sz w:val="24"/>
          <w:szCs w:val="24"/>
          <w:highlight w:val="none"/>
        </w:rPr>
        <w:t>00秒</w:t>
      </w:r>
      <w:r>
        <w:rPr>
          <w:rFonts w:hint="eastAsia" w:ascii="仿宋" w:hAnsi="仿宋" w:eastAsia="仿宋" w:cs="仿宋"/>
          <w:color w:val="auto"/>
          <w:sz w:val="24"/>
          <w:szCs w:val="24"/>
          <w:highlight w:val="none"/>
        </w:rPr>
        <w:t>（北京时间）</w:t>
      </w:r>
    </w:p>
    <w:p w14:paraId="1F017B7D">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投标地点（网址）：</w:t>
      </w:r>
      <w:r>
        <w:rPr>
          <w:rFonts w:hint="eastAsia" w:ascii="仿宋" w:hAnsi="仿宋" w:eastAsia="仿宋" w:cs="仿宋"/>
          <w:color w:val="auto"/>
          <w:sz w:val="24"/>
          <w:szCs w:val="24"/>
          <w:highlight w:val="none"/>
        </w:rPr>
        <w:t xml:space="preserve">乐采云平台（https://www.lecaiyun.com/） </w:t>
      </w:r>
    </w:p>
    <w:p w14:paraId="0C983F99">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bCs/>
          <w:color w:val="auto"/>
          <w:sz w:val="24"/>
          <w:szCs w:val="24"/>
          <w:highlight w:val="none"/>
          <w:u w:val="single"/>
        </w:rPr>
      </w:pPr>
      <w:r>
        <w:rPr>
          <w:rFonts w:hint="eastAsia" w:ascii="仿宋" w:hAnsi="仿宋" w:eastAsia="仿宋" w:cs="仿宋"/>
          <w:b/>
          <w:color w:val="auto"/>
          <w:sz w:val="24"/>
          <w:szCs w:val="24"/>
          <w:highlight w:val="none"/>
        </w:rPr>
        <w:t>开标时间：</w:t>
      </w:r>
      <w:r>
        <w:rPr>
          <w:rStyle w:val="8"/>
          <w:rFonts w:hint="eastAsia" w:ascii="仿宋" w:hAnsi="仿宋" w:eastAsia="仿宋" w:cs="仿宋"/>
          <w:snapToGrid/>
          <w:color w:val="auto"/>
          <w:kern w:val="2"/>
          <w:sz w:val="24"/>
          <w:szCs w:val="24"/>
          <w:highlight w:val="none"/>
        </w:rPr>
        <w:t>202</w:t>
      </w:r>
      <w:r>
        <w:rPr>
          <w:rStyle w:val="8"/>
          <w:rFonts w:hint="eastAsia" w:ascii="仿宋" w:hAnsi="仿宋" w:eastAsia="仿宋" w:cs="仿宋"/>
          <w:snapToGrid/>
          <w:color w:val="auto"/>
          <w:kern w:val="2"/>
          <w:sz w:val="24"/>
          <w:szCs w:val="24"/>
          <w:highlight w:val="none"/>
          <w:lang w:val="en-US" w:eastAsia="zh-CN"/>
        </w:rPr>
        <w:t>5</w:t>
      </w:r>
      <w:r>
        <w:rPr>
          <w:rStyle w:val="8"/>
          <w:rFonts w:hint="eastAsia" w:ascii="仿宋" w:hAnsi="仿宋" w:eastAsia="仿宋" w:cs="仿宋"/>
          <w:snapToGrid/>
          <w:color w:val="auto"/>
          <w:kern w:val="2"/>
          <w:sz w:val="24"/>
          <w:szCs w:val="24"/>
          <w:highlight w:val="none"/>
        </w:rPr>
        <w:t>年</w:t>
      </w:r>
      <w:r>
        <w:rPr>
          <w:rStyle w:val="8"/>
          <w:rFonts w:hint="eastAsia" w:ascii="仿宋" w:hAnsi="仿宋" w:eastAsia="仿宋" w:cs="仿宋"/>
          <w:snapToGrid/>
          <w:color w:val="auto"/>
          <w:kern w:val="2"/>
          <w:sz w:val="24"/>
          <w:szCs w:val="24"/>
          <w:highlight w:val="none"/>
          <w:lang w:val="en-US" w:eastAsia="zh-CN"/>
        </w:rPr>
        <w:t xml:space="preserve"> 8 </w:t>
      </w:r>
      <w:r>
        <w:rPr>
          <w:rStyle w:val="8"/>
          <w:rFonts w:hint="eastAsia" w:ascii="仿宋" w:hAnsi="仿宋" w:eastAsia="仿宋" w:cs="仿宋"/>
          <w:snapToGrid/>
          <w:color w:val="auto"/>
          <w:kern w:val="2"/>
          <w:sz w:val="24"/>
          <w:szCs w:val="24"/>
          <w:highlight w:val="none"/>
        </w:rPr>
        <w:t>月</w:t>
      </w:r>
      <w:r>
        <w:rPr>
          <w:rStyle w:val="8"/>
          <w:rFonts w:hint="eastAsia" w:ascii="仿宋" w:hAnsi="仿宋" w:eastAsia="仿宋" w:cs="仿宋"/>
          <w:snapToGrid/>
          <w:color w:val="auto"/>
          <w:kern w:val="2"/>
          <w:sz w:val="24"/>
          <w:szCs w:val="24"/>
          <w:highlight w:val="none"/>
          <w:lang w:val="en-US" w:eastAsia="zh-CN"/>
        </w:rPr>
        <w:t>22</w:t>
      </w:r>
      <w:r>
        <w:rPr>
          <w:rStyle w:val="8"/>
          <w:rFonts w:hint="eastAsia" w:ascii="仿宋" w:hAnsi="仿宋" w:eastAsia="仿宋" w:cs="仿宋"/>
          <w:snapToGrid/>
          <w:color w:val="auto"/>
          <w:kern w:val="2"/>
          <w:sz w:val="24"/>
          <w:szCs w:val="24"/>
          <w:highlight w:val="none"/>
        </w:rPr>
        <w:t>日</w:t>
      </w:r>
      <w:r>
        <w:rPr>
          <w:rStyle w:val="8"/>
          <w:rFonts w:hint="eastAsia" w:ascii="仿宋" w:hAnsi="仿宋" w:eastAsia="仿宋" w:cs="仿宋"/>
          <w:snapToGrid/>
          <w:color w:val="auto"/>
          <w:kern w:val="2"/>
          <w:sz w:val="24"/>
          <w:szCs w:val="24"/>
          <w:highlight w:val="none"/>
          <w:lang w:val="en-US" w:eastAsia="zh-CN"/>
        </w:rPr>
        <w:t>9</w:t>
      </w:r>
      <w:r>
        <w:rPr>
          <w:rStyle w:val="8"/>
          <w:rFonts w:hint="eastAsia" w:ascii="仿宋" w:hAnsi="仿宋" w:eastAsia="仿宋" w:cs="仿宋"/>
          <w:snapToGrid/>
          <w:color w:val="auto"/>
          <w:kern w:val="2"/>
          <w:sz w:val="24"/>
          <w:szCs w:val="24"/>
          <w:highlight w:val="none"/>
        </w:rPr>
        <w:t>点</w:t>
      </w:r>
      <w:r>
        <w:rPr>
          <w:rStyle w:val="8"/>
          <w:rFonts w:hint="eastAsia" w:ascii="仿宋" w:hAnsi="仿宋" w:eastAsia="仿宋" w:cs="仿宋"/>
          <w:snapToGrid/>
          <w:color w:val="auto"/>
          <w:kern w:val="2"/>
          <w:sz w:val="24"/>
          <w:szCs w:val="24"/>
          <w:highlight w:val="none"/>
          <w:lang w:val="en-US" w:eastAsia="zh-CN"/>
        </w:rPr>
        <w:t>00</w:t>
      </w:r>
      <w:r>
        <w:rPr>
          <w:rStyle w:val="8"/>
          <w:rFonts w:hint="eastAsia" w:ascii="仿宋" w:hAnsi="仿宋" w:eastAsia="仿宋" w:cs="仿宋"/>
          <w:snapToGrid/>
          <w:color w:val="auto"/>
          <w:kern w:val="2"/>
          <w:sz w:val="24"/>
          <w:szCs w:val="24"/>
          <w:highlight w:val="none"/>
        </w:rPr>
        <w:t>分</w:t>
      </w:r>
      <w:r>
        <w:rPr>
          <w:rStyle w:val="8"/>
          <w:rFonts w:hint="eastAsia" w:ascii="仿宋" w:hAnsi="仿宋" w:eastAsia="仿宋" w:cs="仿宋"/>
          <w:bCs/>
          <w:snapToGrid/>
          <w:color w:val="auto"/>
          <w:kern w:val="2"/>
          <w:sz w:val="24"/>
          <w:szCs w:val="24"/>
          <w:highlight w:val="none"/>
        </w:rPr>
        <w:t>00秒</w:t>
      </w:r>
    </w:p>
    <w:p w14:paraId="634FC235">
      <w:pPr>
        <w:keepNext w:val="0"/>
        <w:keepLines w:val="0"/>
        <w:pageBreakBefore w:val="0"/>
        <w:shd w:val="clear"/>
        <w:kinsoku/>
        <w:wordWrap/>
        <w:overflowPunct/>
        <w:topLinePunct w:val="0"/>
        <w:autoSpaceDE/>
        <w:autoSpaceDN/>
        <w:bidi w:val="0"/>
        <w:snapToGrid/>
        <w:spacing w:line="440" w:lineRule="exact"/>
        <w:ind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开标地点（网址）：</w:t>
      </w:r>
      <w:r>
        <w:rPr>
          <w:rFonts w:hint="eastAsia" w:ascii="仿宋" w:hAnsi="仿宋" w:eastAsia="仿宋" w:cs="仿宋"/>
          <w:color w:val="auto"/>
          <w:sz w:val="24"/>
          <w:szCs w:val="24"/>
          <w:highlight w:val="none"/>
        </w:rPr>
        <w:t>乐采云平台（https://www.lecaiyun.com/）</w:t>
      </w:r>
    </w:p>
    <w:p w14:paraId="45AE70AC">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color w:val="auto"/>
          <w:sz w:val="24"/>
          <w:szCs w:val="24"/>
          <w:highlight w:val="none"/>
        </w:rPr>
      </w:pPr>
      <w:r>
        <w:rPr>
          <w:rFonts w:hint="eastAsia" w:ascii="仿宋" w:hAnsi="仿宋" w:eastAsia="仿宋" w:cs="仿宋"/>
          <w:b/>
          <w:color w:val="auto"/>
          <w:sz w:val="24"/>
          <w:szCs w:val="24"/>
          <w:highlight w:val="none"/>
        </w:rPr>
        <w:t>五、公告期限</w:t>
      </w:r>
    </w:p>
    <w:p w14:paraId="6F754C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自本公告发布之日起5个工作日。</w:t>
      </w:r>
    </w:p>
    <w:p w14:paraId="39EC8717">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六、其他补充事宜</w:t>
      </w:r>
    </w:p>
    <w:p w14:paraId="01A1341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snapToGrid/>
          <w:color w:val="auto"/>
          <w:kern w:val="2"/>
          <w:sz w:val="24"/>
          <w:szCs w:val="24"/>
          <w:highlight w:val="none"/>
        </w:rPr>
        <w:t>《浙江省财政厅关于进一步发挥政府采购政策功能全力推动经济稳进提质的通知》 （浙财采监〔2022〕3号）、《浙江省财政厅关于进一步促进政府采购公平竞争打造最优营商环境的通知》（浙财采监〔2021〕22号））、《浙江省财政厅关于进一步加大政府采购支持中小企业力度助力扎实稳住经济的通知》（浙财采监〔2022〕8号）已分别于2022年1月29日、2022年2月1日和2022年7月1日开始实施，此前有关规定与上述文件内容不一致的，按上述文件要求执行。</w:t>
      </w:r>
    </w:p>
    <w:p w14:paraId="5208AF2F">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2.</w:t>
      </w:r>
      <w:r>
        <w:rPr>
          <w:rFonts w:hint="eastAsia" w:ascii="仿宋" w:hAnsi="仿宋" w:eastAsia="仿宋" w:cs="仿宋"/>
          <w:snapToGrid/>
          <w:color w:val="auto"/>
          <w:kern w:val="2"/>
          <w:sz w:val="24"/>
          <w:szCs w:val="24"/>
          <w:highlight w:val="none"/>
        </w:rPr>
        <w:t>根据《浙江省财政厅关于进一步促进政府采购公平竞争打造最优营商环境的通知》（浙财采监〔2021〕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政务服务网-政府采购投诉处理-在线办理。</w:t>
      </w:r>
    </w:p>
    <w:p w14:paraId="09AD71FC">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浙江政府采购网下载专区下载。</w:t>
      </w:r>
    </w:p>
    <w:p w14:paraId="3763948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进行招投标活动，不接受纸质投标文件；②投标准备：注册账号--点击“商家入驻”，进行采购供应商资料填写；申领CA数字证书---申领流程详见“浙江政府采购网-下载专区-电子交易客户端-CA驱动和申领流程”；安装“乐采云电子交易客户端”----前往“浙江政府采购网-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w:t>
      </w:r>
      <w:r>
        <w:rPr>
          <w:rFonts w:hint="eastAsia" w:ascii="仿宋" w:hAnsi="仿宋" w:eastAsia="仿宋" w:cs="仿宋"/>
          <w:snapToGrid/>
          <w:color w:val="auto"/>
          <w:kern w:val="2"/>
          <w:sz w:val="24"/>
          <w:szCs w:val="24"/>
          <w:highlight w:val="none"/>
        </w:rPr>
        <w:t>⑨投标文件的解密：投标人按照平台提示和招标文件的规定在半小时内完成在线解密。通过“乐采云平台”上传递交的投标文件无法按时解密的，视为投标文件撤回；⑩具体操作指南：详见乐采云平台“服务中心-帮助文档-项目采购-操作流程-电子招投标-政府采购项目电子交易管理操作指南-供应商”。（3）招标文件公告期限与招标公告的公告期限一致。</w:t>
      </w:r>
    </w:p>
    <w:p w14:paraId="4989CE1E">
      <w:pPr>
        <w:keepNext w:val="0"/>
        <w:keepLines w:val="0"/>
        <w:pageBreakBefore w:val="0"/>
        <w:shd w:val="clear"/>
        <w:kinsoku/>
        <w:wordWrap/>
        <w:overflowPunct/>
        <w:topLinePunct w:val="0"/>
        <w:autoSpaceDE/>
        <w:autoSpaceDN/>
        <w:bidi w:val="0"/>
        <w:snapToGrid/>
        <w:spacing w:line="440" w:lineRule="exact"/>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七、对本次采购提出询问、质疑、投诉，请按以下方式联系</w:t>
      </w:r>
    </w:p>
    <w:p w14:paraId="6EB17BF9">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bookmarkStart w:id="1" w:name="_Toc35393637"/>
      <w:bookmarkStart w:id="2" w:name="_Toc28359096"/>
      <w:bookmarkStart w:id="3" w:name="_Toc28359019"/>
      <w:bookmarkStart w:id="4" w:name="_Toc35393806"/>
      <w:r>
        <w:rPr>
          <w:rFonts w:hint="eastAsia" w:ascii="仿宋" w:hAnsi="仿宋" w:eastAsia="仿宋" w:cs="仿宋"/>
          <w:color w:val="auto"/>
          <w:sz w:val="24"/>
          <w:szCs w:val="24"/>
          <w:highlight w:val="none"/>
        </w:rPr>
        <w:t>1.采购人信息</w:t>
      </w:r>
      <w:bookmarkEnd w:id="1"/>
      <w:bookmarkEnd w:id="2"/>
      <w:bookmarkEnd w:id="3"/>
      <w:bookmarkEnd w:id="4"/>
      <w:r>
        <w:rPr>
          <w:rFonts w:hint="eastAsia" w:ascii="仿宋" w:hAnsi="仿宋" w:eastAsia="仿宋" w:cs="仿宋"/>
          <w:color w:val="auto"/>
          <w:sz w:val="24"/>
          <w:szCs w:val="24"/>
          <w:highlight w:val="none"/>
        </w:rPr>
        <w:t>：</w:t>
      </w:r>
    </w:p>
    <w:p w14:paraId="5F3865F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名称：绍兴市公共交通集团有限公司</w:t>
      </w:r>
    </w:p>
    <w:p w14:paraId="085C8540">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地址：浙江省绍兴市润沁路 19 号</w:t>
      </w:r>
    </w:p>
    <w:p w14:paraId="19AA453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55FC7AEA">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项目联系人（询问）：</w:t>
      </w:r>
      <w:r>
        <w:rPr>
          <w:rFonts w:hint="eastAsia" w:ascii="仿宋" w:hAnsi="仿宋" w:eastAsia="仿宋" w:cs="仿宋"/>
          <w:color w:val="auto"/>
          <w:sz w:val="24"/>
          <w:szCs w:val="24"/>
          <w:highlight w:val="none"/>
          <w:lang w:val="en-US" w:eastAsia="zh-CN"/>
        </w:rPr>
        <w:t>骆爱兰</w:t>
      </w:r>
    </w:p>
    <w:p w14:paraId="5EDAE76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项目联系方式（询问）：0575-</w:t>
      </w:r>
      <w:r>
        <w:rPr>
          <w:rFonts w:hint="eastAsia" w:ascii="仿宋" w:hAnsi="仿宋" w:eastAsia="仿宋" w:cs="仿宋"/>
          <w:color w:val="auto"/>
          <w:sz w:val="24"/>
          <w:szCs w:val="24"/>
          <w:highlight w:val="none"/>
          <w:lang w:val="en-US" w:eastAsia="zh-CN"/>
        </w:rPr>
        <w:t>88023892</w:t>
      </w:r>
    </w:p>
    <w:p w14:paraId="5534672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质疑联系人：许吉明</w:t>
      </w:r>
    </w:p>
    <w:p w14:paraId="7643AEE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质疑联系方式：</w:t>
      </w:r>
      <w:bookmarkStart w:id="5" w:name="_Toc35393638"/>
      <w:bookmarkStart w:id="6" w:name="_Toc35393807"/>
      <w:bookmarkStart w:id="7" w:name="_Toc28359020"/>
      <w:bookmarkStart w:id="8" w:name="_Toc28359097"/>
      <w:r>
        <w:rPr>
          <w:rFonts w:hint="eastAsia" w:ascii="仿宋" w:hAnsi="仿宋" w:eastAsia="仿宋" w:cs="仿宋"/>
          <w:color w:val="auto"/>
          <w:sz w:val="24"/>
          <w:szCs w:val="24"/>
          <w:highlight w:val="none"/>
        </w:rPr>
        <w:t>0575-88318786</w:t>
      </w:r>
    </w:p>
    <w:p w14:paraId="2D12671D">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2.采购代理机构信息</w:t>
      </w:r>
      <w:bookmarkEnd w:id="5"/>
      <w:bookmarkEnd w:id="6"/>
      <w:bookmarkEnd w:id="7"/>
      <w:bookmarkEnd w:id="8"/>
      <w:r>
        <w:rPr>
          <w:rFonts w:hint="eastAsia" w:ascii="仿宋" w:hAnsi="仿宋" w:eastAsia="仿宋" w:cs="仿宋"/>
          <w:color w:val="auto"/>
          <w:sz w:val="24"/>
          <w:szCs w:val="24"/>
          <w:highlight w:val="none"/>
        </w:rPr>
        <w:t>：</w:t>
      </w:r>
    </w:p>
    <w:p w14:paraId="548AF778">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w:t>
      </w:r>
      <w:r>
        <w:rPr>
          <w:rFonts w:hint="eastAsia" w:ascii="仿宋" w:hAnsi="仿宋" w:eastAsia="仿宋" w:cs="仿宋"/>
          <w:color w:val="auto"/>
          <w:sz w:val="24"/>
          <w:szCs w:val="24"/>
          <w:highlight w:val="none"/>
          <w:lang w:eastAsia="zh-CN"/>
        </w:rPr>
        <w:t>浙江翔实建设项目管理有限公司</w:t>
      </w:r>
    </w:p>
    <w:p w14:paraId="6E09BA9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rPr>
      </w:pPr>
      <w:r>
        <w:rPr>
          <w:rFonts w:hint="eastAsia" w:ascii="仿宋" w:hAnsi="仿宋" w:eastAsia="仿宋" w:cs="仿宋"/>
          <w:color w:val="auto"/>
          <w:sz w:val="24"/>
          <w:szCs w:val="24"/>
          <w:highlight w:val="none"/>
        </w:rPr>
        <w:t>地址：</w:t>
      </w:r>
      <w:r>
        <w:rPr>
          <w:rFonts w:hint="eastAsia" w:ascii="仿宋" w:hAnsi="仿宋" w:eastAsia="仿宋" w:cs="仿宋"/>
          <w:color w:val="auto"/>
          <w:sz w:val="24"/>
          <w:szCs w:val="24"/>
          <w:highlight w:val="none"/>
          <w:lang w:eastAsia="zh-CN" w:bidi="ar-SA"/>
        </w:rPr>
        <w:t>绍兴市越城区</w:t>
      </w:r>
      <w:r>
        <w:rPr>
          <w:rFonts w:hint="eastAsia" w:ascii="仿宋" w:hAnsi="仿宋" w:eastAsia="仿宋" w:cs="仿宋"/>
          <w:color w:val="auto"/>
          <w:sz w:val="24"/>
          <w:szCs w:val="24"/>
          <w:highlight w:val="none"/>
          <w:lang w:val="en-US" w:eastAsia="zh-CN" w:bidi="ar-SA"/>
        </w:rPr>
        <w:t>阳明北路692号瑞远科技一楼</w:t>
      </w:r>
    </w:p>
    <w:p w14:paraId="6FB7034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rPr>
        <w:t>传真：/</w:t>
      </w:r>
      <w:bookmarkStart w:id="9" w:name="_Toc35393808"/>
      <w:bookmarkStart w:id="10" w:name="_Toc28359021"/>
      <w:bookmarkStart w:id="11" w:name="_Toc28359098"/>
      <w:bookmarkStart w:id="12" w:name="_Toc35393639"/>
      <w:r>
        <w:rPr>
          <w:rFonts w:hint="eastAsia" w:ascii="仿宋" w:hAnsi="仿宋" w:eastAsia="仿宋" w:cs="仿宋"/>
          <w:color w:val="auto"/>
          <w:sz w:val="24"/>
          <w:szCs w:val="24"/>
          <w:highlight w:val="none"/>
          <w:lang w:bidi="ar-SA"/>
        </w:rPr>
        <w:t>     </w:t>
      </w:r>
    </w:p>
    <w:p w14:paraId="48C59F8B">
      <w:pPr>
        <w:pStyle w:val="9"/>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项目联系人（询问）：</w:t>
      </w:r>
      <w:r>
        <w:rPr>
          <w:rFonts w:hint="eastAsia" w:ascii="仿宋" w:hAnsi="仿宋" w:eastAsia="仿宋" w:cs="仿宋"/>
          <w:color w:val="auto"/>
          <w:sz w:val="24"/>
          <w:szCs w:val="24"/>
          <w:highlight w:val="none"/>
          <w:lang w:val="en-US" w:eastAsia="zh-CN" w:bidi="ar-SA"/>
        </w:rPr>
        <w:t>蒋红</w:t>
      </w:r>
      <w:r>
        <w:rPr>
          <w:rFonts w:hint="eastAsia" w:ascii="仿宋" w:hAnsi="仿宋" w:eastAsia="仿宋" w:cs="仿宋"/>
          <w:color w:val="auto"/>
          <w:sz w:val="24"/>
          <w:szCs w:val="24"/>
          <w:highlight w:val="none"/>
          <w:lang w:bidi="ar-SA"/>
        </w:rPr>
        <w:t>        </w:t>
      </w:r>
    </w:p>
    <w:p w14:paraId="7F1A2FBA">
      <w:pPr>
        <w:pStyle w:val="9"/>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val="en-US" w:eastAsia="zh-CN" w:bidi="ar-SA"/>
        </w:rPr>
      </w:pPr>
      <w:r>
        <w:rPr>
          <w:rFonts w:hint="eastAsia" w:ascii="仿宋" w:hAnsi="仿宋" w:eastAsia="仿宋" w:cs="仿宋"/>
          <w:color w:val="auto"/>
          <w:sz w:val="24"/>
          <w:szCs w:val="24"/>
          <w:highlight w:val="none"/>
          <w:lang w:bidi="ar-SA"/>
        </w:rPr>
        <w:t>项目联系方式（询问）：</w:t>
      </w:r>
      <w:r>
        <w:rPr>
          <w:rFonts w:hint="eastAsia" w:ascii="仿宋" w:hAnsi="仿宋" w:eastAsia="仿宋" w:cs="仿宋"/>
          <w:color w:val="auto"/>
          <w:sz w:val="24"/>
          <w:szCs w:val="24"/>
          <w:highlight w:val="none"/>
          <w:lang w:val="en-US" w:eastAsia="zh-CN" w:bidi="ar-SA"/>
        </w:rPr>
        <w:t>18906853539</w:t>
      </w:r>
    </w:p>
    <w:p w14:paraId="5259A78B">
      <w:pPr>
        <w:pStyle w:val="9"/>
        <w:keepNext w:val="0"/>
        <w:keepLines w:val="0"/>
        <w:pageBreakBefore w:val="0"/>
        <w:widowControl/>
        <w:kinsoku/>
        <w:wordWrap/>
        <w:overflowPunct/>
        <w:topLinePunct w:val="0"/>
        <w:autoSpaceDE/>
        <w:autoSpaceDN/>
        <w:bidi w:val="0"/>
        <w:adjustRightInd/>
        <w:snapToGrid/>
        <w:spacing w:afterLines="0" w:line="440" w:lineRule="exact"/>
        <w:textAlignment w:val="auto"/>
        <w:rPr>
          <w:rFonts w:hint="eastAsia" w:ascii="仿宋" w:hAnsi="仿宋" w:eastAsia="仿宋" w:cs="仿宋"/>
          <w:color w:val="auto"/>
          <w:sz w:val="24"/>
          <w:szCs w:val="24"/>
          <w:highlight w:val="none"/>
          <w:lang w:bidi="ar-SA"/>
        </w:rPr>
      </w:pPr>
      <w:r>
        <w:rPr>
          <w:rFonts w:hint="eastAsia" w:ascii="仿宋" w:hAnsi="仿宋" w:eastAsia="仿宋" w:cs="仿宋"/>
          <w:color w:val="auto"/>
          <w:sz w:val="24"/>
          <w:szCs w:val="24"/>
          <w:highlight w:val="none"/>
          <w:lang w:bidi="ar-SA"/>
        </w:rPr>
        <w:t>质疑联系人：</w:t>
      </w:r>
      <w:r>
        <w:rPr>
          <w:rFonts w:hint="eastAsia" w:ascii="仿宋" w:hAnsi="仿宋" w:eastAsia="仿宋" w:cs="仿宋"/>
          <w:color w:val="auto"/>
          <w:sz w:val="24"/>
          <w:szCs w:val="24"/>
          <w:highlight w:val="none"/>
          <w:lang w:val="en-US" w:eastAsia="zh-CN" w:bidi="ar-SA"/>
        </w:rPr>
        <w:t>朱惠莎</w:t>
      </w:r>
      <w:r>
        <w:rPr>
          <w:rFonts w:hint="eastAsia" w:ascii="仿宋" w:hAnsi="仿宋" w:eastAsia="仿宋" w:cs="仿宋"/>
          <w:color w:val="auto"/>
          <w:sz w:val="24"/>
          <w:szCs w:val="24"/>
          <w:highlight w:val="none"/>
          <w:lang w:bidi="ar-SA"/>
        </w:rPr>
        <w:t>      </w:t>
      </w:r>
    </w:p>
    <w:p w14:paraId="627453AE">
      <w:pPr>
        <w:pStyle w:val="9"/>
        <w:keepNext w:val="0"/>
        <w:keepLines w:val="0"/>
        <w:pageBreakBefore w:val="0"/>
        <w:shd w:val="clear" w:color="auto" w:fill="auto"/>
        <w:kinsoku/>
        <w:wordWrap/>
        <w:overflowPunct/>
        <w:topLinePunct w:val="0"/>
        <w:autoSpaceDE/>
        <w:autoSpaceDN/>
        <w:bidi w:val="0"/>
        <w:snapToGrid/>
        <w:spacing w:afterLines="0" w:line="440" w:lineRule="exact"/>
        <w:textAlignment w:val="auto"/>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sz w:val="24"/>
          <w:szCs w:val="24"/>
          <w:highlight w:val="none"/>
          <w:lang w:bidi="ar-SA"/>
        </w:rPr>
        <w:t>质疑联系方式：</w:t>
      </w:r>
      <w:r>
        <w:rPr>
          <w:rFonts w:hint="eastAsia" w:ascii="仿宋" w:hAnsi="仿宋" w:eastAsia="仿宋" w:cs="仿宋"/>
          <w:color w:val="auto"/>
          <w:kern w:val="0"/>
          <w:sz w:val="24"/>
          <w:szCs w:val="24"/>
          <w:highlight w:val="none"/>
          <w:lang w:val="en-US" w:eastAsia="zh-CN" w:bidi="ar-SA"/>
        </w:rPr>
        <w:t>0575-88689158</w:t>
      </w:r>
    </w:p>
    <w:p w14:paraId="31BF378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3.采购监督管理部门信息： </w:t>
      </w:r>
    </w:p>
    <w:bookmarkEnd w:id="9"/>
    <w:bookmarkEnd w:id="10"/>
    <w:bookmarkEnd w:id="11"/>
    <w:bookmarkEnd w:id="12"/>
    <w:p w14:paraId="317FBDD2">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名称：绍兴市轨道交通集团有限公司</w:t>
      </w:r>
    </w:p>
    <w:p w14:paraId="4BDC78D1">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地址：绍兴市越城区解放大道386号9层</w:t>
      </w:r>
    </w:p>
    <w:p w14:paraId="74C50F7B">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传真：/</w:t>
      </w:r>
    </w:p>
    <w:p w14:paraId="106AFD37">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联系人：</w:t>
      </w:r>
      <w:r>
        <w:rPr>
          <w:rFonts w:hint="eastAsia" w:ascii="仿宋" w:hAnsi="仿宋" w:eastAsia="仿宋" w:cs="仿宋"/>
          <w:color w:val="auto"/>
          <w:sz w:val="24"/>
          <w:szCs w:val="24"/>
          <w:highlight w:val="none"/>
          <w:lang w:val="en-US" w:eastAsia="zh-CN"/>
        </w:rPr>
        <w:t>刘洋</w:t>
      </w:r>
    </w:p>
    <w:p w14:paraId="51DF7993">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监督投诉电话：</w:t>
      </w:r>
      <w:r>
        <w:rPr>
          <w:rFonts w:hint="eastAsia" w:ascii="仿宋" w:hAnsi="仿宋" w:eastAsia="仿宋" w:cs="仿宋"/>
          <w:color w:val="auto"/>
          <w:sz w:val="24"/>
          <w:szCs w:val="24"/>
          <w:highlight w:val="none"/>
          <w:lang w:val="en-US" w:eastAsia="zh-CN"/>
        </w:rPr>
        <w:t>0575-88161819</w:t>
      </w:r>
    </w:p>
    <w:p w14:paraId="457A8F55">
      <w:pPr>
        <w:keepNext w:val="0"/>
        <w:keepLines w:val="0"/>
        <w:pageBreakBefore w:val="0"/>
        <w:shd w:val="clear"/>
        <w:kinsoku/>
        <w:wordWrap/>
        <w:overflowPunct/>
        <w:topLinePunct w:val="0"/>
        <w:autoSpaceDE/>
        <w:autoSpaceDN/>
        <w:bidi w:val="0"/>
        <w:snapToGrid/>
        <w:spacing w:line="440" w:lineRule="exact"/>
        <w:ind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若对项目采购电子交易系统操作有疑问，可登录乐采云（https://www.lecaiyun.com/），点击右侧咨询小采，获取采小蜜智能服务管家帮助，或拨打乐采云服务热线95763获取热线服务帮助。      </w:t>
      </w:r>
    </w:p>
    <w:p w14:paraId="0FE43214">
      <w:r>
        <w:rPr>
          <w:rFonts w:hint="eastAsia" w:ascii="仿宋" w:hAnsi="仿宋" w:eastAsia="仿宋" w:cs="仿宋"/>
          <w:color w:val="auto"/>
          <w:sz w:val="24"/>
          <w:szCs w:val="24"/>
          <w:highlight w:val="none"/>
        </w:rPr>
        <w:t>CA问题联系电话（人工）：汇信CA 400-888-4636；天谷CA 400-087-8198。</w:t>
      </w:r>
    </w:p>
    <w:sectPr>
      <w:pgSz w:w="11906" w:h="16838"/>
      <w:pgMar w:top="1417" w:right="1701" w:bottom="141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9075E7"/>
    <w:multiLevelType w:val="singleLevel"/>
    <w:tmpl w:val="D59075E7"/>
    <w:lvl w:ilvl="0" w:tentative="0">
      <w:start w:val="4"/>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901107"/>
    <w:rsid w:val="78901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2">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qFormat/>
    <w:uiPriority w:val="99"/>
    <w:rPr>
      <w:rFonts w:ascii="Arial" w:hAnsi="Arial" w:eastAsia="黑体" w:cs="Arial"/>
      <w:snapToGrid w:val="0"/>
      <w:color w:val="000000"/>
      <w:kern w:val="0"/>
      <w:sz w:val="18"/>
      <w:szCs w:val="18"/>
      <w:u w:val="none"/>
    </w:rPr>
  </w:style>
  <w:style w:type="paragraph" w:customStyle="1" w:styleId="9">
    <w:name w:val="正文段"/>
    <w:basedOn w:val="1"/>
    <w:qFormat/>
    <w:uiPriority w:val="0"/>
    <w:pPr>
      <w:widowControl/>
      <w:snapToGrid w:val="0"/>
      <w:spacing w:afterLines="50"/>
      <w:ind w:firstLine="200" w:firstLineChars="200"/>
    </w:pPr>
    <w:rPr>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TotalTime>
  <ScaleCrop>false</ScaleCrop>
  <LinksUpToDate>false</LinksUpToDate>
  <CharactersWithSpaces>0</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2025-08-04T00:44:00Z</dcterms:created>
  <dc:creator>Administrator</dc:creator>
  <cp:lastModifiedBy>Administrator</cp:lastModifiedBy>
  <dcterms:modified xsi:type="dcterms:W3CDTF">2025-08-04T00:46:18Z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1A27860ECCE843A6B6CF2122B96A171E_11</vt:lpwstr>
  </property>
  <property fmtid="{D5CDD505-2E9C-101B-9397-08002B2CF9AE}" pid="4" name="KSOTemplateDocerSaveRecord">
    <vt:lpwstr>eyJoZGlkIjoiZWU5MzEzZmJmMTkwMjllYWQ2ZmM2NTI5NTM0NmM2ZTMiLCJ1c2VySWQiOiI0ODMxNzgyMDMifQ==</vt:lpwstr>
  </property>
</Properties>
</file>