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adjustRightInd/>
        <w:spacing w:line="360" w:lineRule="auto"/>
        <w:rPr>
          <w:rFonts w:ascii="宋体" w:hAnsi="宋体" w:cs="宋体"/>
          <w:b/>
          <w:color w:val="auto"/>
          <w:sz w:val="48"/>
          <w:szCs w:val="48"/>
          <w:highlight w:val="none"/>
        </w:rPr>
      </w:pPr>
    </w:p>
    <w:p>
      <w:pPr>
        <w:shd w:val="clear"/>
        <w:adjustRightInd/>
        <w:spacing w:line="360" w:lineRule="auto"/>
        <w:jc w:val="center"/>
        <w:rPr>
          <w:rFonts w:hint="eastAsia" w:ascii="仿宋" w:hAnsi="仿宋" w:eastAsia="仿宋" w:cs="仿宋"/>
          <w:b/>
          <w:bCs/>
          <w:color w:val="auto"/>
          <w:sz w:val="56"/>
          <w:szCs w:val="56"/>
          <w:highlight w:val="none"/>
        </w:rPr>
      </w:pPr>
      <w:bookmarkStart w:id="0" w:name="OLE_LINK17"/>
      <w:r>
        <w:rPr>
          <w:rFonts w:hint="eastAsia" w:ascii="仿宋" w:hAnsi="仿宋" w:eastAsia="仿宋" w:cs="仿宋"/>
          <w:b/>
          <w:bCs/>
          <w:color w:val="auto"/>
          <w:sz w:val="56"/>
          <w:szCs w:val="56"/>
          <w:highlight w:val="none"/>
        </w:rPr>
        <w:t>绍兴市公共交通集团有限公司</w:t>
      </w:r>
    </w:p>
    <w:p>
      <w:pPr>
        <w:shd w:val="clear"/>
        <w:adjustRightInd/>
        <w:spacing w:line="360" w:lineRule="auto"/>
        <w:jc w:val="center"/>
        <w:rPr>
          <w:rFonts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食堂食材物资采购项目</w:t>
      </w:r>
      <w:bookmarkEnd w:id="0"/>
    </w:p>
    <w:p>
      <w:pPr>
        <w:shd w:val="clear"/>
        <w:jc w:val="center"/>
        <w:outlineLvl w:val="0"/>
        <w:rPr>
          <w:rFonts w:ascii="仿宋" w:hAnsi="仿宋" w:eastAsia="仿宋" w:cs="仿宋"/>
          <w:b/>
          <w:color w:val="auto"/>
          <w:sz w:val="72"/>
          <w:szCs w:val="72"/>
          <w:highlight w:val="none"/>
        </w:rPr>
      </w:pP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shd w:val="clea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shd w:val="clea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hd w:val="clear"/>
        <w:spacing w:line="360" w:lineRule="auto"/>
        <w:rPr>
          <w:rFonts w:ascii="仿宋" w:hAnsi="仿宋" w:eastAsia="仿宋" w:cs="仿宋"/>
          <w:b/>
          <w:color w:val="auto"/>
          <w:sz w:val="44"/>
          <w:szCs w:val="44"/>
          <w:highlight w:val="none"/>
        </w:rPr>
      </w:pPr>
    </w:p>
    <w:p>
      <w:pPr>
        <w:shd w:val="clea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招标编号:CGSHZJ-2025-N001129</w:t>
      </w:r>
    </w:p>
    <w:tbl>
      <w:tblPr>
        <w:tblStyle w:val="72"/>
        <w:tblW w:w="7801" w:type="dxa"/>
        <w:jc w:val="center"/>
        <w:tblInd w:w="0" w:type="dxa"/>
        <w:tblLayout w:type="fixed"/>
        <w:tblCellMar>
          <w:top w:w="0" w:type="dxa"/>
          <w:left w:w="108" w:type="dxa"/>
          <w:bottom w:w="0" w:type="dxa"/>
          <w:right w:w="108" w:type="dxa"/>
        </w:tblCellMar>
      </w:tblPr>
      <w:tblGrid>
        <w:gridCol w:w="2356"/>
        <w:gridCol w:w="5445"/>
      </w:tblGrid>
      <w:tr>
        <w:tblPrEx>
          <w:tblLayout w:type="fixed"/>
          <w:tblCellMar>
            <w:top w:w="0" w:type="dxa"/>
            <w:left w:w="108" w:type="dxa"/>
            <w:bottom w:w="0" w:type="dxa"/>
            <w:right w:w="108" w:type="dxa"/>
          </w:tblCellMar>
        </w:tblPrEx>
        <w:trPr>
          <w:trHeight w:val="443" w:hRule="atLeast"/>
          <w:jc w:val="center"/>
        </w:trPr>
        <w:tc>
          <w:tcPr>
            <w:tcW w:w="2356" w:type="dxa"/>
          </w:tcPr>
          <w:p>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绍兴市公共交通集团有限公司</w:t>
            </w:r>
          </w:p>
        </w:tc>
      </w:tr>
      <w:tr>
        <w:tblPrEx>
          <w:tblLayout w:type="fixed"/>
          <w:tblCellMar>
            <w:top w:w="0" w:type="dxa"/>
            <w:left w:w="108" w:type="dxa"/>
            <w:bottom w:w="0" w:type="dxa"/>
            <w:right w:w="108" w:type="dxa"/>
          </w:tblCellMar>
        </w:tblPrEx>
        <w:trPr>
          <w:trHeight w:val="494" w:hRule="atLeast"/>
          <w:jc w:val="center"/>
        </w:trPr>
        <w:tc>
          <w:tcPr>
            <w:tcW w:w="2356" w:type="dxa"/>
          </w:tcPr>
          <w:p>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0"/>
              </w:rPr>
              <w:t>采购代理机构</w:t>
            </w:r>
            <w:r>
              <w:rPr>
                <w:rFonts w:hint="eastAsia" w:ascii="仿宋" w:hAnsi="仿宋" w:eastAsia="仿宋" w:cs="仿宋"/>
                <w:color w:val="auto"/>
                <w:sz w:val="28"/>
                <w:szCs w:val="28"/>
                <w:highlight w:val="none"/>
              </w:rPr>
              <w:t>：</w:t>
            </w:r>
          </w:p>
        </w:tc>
        <w:tc>
          <w:tcPr>
            <w:tcW w:w="5445" w:type="dxa"/>
            <w:vAlign w:val="center"/>
          </w:tcPr>
          <w:p>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浙江天源工程管理咨询有限公司</w:t>
            </w:r>
          </w:p>
        </w:tc>
      </w:tr>
      <w:tr>
        <w:tblPrEx>
          <w:tblLayout w:type="fixed"/>
          <w:tblCellMar>
            <w:top w:w="0" w:type="dxa"/>
            <w:left w:w="108" w:type="dxa"/>
            <w:bottom w:w="0" w:type="dxa"/>
            <w:right w:w="108" w:type="dxa"/>
          </w:tblCellMar>
        </w:tblPrEx>
        <w:trPr>
          <w:trHeight w:val="397" w:hRule="atLeast"/>
          <w:jc w:val="center"/>
        </w:trPr>
        <w:tc>
          <w:tcPr>
            <w:tcW w:w="2356" w:type="dxa"/>
            <w:vAlign w:val="center"/>
          </w:tcPr>
          <w:p>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绍兴市轨道交通集团有限公司</w:t>
            </w:r>
          </w:p>
        </w:tc>
      </w:tr>
      <w:tr>
        <w:tblPrEx>
          <w:tblLayout w:type="fixed"/>
          <w:tblCellMar>
            <w:top w:w="0" w:type="dxa"/>
            <w:left w:w="108" w:type="dxa"/>
            <w:bottom w:w="0" w:type="dxa"/>
            <w:right w:w="108" w:type="dxa"/>
          </w:tblCellMar>
        </w:tblPrEx>
        <w:trPr>
          <w:trHeight w:val="333" w:hRule="atLeast"/>
          <w:jc w:val="center"/>
        </w:trPr>
        <w:tc>
          <w:tcPr>
            <w:tcW w:w="7801" w:type="dxa"/>
            <w:gridSpan w:val="2"/>
          </w:tcPr>
          <w:p>
            <w:pPr>
              <w:shd w:val="clea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月</w:t>
            </w:r>
          </w:p>
        </w:tc>
      </w:tr>
    </w:tbl>
    <w:p>
      <w:pPr>
        <w:pStyle w:val="635"/>
        <w:shd w:val="clear"/>
        <w:rPr>
          <w:rFonts w:ascii="仿宋" w:hAnsi="仿宋" w:eastAsia="仿宋" w:cs="仿宋"/>
          <w:color w:val="auto"/>
          <w:highlight w:val="none"/>
        </w:rPr>
        <w:sectPr>
          <w:headerReference r:id="rId5" w:type="first"/>
          <w:footerReference r:id="rId7"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pPr>
        <w:pStyle w:val="635"/>
        <w:shd w:val="clear"/>
        <w:spacing w:before="0" w:after="0" w:line="360" w:lineRule="auto"/>
        <w:ind w:left="0" w:firstLine="0"/>
        <w:rPr>
          <w:rFonts w:ascii="仿宋" w:hAnsi="仿宋" w:eastAsia="仿宋" w:cs="仿宋"/>
          <w:color w:val="auto"/>
          <w:highlight w:val="none"/>
        </w:rPr>
      </w:pPr>
    </w:p>
    <w:p>
      <w:pPr>
        <w:shd w:val="clea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hd w:val="clear"/>
        <w:spacing w:line="360" w:lineRule="auto"/>
        <w:jc w:val="center"/>
        <w:rPr>
          <w:rFonts w:ascii="仿宋" w:hAnsi="仿宋" w:eastAsia="仿宋" w:cs="仿宋"/>
          <w:b/>
          <w:color w:val="auto"/>
          <w:sz w:val="44"/>
          <w:szCs w:val="44"/>
          <w:highlight w:val="none"/>
        </w:rPr>
      </w:pPr>
    </w:p>
    <w:p>
      <w:pPr>
        <w:shd w:val="clear"/>
        <w:spacing w:line="360" w:lineRule="auto"/>
        <w:jc w:val="center"/>
        <w:rPr>
          <w:rFonts w:ascii="仿宋" w:hAnsi="仿宋" w:eastAsia="仿宋" w:cs="仿宋"/>
          <w:color w:val="auto"/>
          <w:highlight w:val="none"/>
        </w:rPr>
      </w:pP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ind w:firstLine="549" w:firstLineChars="229"/>
        <w:rPr>
          <w:rFonts w:ascii="仿宋" w:hAnsi="仿宋" w:eastAsia="仿宋" w:cs="仿宋"/>
          <w:color w:val="auto"/>
          <w:sz w:val="24"/>
          <w:highlight w:val="none"/>
        </w:rPr>
      </w:pPr>
    </w:p>
    <w:p>
      <w:pPr>
        <w:shd w:val="clear"/>
        <w:spacing w:line="360" w:lineRule="auto"/>
        <w:rPr>
          <w:rFonts w:ascii="仿宋" w:hAnsi="仿宋" w:eastAsia="仿宋" w:cs="仿宋"/>
          <w:color w:val="auto"/>
          <w:sz w:val="24"/>
          <w:highlight w:val="none"/>
        </w:rPr>
      </w:pPr>
    </w:p>
    <w:bookmarkEnd w:id="2"/>
    <w:p>
      <w:pPr>
        <w:shd w:val="clear"/>
        <w:adjustRightInd/>
        <w:spacing w:line="360" w:lineRule="auto"/>
        <w:jc w:val="center"/>
        <w:outlineLvl w:val="0"/>
        <w:rPr>
          <w:rFonts w:ascii="仿宋" w:hAnsi="仿宋" w:eastAsia="仿宋" w:cs="仿宋"/>
          <w:b/>
          <w:color w:val="auto"/>
          <w:sz w:val="36"/>
          <w:szCs w:val="20"/>
          <w:highlight w:val="none"/>
        </w:rPr>
      </w:pPr>
      <w:bookmarkStart w:id="3" w:name="第二部分"/>
      <w:bookmarkStart w:id="4" w:name="_Toc91899870"/>
      <w:bookmarkStart w:id="5" w:name="_Toc91899871"/>
    </w:p>
    <w:p>
      <w:pPr>
        <w:shd w:val="clear"/>
        <w:adjustRightInd/>
        <w:spacing w:line="360" w:lineRule="auto"/>
        <w:jc w:val="center"/>
        <w:outlineLvl w:val="0"/>
        <w:rPr>
          <w:rFonts w:ascii="仿宋" w:hAnsi="仿宋" w:eastAsia="仿宋" w:cs="仿宋"/>
          <w:b/>
          <w:color w:val="auto"/>
          <w:sz w:val="36"/>
          <w:szCs w:val="20"/>
          <w:highlight w:val="none"/>
        </w:rPr>
      </w:pPr>
    </w:p>
    <w:p>
      <w:pPr>
        <w:shd w:val="clear"/>
        <w:adjustRightInd/>
        <w:spacing w:line="360" w:lineRule="auto"/>
        <w:jc w:val="center"/>
        <w:outlineLvl w:val="0"/>
        <w:rPr>
          <w:rFonts w:ascii="仿宋" w:hAnsi="仿宋" w:eastAsia="仿宋" w:cs="仿宋"/>
          <w:b/>
          <w:color w:val="auto"/>
          <w:sz w:val="36"/>
          <w:szCs w:val="20"/>
          <w:highlight w:val="none"/>
        </w:rPr>
        <w:sectPr>
          <w:footerReference r:id="rId8" w:type="default"/>
          <w:pgSz w:w="11906" w:h="16838"/>
          <w:pgMar w:top="1474" w:right="1814" w:bottom="1474" w:left="1814" w:header="851" w:footer="992" w:gutter="0"/>
          <w:cols w:space="720" w:num="1"/>
          <w:docGrid w:linePitch="312" w:charSpace="0"/>
        </w:sectPr>
      </w:pPr>
    </w:p>
    <w:p>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ascii="仿宋" w:hAnsi="仿宋" w:eastAsia="仿宋" w:cs="仿宋"/>
          <w:color w:val="auto"/>
          <w:sz w:val="24"/>
          <w:highlight w:val="none"/>
        </w:rPr>
      </w:pPr>
      <w:bookmarkStart w:id="69" w:name="_GoBack"/>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lang w:eastAsia="zh-CN"/>
        </w:rPr>
        <w:t>绍兴市公共交通集团有限公司食堂食材物资采购项目</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69"/>
          <w:rFonts w:hint="eastAsia" w:ascii="仿宋" w:hAnsi="仿宋" w:eastAsia="仿宋" w:cs="仿宋"/>
          <w:snapToGrid/>
          <w:color w:val="auto"/>
          <w:kern w:val="2"/>
          <w:sz w:val="24"/>
          <w:szCs w:val="24"/>
          <w:highlight w:val="none"/>
        </w:rPr>
        <w:t>https://www.lecaiyun.com/）获取（下载）招标文件，并于202</w:t>
      </w:r>
      <w:r>
        <w:rPr>
          <w:rStyle w:val="69"/>
          <w:rFonts w:hint="eastAsia" w:ascii="仿宋" w:hAnsi="仿宋" w:eastAsia="仿宋" w:cs="仿宋"/>
          <w:snapToGrid/>
          <w:color w:val="auto"/>
          <w:kern w:val="2"/>
          <w:sz w:val="24"/>
          <w:szCs w:val="24"/>
          <w:highlight w:val="none"/>
          <w:lang w:val="en-US" w:eastAsia="zh-CN"/>
        </w:rPr>
        <w:t>5</w:t>
      </w:r>
      <w:r>
        <w:rPr>
          <w:rStyle w:val="69"/>
          <w:rFonts w:hint="eastAsia" w:ascii="仿宋" w:hAnsi="仿宋" w:eastAsia="仿宋" w:cs="仿宋"/>
          <w:snapToGrid/>
          <w:color w:val="auto"/>
          <w:kern w:val="2"/>
          <w:sz w:val="24"/>
          <w:szCs w:val="24"/>
          <w:highlight w:val="none"/>
        </w:rPr>
        <w:t>年</w:t>
      </w:r>
      <w:r>
        <w:rPr>
          <w:rStyle w:val="69"/>
          <w:rFonts w:hint="eastAsia" w:ascii="仿宋" w:hAnsi="仿宋" w:eastAsia="仿宋" w:cs="仿宋"/>
          <w:snapToGrid/>
          <w:color w:val="auto"/>
          <w:kern w:val="2"/>
          <w:sz w:val="24"/>
          <w:szCs w:val="24"/>
          <w:highlight w:val="none"/>
          <w:lang w:val="en-US" w:eastAsia="zh-CN"/>
        </w:rPr>
        <w:t>4</w:t>
      </w:r>
      <w:r>
        <w:rPr>
          <w:rStyle w:val="69"/>
          <w:rFonts w:hint="eastAsia" w:ascii="仿宋" w:hAnsi="仿宋" w:eastAsia="仿宋" w:cs="仿宋"/>
          <w:snapToGrid/>
          <w:color w:val="auto"/>
          <w:kern w:val="2"/>
          <w:sz w:val="24"/>
          <w:szCs w:val="24"/>
          <w:highlight w:val="none"/>
        </w:rPr>
        <w:t>月</w:t>
      </w:r>
      <w:r>
        <w:rPr>
          <w:rStyle w:val="69"/>
          <w:rFonts w:hint="eastAsia" w:ascii="仿宋" w:hAnsi="仿宋" w:eastAsia="仿宋" w:cs="仿宋"/>
          <w:snapToGrid/>
          <w:color w:val="auto"/>
          <w:kern w:val="2"/>
          <w:sz w:val="24"/>
          <w:szCs w:val="24"/>
          <w:highlight w:val="none"/>
          <w:lang w:val="en-US" w:eastAsia="zh-CN"/>
        </w:rPr>
        <w:t>28</w:t>
      </w:r>
      <w:r>
        <w:rPr>
          <w:rStyle w:val="69"/>
          <w:rFonts w:hint="eastAsia" w:ascii="仿宋" w:hAnsi="仿宋" w:eastAsia="仿宋" w:cs="仿宋"/>
          <w:snapToGrid/>
          <w:color w:val="auto"/>
          <w:kern w:val="2"/>
          <w:sz w:val="24"/>
          <w:szCs w:val="24"/>
          <w:highlight w:val="none"/>
        </w:rPr>
        <w:t>日</w:t>
      </w:r>
      <w:r>
        <w:rPr>
          <w:rStyle w:val="69"/>
          <w:rFonts w:hint="eastAsia" w:ascii="仿宋" w:hAnsi="仿宋" w:eastAsia="仿宋" w:cs="仿宋"/>
          <w:snapToGrid/>
          <w:color w:val="auto"/>
          <w:kern w:val="2"/>
          <w:sz w:val="24"/>
          <w:szCs w:val="24"/>
          <w:highlight w:val="none"/>
          <w:lang w:val="en-US" w:eastAsia="zh-CN"/>
        </w:rPr>
        <w:t>9</w:t>
      </w:r>
      <w:r>
        <w:rPr>
          <w:rStyle w:val="69"/>
          <w:rFonts w:hint="eastAsia" w:ascii="仿宋" w:hAnsi="仿宋" w:eastAsia="仿宋" w:cs="仿宋"/>
          <w:snapToGrid/>
          <w:color w:val="auto"/>
          <w:kern w:val="2"/>
          <w:sz w:val="24"/>
          <w:szCs w:val="24"/>
          <w:highlight w:val="none"/>
        </w:rPr>
        <w:t>点</w:t>
      </w:r>
      <w:r>
        <w:rPr>
          <w:rStyle w:val="69"/>
          <w:rFonts w:hint="eastAsia" w:ascii="仿宋" w:hAnsi="仿宋" w:eastAsia="仿宋" w:cs="仿宋"/>
          <w:snapToGrid/>
          <w:color w:val="auto"/>
          <w:kern w:val="2"/>
          <w:sz w:val="24"/>
          <w:szCs w:val="24"/>
          <w:highlight w:val="none"/>
          <w:lang w:val="en-US" w:eastAsia="zh-CN"/>
        </w:rPr>
        <w:t>00</w:t>
      </w:r>
      <w:r>
        <w:rPr>
          <w:rStyle w:val="69"/>
          <w:rFonts w:hint="eastAsia" w:ascii="仿宋" w:hAnsi="仿宋" w:eastAsia="仿宋" w:cs="仿宋"/>
          <w:snapToGrid/>
          <w:color w:val="auto"/>
          <w:kern w:val="2"/>
          <w:sz w:val="24"/>
          <w:szCs w:val="24"/>
          <w:highlight w:val="none"/>
        </w:rPr>
        <w:t>分</w:t>
      </w:r>
      <w:r>
        <w:rPr>
          <w:rStyle w:val="69"/>
          <w:rFonts w:hint="eastAsia" w:ascii="仿宋" w:hAnsi="仿宋" w:eastAsia="仿宋" w:cs="仿宋"/>
          <w:bCs/>
          <w:snapToGrid/>
          <w:color w:val="auto"/>
          <w:kern w:val="2"/>
          <w:sz w:val="24"/>
          <w:szCs w:val="24"/>
          <w:highlight w:val="none"/>
        </w:rPr>
        <w:t>00秒</w:t>
      </w:r>
      <w:r>
        <w:rPr>
          <w:rStyle w:val="69"/>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hd w:val="clea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CGSHZJ-2025-N001129</w:t>
      </w:r>
    </w:p>
    <w:p>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rPr>
        <w:t>绍兴市公共交通集团有限公司食堂食材物资采购项目</w:t>
      </w:r>
    </w:p>
    <w:p>
      <w:pPr>
        <w:shd w:val="clea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bookmarkStart w:id="6" w:name="OLE_LINK3"/>
      <w:r>
        <w:rPr>
          <w:rFonts w:hint="eastAsia" w:ascii="仿宋" w:hAnsi="仿宋" w:eastAsia="仿宋" w:cs="仿宋"/>
          <w:b w:val="0"/>
          <w:bCs/>
          <w:color w:val="auto"/>
          <w:sz w:val="24"/>
          <w:highlight w:val="none"/>
          <w:lang w:val="en-US" w:eastAsia="zh-CN"/>
        </w:rPr>
        <w:t>1286</w:t>
      </w:r>
      <w:bookmarkEnd w:id="6"/>
      <w:r>
        <w:rPr>
          <w:rFonts w:hint="eastAsia" w:ascii="仿宋" w:hAnsi="仿宋" w:eastAsia="仿宋" w:cs="仿宋"/>
          <w:b w:val="0"/>
          <w:bCs/>
          <w:color w:val="auto"/>
          <w:sz w:val="24"/>
          <w:highlight w:val="none"/>
          <w:lang w:val="en-US" w:eastAsia="zh-CN"/>
        </w:rPr>
        <w:t>0000.00</w:t>
      </w:r>
      <w:r>
        <w:rPr>
          <w:rFonts w:hint="eastAsia" w:ascii="仿宋" w:hAnsi="仿宋" w:eastAsia="仿宋" w:cs="仿宋"/>
          <w:b/>
          <w:color w:val="auto"/>
          <w:sz w:val="24"/>
          <w:highlight w:val="none"/>
        </w:rPr>
        <w:t xml:space="preserve"> </w:t>
      </w:r>
    </w:p>
    <w:p>
      <w:pPr>
        <w:shd w:val="clea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10860000.00、2000000.00</w:t>
      </w:r>
      <w:r>
        <w:rPr>
          <w:rFonts w:hint="eastAsia" w:ascii="仿宋" w:hAnsi="仿宋" w:eastAsia="仿宋" w:cs="仿宋"/>
          <w:b/>
          <w:color w:val="auto"/>
          <w:sz w:val="24"/>
          <w:highlight w:val="none"/>
        </w:rPr>
        <w:t xml:space="preserve"> </w:t>
      </w:r>
    </w:p>
    <w:p>
      <w:pPr>
        <w:shd w:val="clea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hd w:val="clea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hd w:val="clea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标项名称：第一有限公司食堂食材物资采购项目</w:t>
      </w:r>
    </w:p>
    <w:p>
      <w:pPr>
        <w:shd w:val="clea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数量：2年</w:t>
      </w:r>
    </w:p>
    <w:p>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预算金额：10860000.00</w:t>
      </w:r>
    </w:p>
    <w:p>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标项二:</w:t>
      </w:r>
    </w:p>
    <w:p>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标项名称:第二有限公司食堂食材物资采购项目</w:t>
      </w:r>
    </w:p>
    <w:p>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数量:2年</w:t>
      </w:r>
    </w:p>
    <w:p>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2000000.00</w:t>
      </w:r>
    </w:p>
    <w:p>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主要内容：详见招标文件。</w:t>
      </w:r>
    </w:p>
    <w:p>
      <w:pPr>
        <w:shd w:val="clea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2年</w:t>
      </w:r>
    </w:p>
    <w:p>
      <w:pPr>
        <w:shd w:val="clea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highlight w:val="none"/>
          </w:rPr>
          <w:id w:val="147459134"/>
        </w:sdtPr>
        <w:sdtEndPr>
          <w:rPr>
            <w:rFonts w:hint="eastAsia" w:ascii="仿宋" w:hAnsi="仿宋" w:eastAsia="仿宋" w:cs="仿宋"/>
            <w:color w:val="auto"/>
            <w:highlight w:val="none"/>
          </w:rPr>
        </w:sdtEndPr>
        <w:sdtContent>
          <w:r>
            <w:rPr>
              <w:rFonts w:ascii="仿宋" w:hAnsi="仿宋" w:eastAsia="仿宋" w:cs="仿宋"/>
              <w:color w:val="auto"/>
              <w:sz w:val="24"/>
              <w:highlight w:val="none"/>
            </w:rPr>
            <w:t>☑</w:t>
          </w:r>
        </w:sdtContent>
      </w:sdt>
      <w:r>
        <w:rPr>
          <w:rFonts w:hint="eastAsia" w:ascii="仿宋" w:hAnsi="仿宋" w:eastAsia="仿宋" w:cs="仿宋"/>
          <w:b/>
          <w:color w:val="auto"/>
          <w:sz w:val="24"/>
          <w:highlight w:val="none"/>
        </w:rPr>
        <w:t>是，☐否。</w:t>
      </w:r>
    </w:p>
    <w:p>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pPr>
        <w:shd w:val="clea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hd w:val="clea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shd w:val="clea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3.落实采购政策需满足的资格要求：</w:t>
      </w:r>
    </w:p>
    <w:p>
      <w:pPr>
        <w:shd w:val="clear"/>
        <w:spacing w:line="360" w:lineRule="auto"/>
        <w:ind w:firstLine="420" w:firstLineChars="200"/>
        <w:rPr>
          <w:rFonts w:ascii="仿宋" w:hAnsi="仿宋" w:eastAsia="仿宋" w:cs="仿宋"/>
          <w:color w:val="auto"/>
          <w:sz w:val="24"/>
          <w:highlight w:val="none"/>
        </w:rPr>
      </w:pPr>
      <w:sdt>
        <w:sdtPr>
          <w:rPr>
            <w:rFonts w:hint="eastAsia" w:ascii="仿宋" w:hAnsi="仿宋" w:eastAsia="仿宋" w:cs="仿宋"/>
            <w:color w:val="auto"/>
            <w:highlight w:val="none"/>
          </w:rPr>
          <w:id w:val="147479092"/>
        </w:sdtPr>
        <w:sdtEndPr>
          <w:rPr>
            <w:rFonts w:hint="eastAsia" w:ascii="仿宋" w:hAnsi="仿宋" w:eastAsia="仿宋" w:cs="仿宋"/>
            <w:color w:val="auto"/>
            <w:highlight w:val="none"/>
          </w:rPr>
        </w:sdtEndPr>
        <w:sdtContent>
          <w:r>
            <w:rPr>
              <w:rFonts w:ascii="仿宋" w:hAnsi="仿宋" w:eastAsia="仿宋" w:cs="仿宋"/>
              <w:color w:val="auto"/>
              <w:sz w:val="24"/>
              <w:highlight w:val="none"/>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shd w:val="clear"/>
        <w:spacing w:line="360" w:lineRule="auto"/>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hd w:val="clear"/>
        <w:spacing w:line="360" w:lineRule="auto"/>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pPr>
        <w:shd w:val="clea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hd w:val="clea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ascii="仿宋" w:hAnsi="仿宋" w:eastAsia="仿宋" w:cs="仿宋"/>
          <w:color w:val="auto"/>
          <w:sz w:val="24"/>
          <w:highlight w:val="none"/>
        </w:rPr>
        <w:t>%，其中小微企业合同金额应当达到%;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p>
      <w:pPr>
        <w:shd w:val="clea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，其中小微企业合同金额应当达到</w:t>
      </w:r>
      <w:r>
        <w:rPr>
          <w:rFonts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4.本项目的特定资格要求：具有有效的《食品经营许可证》</w:t>
      </w:r>
      <w:r>
        <w:rPr>
          <w:rFonts w:hint="eastAsia" w:ascii="仿宋" w:hAnsi="仿宋" w:eastAsia="仿宋" w:cs="仿宋"/>
          <w:color w:val="auto"/>
          <w:sz w:val="24"/>
          <w:highlight w:val="none"/>
          <w:lang w:eastAsia="zh-CN"/>
        </w:rPr>
        <w:t>；</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乐采云平台（https://www.lecaiyun.com/） </w:t>
      </w:r>
    </w:p>
    <w:p>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供应商登录乐采云平台https://www.lecaiyun.com/在线申请获取采购文件（进入“项目采购”应用，在获取采购文件菜单中选择项目，申请获取采购文件）。 </w:t>
      </w:r>
    </w:p>
    <w:p>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69"/>
          <w:rFonts w:hint="eastAsia" w:ascii="仿宋" w:hAnsi="仿宋" w:eastAsia="仿宋" w:cs="仿宋"/>
          <w:snapToGrid/>
          <w:color w:val="auto"/>
          <w:kern w:val="2"/>
          <w:sz w:val="24"/>
          <w:szCs w:val="24"/>
          <w:highlight w:val="none"/>
        </w:rPr>
        <w:t>202</w:t>
      </w:r>
      <w:r>
        <w:rPr>
          <w:rStyle w:val="69"/>
          <w:rFonts w:hint="eastAsia" w:ascii="仿宋" w:hAnsi="仿宋" w:eastAsia="仿宋" w:cs="仿宋"/>
          <w:snapToGrid/>
          <w:color w:val="auto"/>
          <w:kern w:val="2"/>
          <w:sz w:val="24"/>
          <w:szCs w:val="24"/>
          <w:highlight w:val="none"/>
          <w:lang w:val="en-US" w:eastAsia="zh-CN"/>
        </w:rPr>
        <w:t>5</w:t>
      </w:r>
      <w:r>
        <w:rPr>
          <w:rStyle w:val="69"/>
          <w:rFonts w:hint="eastAsia" w:ascii="仿宋" w:hAnsi="仿宋" w:eastAsia="仿宋" w:cs="仿宋"/>
          <w:snapToGrid/>
          <w:color w:val="auto"/>
          <w:kern w:val="2"/>
          <w:sz w:val="24"/>
          <w:szCs w:val="24"/>
          <w:highlight w:val="none"/>
        </w:rPr>
        <w:t>年</w:t>
      </w:r>
      <w:r>
        <w:rPr>
          <w:rStyle w:val="69"/>
          <w:rFonts w:hint="eastAsia" w:ascii="仿宋" w:hAnsi="仿宋" w:eastAsia="仿宋" w:cs="仿宋"/>
          <w:snapToGrid/>
          <w:color w:val="auto"/>
          <w:kern w:val="2"/>
          <w:sz w:val="24"/>
          <w:szCs w:val="24"/>
          <w:highlight w:val="none"/>
          <w:lang w:val="en-US" w:eastAsia="zh-CN"/>
        </w:rPr>
        <w:t>4</w:t>
      </w:r>
      <w:r>
        <w:rPr>
          <w:rStyle w:val="69"/>
          <w:rFonts w:hint="eastAsia" w:ascii="仿宋" w:hAnsi="仿宋" w:eastAsia="仿宋" w:cs="仿宋"/>
          <w:snapToGrid/>
          <w:color w:val="auto"/>
          <w:kern w:val="2"/>
          <w:sz w:val="24"/>
          <w:szCs w:val="24"/>
          <w:highlight w:val="none"/>
        </w:rPr>
        <w:t>月</w:t>
      </w:r>
      <w:r>
        <w:rPr>
          <w:rStyle w:val="69"/>
          <w:rFonts w:hint="eastAsia" w:ascii="仿宋" w:hAnsi="仿宋" w:eastAsia="仿宋" w:cs="仿宋"/>
          <w:snapToGrid/>
          <w:color w:val="auto"/>
          <w:kern w:val="2"/>
          <w:sz w:val="24"/>
          <w:szCs w:val="24"/>
          <w:highlight w:val="none"/>
          <w:lang w:val="en-US" w:eastAsia="zh-CN"/>
        </w:rPr>
        <w:t>28</w:t>
      </w:r>
      <w:r>
        <w:rPr>
          <w:rStyle w:val="69"/>
          <w:rFonts w:hint="eastAsia" w:ascii="仿宋" w:hAnsi="仿宋" w:eastAsia="仿宋" w:cs="仿宋"/>
          <w:snapToGrid/>
          <w:color w:val="auto"/>
          <w:kern w:val="2"/>
          <w:sz w:val="24"/>
          <w:szCs w:val="24"/>
          <w:highlight w:val="none"/>
        </w:rPr>
        <w:t>日</w:t>
      </w:r>
      <w:r>
        <w:rPr>
          <w:rStyle w:val="69"/>
          <w:rFonts w:hint="eastAsia" w:ascii="仿宋" w:hAnsi="仿宋" w:eastAsia="仿宋" w:cs="仿宋"/>
          <w:snapToGrid/>
          <w:color w:val="auto"/>
          <w:kern w:val="2"/>
          <w:sz w:val="24"/>
          <w:szCs w:val="24"/>
          <w:highlight w:val="none"/>
          <w:lang w:val="en-US" w:eastAsia="zh-CN"/>
        </w:rPr>
        <w:t>9</w:t>
      </w:r>
      <w:r>
        <w:rPr>
          <w:rStyle w:val="69"/>
          <w:rFonts w:hint="eastAsia" w:ascii="仿宋" w:hAnsi="仿宋" w:eastAsia="仿宋" w:cs="仿宋"/>
          <w:snapToGrid/>
          <w:color w:val="auto"/>
          <w:kern w:val="2"/>
          <w:sz w:val="24"/>
          <w:szCs w:val="24"/>
          <w:highlight w:val="none"/>
        </w:rPr>
        <w:t>点</w:t>
      </w:r>
      <w:r>
        <w:rPr>
          <w:rStyle w:val="69"/>
          <w:rFonts w:hint="eastAsia" w:ascii="仿宋" w:hAnsi="仿宋" w:eastAsia="仿宋" w:cs="仿宋"/>
          <w:snapToGrid/>
          <w:color w:val="auto"/>
          <w:kern w:val="2"/>
          <w:sz w:val="24"/>
          <w:szCs w:val="24"/>
          <w:highlight w:val="none"/>
          <w:lang w:val="en-US" w:eastAsia="zh-CN"/>
        </w:rPr>
        <w:t>00</w:t>
      </w:r>
      <w:r>
        <w:rPr>
          <w:rStyle w:val="69"/>
          <w:rFonts w:hint="eastAsia" w:ascii="仿宋" w:hAnsi="仿宋" w:eastAsia="仿宋" w:cs="仿宋"/>
          <w:snapToGrid/>
          <w:color w:val="auto"/>
          <w:kern w:val="2"/>
          <w:sz w:val="24"/>
          <w:szCs w:val="24"/>
          <w:highlight w:val="none"/>
        </w:rPr>
        <w:t>分</w:t>
      </w:r>
      <w:r>
        <w:rPr>
          <w:rStyle w:val="69"/>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pPr>
        <w:shd w:val="clea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乐采云平台（https://www.lecaiyun.com/） </w:t>
      </w:r>
    </w:p>
    <w:p>
      <w:pPr>
        <w:shd w:val="clea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69"/>
          <w:rFonts w:hint="eastAsia" w:ascii="仿宋" w:hAnsi="仿宋" w:eastAsia="仿宋" w:cs="仿宋"/>
          <w:snapToGrid/>
          <w:color w:val="auto"/>
          <w:kern w:val="2"/>
          <w:sz w:val="24"/>
          <w:szCs w:val="24"/>
          <w:highlight w:val="none"/>
        </w:rPr>
        <w:t>202</w:t>
      </w:r>
      <w:r>
        <w:rPr>
          <w:rStyle w:val="69"/>
          <w:rFonts w:hint="eastAsia" w:ascii="仿宋" w:hAnsi="仿宋" w:eastAsia="仿宋" w:cs="仿宋"/>
          <w:snapToGrid/>
          <w:color w:val="auto"/>
          <w:kern w:val="2"/>
          <w:sz w:val="24"/>
          <w:szCs w:val="24"/>
          <w:highlight w:val="none"/>
          <w:lang w:val="en-US" w:eastAsia="zh-CN"/>
        </w:rPr>
        <w:t>5</w:t>
      </w:r>
      <w:r>
        <w:rPr>
          <w:rStyle w:val="69"/>
          <w:rFonts w:hint="eastAsia" w:ascii="仿宋" w:hAnsi="仿宋" w:eastAsia="仿宋" w:cs="仿宋"/>
          <w:snapToGrid/>
          <w:color w:val="auto"/>
          <w:kern w:val="2"/>
          <w:sz w:val="24"/>
          <w:szCs w:val="24"/>
          <w:highlight w:val="none"/>
        </w:rPr>
        <w:t>年</w:t>
      </w:r>
      <w:r>
        <w:rPr>
          <w:rStyle w:val="69"/>
          <w:rFonts w:hint="eastAsia" w:ascii="仿宋" w:hAnsi="仿宋" w:eastAsia="仿宋" w:cs="仿宋"/>
          <w:snapToGrid/>
          <w:color w:val="auto"/>
          <w:kern w:val="2"/>
          <w:sz w:val="24"/>
          <w:szCs w:val="24"/>
          <w:highlight w:val="none"/>
          <w:lang w:val="en-US" w:eastAsia="zh-CN"/>
        </w:rPr>
        <w:t>4</w:t>
      </w:r>
      <w:r>
        <w:rPr>
          <w:rStyle w:val="69"/>
          <w:rFonts w:hint="eastAsia" w:ascii="仿宋" w:hAnsi="仿宋" w:eastAsia="仿宋" w:cs="仿宋"/>
          <w:snapToGrid/>
          <w:color w:val="auto"/>
          <w:kern w:val="2"/>
          <w:sz w:val="24"/>
          <w:szCs w:val="24"/>
          <w:highlight w:val="none"/>
        </w:rPr>
        <w:t>月</w:t>
      </w:r>
      <w:r>
        <w:rPr>
          <w:rStyle w:val="69"/>
          <w:rFonts w:hint="eastAsia" w:ascii="仿宋" w:hAnsi="仿宋" w:eastAsia="仿宋" w:cs="仿宋"/>
          <w:snapToGrid/>
          <w:color w:val="auto"/>
          <w:kern w:val="2"/>
          <w:sz w:val="24"/>
          <w:szCs w:val="24"/>
          <w:highlight w:val="none"/>
          <w:lang w:val="en-US" w:eastAsia="zh-CN"/>
        </w:rPr>
        <w:t>28</w:t>
      </w:r>
      <w:r>
        <w:rPr>
          <w:rStyle w:val="69"/>
          <w:rFonts w:hint="eastAsia" w:ascii="仿宋" w:hAnsi="仿宋" w:eastAsia="仿宋" w:cs="仿宋"/>
          <w:snapToGrid/>
          <w:color w:val="auto"/>
          <w:kern w:val="2"/>
          <w:sz w:val="24"/>
          <w:szCs w:val="24"/>
          <w:highlight w:val="none"/>
        </w:rPr>
        <w:t>日</w:t>
      </w:r>
      <w:r>
        <w:rPr>
          <w:rStyle w:val="69"/>
          <w:rFonts w:hint="eastAsia" w:ascii="仿宋" w:hAnsi="仿宋" w:eastAsia="仿宋" w:cs="仿宋"/>
          <w:snapToGrid/>
          <w:color w:val="auto"/>
          <w:kern w:val="2"/>
          <w:sz w:val="24"/>
          <w:szCs w:val="24"/>
          <w:highlight w:val="none"/>
          <w:lang w:val="en-US" w:eastAsia="zh-CN"/>
        </w:rPr>
        <w:t>9</w:t>
      </w:r>
      <w:r>
        <w:rPr>
          <w:rStyle w:val="69"/>
          <w:rFonts w:hint="eastAsia" w:ascii="仿宋" w:hAnsi="仿宋" w:eastAsia="仿宋" w:cs="仿宋"/>
          <w:snapToGrid/>
          <w:color w:val="auto"/>
          <w:kern w:val="2"/>
          <w:sz w:val="24"/>
          <w:szCs w:val="24"/>
          <w:highlight w:val="none"/>
        </w:rPr>
        <w:t>点</w:t>
      </w:r>
      <w:r>
        <w:rPr>
          <w:rStyle w:val="69"/>
          <w:rFonts w:hint="eastAsia" w:ascii="仿宋" w:hAnsi="仿宋" w:eastAsia="仿宋" w:cs="仿宋"/>
          <w:snapToGrid/>
          <w:color w:val="auto"/>
          <w:kern w:val="2"/>
          <w:sz w:val="24"/>
          <w:szCs w:val="24"/>
          <w:highlight w:val="none"/>
          <w:lang w:val="en-US" w:eastAsia="zh-CN"/>
        </w:rPr>
        <w:t>00</w:t>
      </w:r>
      <w:r>
        <w:rPr>
          <w:rStyle w:val="69"/>
          <w:rFonts w:hint="eastAsia" w:ascii="仿宋" w:hAnsi="仿宋" w:eastAsia="仿宋" w:cs="仿宋"/>
          <w:snapToGrid/>
          <w:color w:val="auto"/>
          <w:kern w:val="2"/>
          <w:sz w:val="24"/>
          <w:szCs w:val="24"/>
          <w:highlight w:val="none"/>
        </w:rPr>
        <w:t>分</w:t>
      </w:r>
      <w:r>
        <w:rPr>
          <w:rStyle w:val="69"/>
          <w:rFonts w:hint="eastAsia" w:ascii="仿宋" w:hAnsi="仿宋" w:eastAsia="仿宋" w:cs="仿宋"/>
          <w:bCs/>
          <w:snapToGrid/>
          <w:color w:val="auto"/>
          <w:kern w:val="2"/>
          <w:sz w:val="24"/>
          <w:szCs w:val="24"/>
          <w:highlight w:val="none"/>
        </w:rPr>
        <w:t>00秒</w:t>
      </w:r>
    </w:p>
    <w:p>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乐采云平台（https://www.lecaiyun.com/）</w:t>
      </w:r>
    </w:p>
    <w:p>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务服务网-政府采购投诉处理-在线办理。</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4.其他事项：（1）需要落实的采购政策：包括节约资源、保护环境、支持创新、促进中小企业发展等。详见招标文件的第二部分总则。（2）电子招投标的说明：①电子招投标：本项目以数据电文形式，依托</w:t>
      </w:r>
      <w:r>
        <w:rPr>
          <w:rFonts w:ascii="仿宋" w:hAnsi="仿宋" w:eastAsia="仿宋" w:cs="仿宋"/>
          <w:color w:val="auto"/>
          <w:sz w:val="24"/>
          <w:highlight w:val="none"/>
        </w:rPr>
        <w:t>乐采云平台（www.lecaiyun.com</w:t>
      </w:r>
      <w:r>
        <w:rPr>
          <w:rFonts w:hint="eastAsia" w:ascii="仿宋" w:hAnsi="仿宋" w:eastAsia="仿宋" w:cs="仿宋"/>
          <w:color w:val="auto"/>
          <w:sz w:val="24"/>
          <w:highlight w:val="none"/>
        </w:rPr>
        <w:t>）”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投标人按照平台提示和招标文件的规定在半小时内完成在线解密。通过</w:t>
      </w:r>
      <w:r>
        <w:rPr>
          <w:rFonts w:hint="eastAsia" w:ascii="仿宋" w:hAnsi="仿宋" w:eastAsia="仿宋" w:cs="仿宋_GB2312"/>
          <w:color w:val="auto"/>
          <w:sz w:val="24"/>
          <w:highlight w:val="none"/>
        </w:rPr>
        <w:t>“乐采云平台”</w:t>
      </w:r>
      <w:r>
        <w:rPr>
          <w:rFonts w:hint="eastAsia" w:ascii="仿宋" w:hAnsi="仿宋" w:eastAsia="仿宋" w:cs="仿宋"/>
          <w:color w:val="auto"/>
          <w:sz w:val="24"/>
          <w:highlight w:val="none"/>
        </w:rPr>
        <w:t>上传递交的投标文件无法按时解密的，视为投标文件撤回；⑩具体操作指南：详见乐采云平台“服务中心-帮助文档-项目采购-操作流程-电子招投标-政府采购项目电子交易管理操作指南-供应商”。（3）招标文件公告期限与招标公告的公告期限一致。</w:t>
      </w:r>
    </w:p>
    <w:p>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pPr>
        <w:pStyle w:val="5"/>
        <w:shd w:val="clear"/>
        <w:ind w:left="0" w:firstLine="482" w:firstLineChars="200"/>
        <w:rPr>
          <w:rFonts w:ascii="仿宋" w:eastAsia="仿宋" w:cs="仿宋"/>
          <w:color w:val="auto"/>
          <w:sz w:val="24"/>
          <w:szCs w:val="24"/>
          <w:highlight w:val="none"/>
        </w:rPr>
      </w:pPr>
      <w:bookmarkStart w:id="7" w:name="_Toc35393806"/>
      <w:bookmarkStart w:id="8" w:name="_Toc28359096"/>
      <w:bookmarkStart w:id="9" w:name="_Toc28359019"/>
      <w:bookmarkStart w:id="10" w:name="_Toc35393637"/>
      <w:r>
        <w:rPr>
          <w:rFonts w:hint="eastAsia" w:ascii="仿宋" w:eastAsia="仿宋" w:cs="仿宋"/>
          <w:color w:val="auto"/>
          <w:sz w:val="24"/>
          <w:szCs w:val="24"/>
          <w:highlight w:val="none"/>
        </w:rPr>
        <w:t>1.采购人信息</w:t>
      </w:r>
      <w:bookmarkEnd w:id="7"/>
      <w:bookmarkEnd w:id="8"/>
      <w:bookmarkEnd w:id="9"/>
      <w:bookmarkEnd w:id="10"/>
      <w:r>
        <w:rPr>
          <w:rFonts w:hint="eastAsia" w:ascii="仿宋" w:eastAsia="仿宋" w:cs="仿宋"/>
          <w:color w:val="auto"/>
          <w:sz w:val="24"/>
          <w:szCs w:val="24"/>
          <w:highlight w:val="none"/>
        </w:rPr>
        <w:t>：</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称：绍兴市公共交通集团有限公司</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址：浙江省绍兴市润沁路 19 号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项目联系人（询问）：骆爱兰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项目联系方式（询问）：0575-88023892</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 许吉明</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质疑联系方式：0575-88318786</w:t>
      </w:r>
    </w:p>
    <w:p>
      <w:pPr>
        <w:pStyle w:val="5"/>
        <w:shd w:val="clear"/>
        <w:ind w:left="0" w:firstLine="482" w:firstLineChars="200"/>
        <w:rPr>
          <w:rFonts w:ascii="仿宋" w:eastAsia="仿宋" w:cs="仿宋"/>
          <w:color w:val="auto"/>
          <w:sz w:val="24"/>
          <w:highlight w:val="none"/>
        </w:rPr>
      </w:pPr>
      <w:bookmarkStart w:id="11" w:name="_Toc28359020"/>
      <w:bookmarkStart w:id="12" w:name="_Toc35393807"/>
      <w:bookmarkStart w:id="13" w:name="_Toc28359097"/>
      <w:bookmarkStart w:id="14" w:name="_Toc35393638"/>
      <w:r>
        <w:rPr>
          <w:rFonts w:hint="eastAsia" w:ascii="仿宋" w:eastAsia="仿宋" w:cs="仿宋"/>
          <w:color w:val="auto"/>
          <w:sz w:val="24"/>
          <w:szCs w:val="24"/>
          <w:highlight w:val="none"/>
        </w:rPr>
        <w:t>2.采购代理机构信息</w:t>
      </w:r>
      <w:bookmarkEnd w:id="11"/>
      <w:bookmarkEnd w:id="12"/>
      <w:bookmarkEnd w:id="13"/>
      <w:bookmarkEnd w:id="14"/>
      <w:r>
        <w:rPr>
          <w:rFonts w:hint="eastAsia" w:ascii="仿宋" w:eastAsia="仿宋" w:cs="仿宋"/>
          <w:color w:val="auto"/>
          <w:sz w:val="24"/>
          <w:szCs w:val="24"/>
          <w:highlight w:val="none"/>
        </w:rPr>
        <w:t>：</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称：浙江天源工程管理咨询有限公司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址：绍兴市越城区胜利东路 405 号国茂大厦 7 楼 712 室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项目联系人（询问）：龚征亚</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项目联系方式（询问）：0575-85111480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质疑联系人：俞晓萍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质疑联系方式：0575-85127153</w:t>
      </w:r>
    </w:p>
    <w:p>
      <w:pPr>
        <w:shd w:val="clear"/>
        <w:spacing w:line="360" w:lineRule="auto"/>
        <w:ind w:firstLine="482" w:firstLineChars="200"/>
        <w:rPr>
          <w:rFonts w:ascii="仿宋" w:hAnsi="仿宋" w:eastAsia="仿宋" w:cs="仿宋"/>
          <w:b/>
          <w:color w:val="auto"/>
          <w:sz w:val="24"/>
          <w:highlight w:val="none"/>
        </w:rPr>
      </w:pPr>
      <w:bookmarkStart w:id="15" w:name="_Toc28359098"/>
      <w:bookmarkStart w:id="16" w:name="_Toc35393639"/>
      <w:bookmarkStart w:id="17" w:name="_Toc35393808"/>
      <w:bookmarkStart w:id="18"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采购监督管理部门信息：            </w:t>
      </w:r>
    </w:p>
    <w:bookmarkEnd w:id="15"/>
    <w:bookmarkEnd w:id="16"/>
    <w:bookmarkEnd w:id="17"/>
    <w:bookmarkEnd w:id="18"/>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绍兴市轨道交通集团有限公司</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址：绍兴市越城区解放大道386号9层</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：宣伟琳</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监督投诉电话：0575-8816</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234</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bookmarkEnd w:id="69"/>
    </w:p>
    <w:p>
      <w:pPr>
        <w:widowControl/>
        <w:shd w:val="clear"/>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3"/>
      <w:r>
        <w:rPr>
          <w:rFonts w:hint="eastAsia" w:ascii="仿宋" w:hAnsi="仿宋" w:eastAsia="仿宋" w:cs="仿宋"/>
          <w:b/>
          <w:color w:val="auto"/>
          <w:sz w:val="36"/>
          <w:szCs w:val="20"/>
          <w:highlight w:val="none"/>
        </w:rPr>
        <w:t xml:space="preserve"> 投标须知</w:t>
      </w:r>
      <w:bookmarkEnd w:id="4"/>
    </w:p>
    <w:p>
      <w:pPr>
        <w:shd w:val="clea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72"/>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hd w:val="clea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shd w:val="clea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shd w:val="clea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hd w:val="clear"/>
              <w:spacing w:line="440" w:lineRule="exact"/>
              <w:ind w:firstLine="720" w:firstLineChars="300"/>
              <w:rPr>
                <w:rFonts w:ascii="仿宋" w:hAnsi="仿宋" w:eastAsia="仿宋" w:cs="仿宋"/>
                <w:b/>
                <w:color w:val="auto"/>
                <w:sz w:val="24"/>
                <w:highlight w:val="none"/>
              </w:rPr>
            </w:pPr>
            <w:r>
              <w:rPr>
                <w:rFonts w:ascii="仿宋" w:hAnsi="仿宋" w:eastAsia="仿宋" w:cs="仿宋"/>
                <w:color w:val="auto"/>
                <w:sz w:val="24"/>
                <w:highlight w:val="none"/>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hd w:val="clea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hd w:val="clear"/>
              <w:spacing w:line="440" w:lineRule="exact"/>
              <w:rPr>
                <w:rFonts w:ascii="仿宋" w:hAnsi="仿宋" w:eastAsia="仿宋" w:cs="仿宋"/>
                <w:color w:val="auto"/>
                <w:sz w:val="24"/>
                <w:highlight w:val="none"/>
              </w:rPr>
            </w:pPr>
            <w:r>
              <w:rPr>
                <w:rFonts w:ascii="仿宋" w:hAnsi="仿宋" w:eastAsia="仿宋" w:cs="仿宋"/>
                <w:color w:val="auto"/>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shd w:val="clea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hd w:val="clear"/>
              <w:spacing w:line="440" w:lineRule="exact"/>
              <w:rPr>
                <w:rFonts w:ascii="仿宋" w:hAnsi="仿宋" w:eastAsia="仿宋" w:cs="仿宋"/>
                <w:color w:val="auto"/>
                <w:sz w:val="24"/>
                <w:highlight w:val="none"/>
              </w:rPr>
            </w:pPr>
            <w:r>
              <w:rPr>
                <w:rFonts w:ascii="仿宋" w:hAnsi="仿宋" w:eastAsia="仿宋" w:cs="仿宋"/>
                <w:color w:val="auto"/>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hd w:val="clea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shd w:val="clea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hd w:val="clea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hd w:val="clear"/>
              <w:spacing w:line="440" w:lineRule="exact"/>
              <w:rPr>
                <w:rFonts w:ascii="仿宋" w:hAnsi="仿宋" w:eastAsia="仿宋" w:cs="仿宋"/>
                <w:color w:val="auto"/>
                <w:sz w:val="24"/>
                <w:highlight w:val="none"/>
              </w:rPr>
            </w:pPr>
            <w:r>
              <w:rPr>
                <w:rFonts w:ascii="仿宋" w:hAnsi="仿宋" w:eastAsia="仿宋" w:cs="仿宋"/>
                <w:color w:val="auto"/>
                <w:sz w:val="24"/>
                <w:highlight w:val="none"/>
              </w:rPr>
              <w:t>☑</w:t>
            </w:r>
            <w:r>
              <w:rPr>
                <w:rFonts w:hint="eastAsia" w:ascii="仿宋" w:hAnsi="仿宋" w:eastAsia="仿宋" w:cs="仿宋"/>
                <w:color w:val="auto"/>
                <w:sz w:val="24"/>
                <w:highlight w:val="none"/>
              </w:rPr>
              <w:t>A无方案讲解演示。</w:t>
            </w:r>
          </w:p>
          <w:p>
            <w:pPr>
              <w:shd w:val="clea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pPr>
              <w:shd w:val="clea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hd w:val="clea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hd w:val="clea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pPr>
              <w:shd w:val="clea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hd w:val="clea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hd w:val="clear"/>
              <w:spacing w:line="440" w:lineRule="exact"/>
              <w:rPr>
                <w:rFonts w:ascii="仿宋" w:hAnsi="仿宋" w:eastAsia="仿宋" w:cs="仿宋"/>
                <w:color w:val="auto"/>
                <w:kern w:val="0"/>
                <w:sz w:val="24"/>
                <w:highlight w:val="none"/>
              </w:rPr>
            </w:pPr>
            <w:r>
              <w:rPr>
                <w:rFonts w:ascii="仿宋" w:hAnsi="仿宋" w:eastAsia="仿宋" w:cs="仿宋"/>
                <w:color w:val="auto"/>
                <w:sz w:val="24"/>
                <w:highlight w:val="none"/>
              </w:rPr>
              <w:t>☑</w:t>
            </w:r>
            <w:r>
              <w:rPr>
                <w:rFonts w:hint="eastAsia" w:ascii="仿宋" w:hAnsi="仿宋" w:eastAsia="仿宋" w:cs="仿宋"/>
                <w:color w:val="auto"/>
                <w:kern w:val="0"/>
                <w:sz w:val="24"/>
                <w:highlight w:val="none"/>
              </w:rPr>
              <w:t>本项目不允许采购进口产品。</w:t>
            </w:r>
          </w:p>
          <w:p>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hd w:val="clea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hd w:val="clear"/>
              <w:spacing w:line="440" w:lineRule="exact"/>
              <w:rPr>
                <w:rFonts w:ascii="仿宋" w:hAnsi="仿宋" w:eastAsia="仿宋" w:cs="仿宋"/>
                <w:color w:val="auto"/>
                <w:sz w:val="24"/>
                <w:highlight w:val="none"/>
              </w:rPr>
            </w:pPr>
            <w:r>
              <w:rPr>
                <w:rFonts w:ascii="仿宋" w:hAnsi="仿宋" w:eastAsia="仿宋" w:cs="仿宋"/>
                <w:color w:val="auto"/>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lang w:val="en-US" w:eastAsia="zh-CN"/>
              </w:rPr>
              <w:t xml:space="preserve"> /   </w:t>
            </w:r>
            <w:r>
              <w:rPr>
                <w:rFonts w:hint="eastAsia" w:ascii="仿宋" w:hAnsi="仿宋" w:eastAsia="仿宋" w:cs="仿宋"/>
                <w:color w:val="auto"/>
                <w:sz w:val="24"/>
                <w:highlight w:val="none"/>
              </w:rPr>
              <w:t>。</w:t>
            </w:r>
          </w:p>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hd w:val="clea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（1）标的：</w:t>
            </w:r>
            <w:r>
              <w:rPr>
                <w:rFonts w:hint="eastAsia" w:ascii="仿宋" w:hAnsi="仿宋" w:eastAsia="仿宋" w:cs="仿宋"/>
                <w:color w:val="auto"/>
                <w:sz w:val="24"/>
                <w:highlight w:val="none"/>
                <w:u w:val="single"/>
              </w:rPr>
              <w:t>标项一</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val="en-US" w:eastAsia="zh-CN"/>
              </w:rPr>
              <w:t>批发</w:t>
            </w:r>
            <w:r>
              <w:rPr>
                <w:rFonts w:hint="eastAsia" w:ascii="仿宋" w:hAnsi="仿宋" w:eastAsia="仿宋" w:cs="仿宋"/>
                <w:color w:val="auto"/>
                <w:sz w:val="24"/>
                <w:highlight w:val="none"/>
              </w:rPr>
              <w:t>行业；</w:t>
            </w:r>
          </w:p>
          <w:p>
            <w:pPr>
              <w:shd w:val="clear"/>
              <w:snapToGrid w:val="0"/>
              <w:spacing w:line="440" w:lineRule="exact"/>
              <w:rPr>
                <w:rFonts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）标的：</w:t>
            </w:r>
            <w:r>
              <w:rPr>
                <w:rFonts w:hint="eastAsia" w:ascii="仿宋" w:hAnsi="仿宋" w:eastAsia="仿宋" w:cs="仿宋"/>
                <w:color w:val="auto"/>
                <w:sz w:val="24"/>
                <w:highlight w:val="none"/>
                <w:u w:val="single"/>
              </w:rPr>
              <w:t>标项</w:t>
            </w:r>
            <w:r>
              <w:rPr>
                <w:rFonts w:hint="eastAsia" w:ascii="仿宋" w:hAnsi="仿宋" w:eastAsia="仿宋" w:cs="仿宋"/>
                <w:color w:val="auto"/>
                <w:sz w:val="24"/>
                <w:highlight w:val="none"/>
                <w:u w:val="single"/>
                <w:lang w:eastAsia="zh-CN"/>
              </w:rPr>
              <w:t>二</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val="en-US" w:eastAsia="zh-CN"/>
              </w:rPr>
              <w:t>批发</w:t>
            </w:r>
            <w:r>
              <w:rPr>
                <w:rFonts w:hint="eastAsia" w:ascii="仿宋" w:hAnsi="仿宋" w:eastAsia="仿宋" w:cs="仿宋"/>
                <w:color w:val="auto"/>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restart"/>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shd w:val="clear"/>
              <w:spacing w:line="440" w:lineRule="exact"/>
              <w:jc w:val="center"/>
              <w:rPr>
                <w:rFonts w:ascii="仿宋" w:hAnsi="仿宋" w:eastAsia="仿宋" w:cs="仿宋"/>
                <w:color w:val="auto"/>
                <w:sz w:val="24"/>
                <w:highlight w:val="none"/>
              </w:rPr>
            </w:pPr>
          </w:p>
        </w:tc>
        <w:tc>
          <w:tcPr>
            <w:tcW w:w="855" w:type="dxa"/>
            <w:vMerge w:val="continue"/>
            <w:vAlign w:val="center"/>
          </w:tcPr>
          <w:p>
            <w:pPr>
              <w:shd w:val="clear"/>
              <w:snapToGrid w:val="0"/>
              <w:spacing w:line="440" w:lineRule="exact"/>
              <w:rPr>
                <w:rFonts w:ascii="仿宋" w:hAnsi="仿宋" w:eastAsia="仿宋" w:cs="仿宋"/>
                <w:b/>
                <w:color w:val="auto"/>
                <w:sz w:val="24"/>
                <w:highlight w:val="none"/>
              </w:rPr>
            </w:pPr>
          </w:p>
        </w:tc>
        <w:tc>
          <w:tcPr>
            <w:tcW w:w="7515" w:type="dxa"/>
            <w:vAlign w:val="center"/>
          </w:tcPr>
          <w:p>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shd w:val="clear"/>
              <w:spacing w:line="440" w:lineRule="exact"/>
              <w:jc w:val="center"/>
              <w:rPr>
                <w:rFonts w:ascii="仿宋" w:hAnsi="仿宋" w:eastAsia="仿宋" w:cs="仿宋"/>
                <w:color w:val="auto"/>
                <w:sz w:val="24"/>
                <w:highlight w:val="none"/>
              </w:rPr>
            </w:pPr>
          </w:p>
        </w:tc>
        <w:tc>
          <w:tcPr>
            <w:tcW w:w="855" w:type="dxa"/>
            <w:vMerge w:val="continue"/>
            <w:vAlign w:val="center"/>
          </w:tcPr>
          <w:p>
            <w:pPr>
              <w:shd w:val="clear"/>
              <w:snapToGrid w:val="0"/>
              <w:spacing w:line="440" w:lineRule="exact"/>
              <w:rPr>
                <w:rFonts w:ascii="仿宋" w:hAnsi="仿宋" w:eastAsia="仿宋" w:cs="仿宋"/>
                <w:b/>
                <w:color w:val="auto"/>
                <w:sz w:val="24"/>
                <w:highlight w:val="none"/>
              </w:rPr>
            </w:pPr>
          </w:p>
        </w:tc>
        <w:tc>
          <w:tcPr>
            <w:tcW w:w="7515" w:type="dxa"/>
            <w:vAlign w:val="center"/>
          </w:tcPr>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370" w:type="dxa"/>
            <w:gridSpan w:val="2"/>
            <w:vAlign w:val="center"/>
          </w:tcPr>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p>
        </w:tc>
        <w:tc>
          <w:tcPr>
            <w:tcW w:w="8370" w:type="dxa"/>
            <w:gridSpan w:val="2"/>
            <w:vAlign w:val="center"/>
          </w:tcPr>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注：供应商CA相关操作可参考乐采云平台</w:t>
            </w:r>
            <w:r>
              <w:rPr>
                <w:rFonts w:hint="eastAsia" w:ascii="仿宋" w:hAnsi="仿宋" w:eastAsia="仿宋" w:cs="仿宋"/>
                <w:color w:val="auto"/>
                <w:highlight w:val="none"/>
              </w:rPr>
              <w:t>https://www.lecaiyun.com/</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pPr>
              <w:shd w:val="clea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3.2投标人通过“乐采云”平台制作电子投标文件，投标文件制作详见“供应商-政府采购项目电子交易操作指南。</w:t>
            </w:r>
          </w:p>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3.3开标时间后30分钟内供应商可以登录“乐采云”平台，用“项目采购-开标评标”功能进行解密投标文件。若供应商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restart"/>
            <w:vAlign w:val="center"/>
          </w:tcPr>
          <w:p>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p>
        </w:tc>
        <w:tc>
          <w:tcPr>
            <w:tcW w:w="8370" w:type="dxa"/>
            <w:gridSpan w:val="2"/>
            <w:vAlign w:val="center"/>
          </w:tcPr>
          <w:p>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hd w:val="clea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continue"/>
            <w:vAlign w:val="center"/>
          </w:tcPr>
          <w:p>
            <w:pPr>
              <w:shd w:val="clear"/>
              <w:spacing w:line="440" w:lineRule="exact"/>
              <w:rPr>
                <w:rFonts w:ascii="仿宋" w:hAnsi="仿宋" w:eastAsia="仿宋" w:cs="仿宋"/>
                <w:color w:val="auto"/>
                <w:sz w:val="24"/>
                <w:highlight w:val="none"/>
              </w:rPr>
            </w:pPr>
          </w:p>
        </w:tc>
        <w:tc>
          <w:tcPr>
            <w:tcW w:w="8370" w:type="dxa"/>
            <w:gridSpan w:val="2"/>
            <w:vAlign w:val="center"/>
          </w:tcPr>
          <w:p>
            <w:pPr>
              <w:shd w:val="clea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hd w:val="clea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shd w:val="clea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pPr>
              <w:shd w:val="clea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（一）中标人须向招标代理机构按如下标准和规定交纳代理服务费：</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①以标项中确定的中标金额作为服务费的计算基数，具体比例</w:t>
            </w:r>
            <w:r>
              <w:rPr>
                <w:rFonts w:hint="eastAsia" w:ascii="仿宋" w:hAnsi="仿宋" w:eastAsia="仿宋" w:cs="仿宋"/>
                <w:b w:val="0"/>
                <w:bCs/>
                <w:color w:val="auto"/>
                <w:sz w:val="24"/>
                <w:highlight w:val="none"/>
                <w:u w:val="single"/>
                <w:lang w:eastAsia="zh-CN"/>
              </w:rPr>
              <w:t>以“中标金额在100万以下部分为1.5%，100万元到500万元部分为</w:t>
            </w:r>
            <w:r>
              <w:rPr>
                <w:rFonts w:hint="eastAsia" w:ascii="仿宋" w:hAnsi="仿宋" w:eastAsia="仿宋" w:cs="仿宋"/>
                <w:b w:val="0"/>
                <w:bCs/>
                <w:color w:val="auto"/>
                <w:sz w:val="24"/>
                <w:highlight w:val="none"/>
                <w:u w:val="single"/>
                <w:lang w:val="en-US" w:eastAsia="zh-CN"/>
              </w:rPr>
              <w:t>1.1</w:t>
            </w:r>
            <w:r>
              <w:rPr>
                <w:rFonts w:hint="eastAsia" w:ascii="仿宋" w:hAnsi="仿宋" w:eastAsia="仿宋" w:cs="仿宋"/>
                <w:b w:val="0"/>
                <w:bCs/>
                <w:color w:val="auto"/>
                <w:sz w:val="24"/>
                <w:highlight w:val="none"/>
                <w:u w:val="single"/>
                <w:lang w:eastAsia="zh-CN"/>
              </w:rPr>
              <w:t>%，</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lang w:eastAsia="zh-CN"/>
              </w:rPr>
              <w:t>00万元到</w:t>
            </w:r>
            <w:r>
              <w:rPr>
                <w:rFonts w:hint="eastAsia" w:ascii="仿宋" w:hAnsi="仿宋" w:eastAsia="仿宋" w:cs="仿宋"/>
                <w:b w:val="0"/>
                <w:bCs/>
                <w:color w:val="auto"/>
                <w:sz w:val="24"/>
                <w:highlight w:val="none"/>
                <w:u w:val="single"/>
                <w:lang w:val="en-US" w:eastAsia="zh-CN"/>
              </w:rPr>
              <w:t>10</w:t>
            </w:r>
            <w:r>
              <w:rPr>
                <w:rFonts w:hint="eastAsia" w:ascii="仿宋" w:hAnsi="仿宋" w:eastAsia="仿宋" w:cs="仿宋"/>
                <w:b w:val="0"/>
                <w:bCs/>
                <w:color w:val="auto"/>
                <w:sz w:val="24"/>
                <w:highlight w:val="none"/>
                <w:u w:val="single"/>
                <w:lang w:eastAsia="zh-CN"/>
              </w:rPr>
              <w:t>00万元部分为</w:t>
            </w:r>
            <w:r>
              <w:rPr>
                <w:rFonts w:hint="eastAsia" w:ascii="仿宋" w:hAnsi="仿宋" w:eastAsia="仿宋" w:cs="仿宋"/>
                <w:b w:val="0"/>
                <w:bCs/>
                <w:color w:val="auto"/>
                <w:sz w:val="24"/>
                <w:highlight w:val="none"/>
                <w:u w:val="single"/>
                <w:lang w:val="en-US" w:eastAsia="zh-CN"/>
              </w:rPr>
              <w:t>0.8</w:t>
            </w:r>
            <w:r>
              <w:rPr>
                <w:rFonts w:hint="eastAsia" w:ascii="仿宋" w:hAnsi="仿宋" w:eastAsia="仿宋" w:cs="仿宋"/>
                <w:b w:val="0"/>
                <w:bCs/>
                <w:color w:val="auto"/>
                <w:sz w:val="24"/>
                <w:highlight w:val="none"/>
                <w:u w:val="single"/>
                <w:lang w:eastAsia="zh-CN"/>
              </w:rPr>
              <w:t>%。”为标准</w:t>
            </w:r>
            <w:r>
              <w:rPr>
                <w:rFonts w:hint="eastAsia" w:ascii="仿宋" w:hAnsi="仿宋" w:eastAsia="仿宋" w:cs="仿宋"/>
                <w:b w:val="0"/>
                <w:bCs/>
                <w:color w:val="auto"/>
                <w:sz w:val="24"/>
                <w:highlight w:val="none"/>
                <w:u w:val="single"/>
              </w:rPr>
              <w:t>,</w:t>
            </w:r>
            <w:r>
              <w:rPr>
                <w:rFonts w:hint="eastAsia" w:ascii="仿宋" w:hAnsi="仿宋" w:eastAsia="仿宋" w:cs="仿宋"/>
                <w:b w:val="0"/>
                <w:bCs/>
                <w:color w:val="auto"/>
                <w:sz w:val="24"/>
                <w:highlight w:val="none"/>
                <w:u w:val="single"/>
                <w:lang w:eastAsia="zh-CN"/>
              </w:rPr>
              <w:t>再</w:t>
            </w:r>
            <w:r>
              <w:rPr>
                <w:rFonts w:hint="eastAsia" w:ascii="仿宋" w:hAnsi="仿宋" w:eastAsia="仿宋" w:cs="仿宋"/>
                <w:b w:val="0"/>
                <w:bCs/>
                <w:color w:val="auto"/>
                <w:sz w:val="24"/>
                <w:highlight w:val="none"/>
                <w:u w:val="single"/>
              </w:rPr>
              <w:t>下浮 99.9%执行，代理服务费少于 5000 元时，按 5000 元计取。</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②代理服务费的交纳方式：</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用银行支票、汇票、电汇、现金等付款方式直接交纳代理服务费。</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公司名称：浙江天源工程管理咨询有限公司</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账    号：397458339397</w:t>
            </w:r>
          </w:p>
          <w:p>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 xml:space="preserve">开 户 行：中国银行绍兴市大云支行 </w:t>
            </w:r>
          </w:p>
          <w:p>
            <w:pPr>
              <w:shd w:val="clear"/>
              <w:spacing w:line="336" w:lineRule="auto"/>
              <w:rPr>
                <w:rFonts w:ascii="仿宋" w:hAnsi="仿宋" w:eastAsia="仿宋" w:cs="仿宋"/>
                <w:color w:val="auto"/>
                <w:highlight w:val="none"/>
              </w:rPr>
            </w:pPr>
            <w:r>
              <w:rPr>
                <w:rFonts w:hint="eastAsia" w:ascii="仿宋" w:hAnsi="仿宋" w:eastAsia="仿宋" w:cs="仿宋"/>
                <w:b w:val="0"/>
                <w:bCs/>
                <w:color w:val="auto"/>
                <w:sz w:val="24"/>
                <w:highlight w:val="none"/>
                <w:u w:val="single"/>
              </w:rPr>
              <w:t>③ 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5"/>
    </w:tbl>
    <w:p>
      <w:pPr>
        <w:shd w:val="clear"/>
        <w:adjustRightInd/>
        <w:spacing w:line="360" w:lineRule="auto"/>
        <w:jc w:val="center"/>
        <w:outlineLvl w:val="0"/>
        <w:rPr>
          <w:rFonts w:ascii="仿宋" w:hAnsi="仿宋" w:eastAsia="仿宋" w:cs="仿宋"/>
          <w:b/>
          <w:color w:val="auto"/>
          <w:sz w:val="32"/>
          <w:szCs w:val="32"/>
          <w:highlight w:val="none"/>
        </w:rPr>
      </w:pPr>
      <w:bookmarkStart w:id="19" w:name="_Toc164416483"/>
      <w:bookmarkStart w:id="20" w:name="第三部分"/>
    </w:p>
    <w:p>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hd w:val="clea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shd w:val="clea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w:t>
      </w:r>
      <w:r>
        <w:rPr>
          <w:rFonts w:ascii="仿宋" w:hAnsi="仿宋" w:eastAsia="仿宋" w:cs="仿宋"/>
          <w:color w:val="auto"/>
          <w:sz w:val="24"/>
          <w:highlight w:val="none"/>
        </w:rPr>
        <w:t>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r>
        <w:rPr>
          <w:rFonts w:hint="eastAsia" w:ascii="仿宋" w:hAnsi="仿宋" w:eastAsia="仿宋" w:cs="仿宋"/>
          <w:color w:val="auto"/>
          <w:sz w:val="24"/>
          <w:highlight w:val="none"/>
        </w:rPr>
        <w:t>。</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2.7“电子交易平台”系指本项目采购活动所依托的</w:t>
      </w:r>
      <w:r>
        <w:rPr>
          <w:rFonts w:ascii="仿宋" w:hAnsi="仿宋" w:eastAsia="仿宋" w:cs="仿宋"/>
          <w:color w:val="auto"/>
          <w:sz w:val="24"/>
          <w:highlight w:val="none"/>
        </w:rPr>
        <w:t>乐采云平台（https://www.lecaiyun.com/）</w:t>
      </w:r>
      <w:r>
        <w:rPr>
          <w:rFonts w:hint="eastAsia" w:ascii="仿宋" w:hAnsi="仿宋" w:eastAsia="仿宋" w:cs="仿宋"/>
          <w:color w:val="auto"/>
          <w:sz w:val="24"/>
          <w:highlight w:val="none"/>
        </w:rPr>
        <w:t>。</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bookmarkStart w:id="21" w:name="OLE_LINK1"/>
      <w:r>
        <w:rPr>
          <w:rFonts w:hint="eastAsia" w:ascii="仿宋" w:hAnsi="仿宋" w:eastAsia="仿宋" w:cs="仿宋"/>
          <w:color w:val="auto"/>
          <w:kern w:val="0"/>
          <w:sz w:val="24"/>
          <w:highlight w:val="none"/>
        </w:rPr>
        <w:t>☑</w:t>
      </w:r>
      <w:bookmarkEnd w:id="21"/>
      <w:r>
        <w:rPr>
          <w:rFonts w:hint="eastAsia" w:ascii="仿宋" w:hAnsi="仿宋" w:eastAsia="仿宋" w:cs="仿宋"/>
          <w:color w:val="auto"/>
          <w:sz w:val="24"/>
          <w:highlight w:val="none"/>
        </w:rPr>
        <w:t>”系指适用本项目的要求，“☐”系指不适用本项目的要求。</w:t>
      </w:r>
    </w:p>
    <w:p>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3.采购项目需要落实的采购政策</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hd w:val="clea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hd w:val="clea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hd w:val="clea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符合中小企业划分标准的个体工商户，在采购活动中视同中小企业。</w:t>
      </w:r>
    </w:p>
    <w:p>
      <w:pPr>
        <w:shd w:val="clea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hd w:val="clea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以联合体形式参加采购活动， 联合体各方均为中小企业的，联合体视同中小企业。其中，联合体各方均为小微企业的，联合体视同小微企业。</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hd w:val="clea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hd w:val="clear"/>
        <w:adjustRightInd/>
        <w:spacing w:line="360" w:lineRule="auto"/>
        <w:jc w:val="center"/>
        <w:outlineLvl w:val="0"/>
        <w:rPr>
          <w:rFonts w:ascii="仿宋" w:hAnsi="仿宋" w:eastAsia="仿宋" w:cs="仿宋"/>
          <w:b/>
          <w:color w:val="auto"/>
          <w:sz w:val="32"/>
          <w:szCs w:val="32"/>
          <w:highlight w:val="none"/>
        </w:rPr>
      </w:pPr>
    </w:p>
    <w:p>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6"/>
        <w:shd w:val="clear"/>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shd w:val="clear"/>
        <w:rPr>
          <w:rFonts w:ascii="仿宋" w:hAnsi="仿宋" w:eastAsia="仿宋" w:cs="仿宋"/>
          <w:color w:val="auto"/>
          <w:sz w:val="32"/>
          <w:szCs w:val="32"/>
          <w:highlight w:val="none"/>
          <w:lang w:val="en-US"/>
        </w:rPr>
      </w:pPr>
    </w:p>
    <w:p>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hd w:val="clea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1.5.1投标文件为电子投标文件，电子投标文件按“乐采云供应商项目采购-电子招投标操作指南”及本招标文件要求制作、加密传输。</w:t>
      </w:r>
    </w:p>
    <w:p>
      <w:pPr>
        <w:shd w:val="clea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hd w:val="clea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shd w:val="clear"/>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hd w:val="clea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2.1.1符合参加采购活动应当具备的一般条件的承诺函；</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hd w:val="clea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2.1.4落实采购政策需满足的资格要求（如果有)；</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hd w:val="clea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pPr>
        <w:shd w:val="clea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pPr>
        <w:shd w:val="clea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pPr>
        <w:shd w:val="clea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3"/>
        <w:shd w:val="clear"/>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pPr>
        <w:pStyle w:val="3"/>
        <w:shd w:val="clear"/>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2.3.2中小企业声明函（如有）；</w:t>
      </w:r>
    </w:p>
    <w:p>
      <w:pPr>
        <w:pStyle w:val="3"/>
        <w:shd w:val="clear"/>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残疾人福利性单位声明函（如有）。</w:t>
      </w:r>
    </w:p>
    <w:p>
      <w:pPr>
        <w:pStyle w:val="3"/>
        <w:shd w:val="clear"/>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pPr>
        <w:pStyle w:val="3"/>
        <w:shd w:val="clear"/>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pPr>
        <w:pStyle w:val="3"/>
        <w:shd w:val="clear"/>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pPr>
        <w:pStyle w:val="3"/>
        <w:shd w:val="clear"/>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pPr>
        <w:pStyle w:val="3"/>
        <w:shd w:val="clear"/>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.3使用“乐采云电子交易客户端”需要提前申领CA数字证书，申领流程请自行前往“浙江政府采购网-下载专区-电子交易客户端-CA驱动和申领流程”进行查阅。</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pPr>
        <w:shd w:val="clea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0"/>
        <w:shd w:val="clear"/>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hd w:val="clea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hd w:val="clea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shd w:val="clear"/>
        <w:spacing w:before="0"/>
        <w:ind w:firstLine="643"/>
        <w:rPr>
          <w:rFonts w:ascii="仿宋" w:hAnsi="仿宋" w:eastAsia="仿宋" w:cs="仿宋"/>
          <w:b/>
          <w:color w:val="auto"/>
          <w:sz w:val="32"/>
          <w:highlight w:val="none"/>
        </w:rPr>
      </w:pPr>
    </w:p>
    <w:p>
      <w:pPr>
        <w:shd w:val="clear"/>
        <w:spacing w:line="360" w:lineRule="auto"/>
        <w:jc w:val="center"/>
        <w:rPr>
          <w:rFonts w:ascii="仿宋" w:hAnsi="仿宋" w:eastAsia="仿宋" w:cs="仿宋"/>
          <w:b/>
          <w:color w:val="auto"/>
          <w:sz w:val="32"/>
          <w:szCs w:val="32"/>
          <w:highlight w:val="none"/>
        </w:rPr>
      </w:pPr>
      <w:bookmarkStart w:id="22" w:name="_Toc91899903"/>
      <w:r>
        <w:rPr>
          <w:rFonts w:hint="eastAsia" w:ascii="仿宋" w:hAnsi="仿宋" w:eastAsia="仿宋" w:cs="仿宋"/>
          <w:b/>
          <w:color w:val="auto"/>
          <w:sz w:val="32"/>
          <w:szCs w:val="32"/>
          <w:highlight w:val="none"/>
        </w:rPr>
        <w:t>四、开标和评标</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1.2投标人登录乐采云平台，用“项目采购-开标评标”功能对电子投标文件进行在线解密。在线解密电子投标文件时间为开标时间起30分钟内。</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u w:val="single"/>
          <w:lang w:eastAsia="zh-CN"/>
        </w:rPr>
        <w:t>七</w:t>
      </w:r>
      <w:r>
        <w:rPr>
          <w:rFonts w:hint="eastAsia" w:ascii="仿宋" w:hAnsi="仿宋" w:eastAsia="仿宋" w:cs="仿宋"/>
          <w:color w:val="auto"/>
          <w:sz w:val="24"/>
          <w:highlight w:val="none"/>
        </w:rPr>
        <w:t>人以上单数。</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hd w:val="clea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6.4在评审过程中，如属于实质性偏离或符合无效响应条件的，应当询问相关投标人，并可对其通过乐采云平台进行线上确认，但不允许对偏离条款进行补充、修正或撤回。</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9"/>
        <w:widowControl w:val="0"/>
        <w:shd w:val="clear"/>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9"/>
        <w:widowControl w:val="0"/>
        <w:shd w:val="clear"/>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hd w:val="clear"/>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shd w:val="clea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8.2单位负责人为同一人或者存在直接控股、管理关系的不同供应商参加同一合同项下的采购活动的（均无效）；</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8.22.4属于同一集团、协会、商会等组织成员的供应商按照该组织要求协同参加采购活动；</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8.22.6供应商之间商定部分供应商放弃参加采购活动或者放弃中标、成交；</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5</w:t>
      </w:r>
      <w:r>
        <w:rPr>
          <w:rFonts w:hint="eastAsia" w:ascii="仿宋" w:hAnsi="仿宋" w:eastAsia="仿宋" w:cs="仿宋"/>
          <w:b/>
          <w:bCs/>
          <w:color w:val="auto"/>
          <w:sz w:val="24"/>
          <w:highlight w:val="none"/>
        </w:rPr>
        <w:t xml:space="preserve"> 未按招标文件要求提供样品或提供样品不满足采购需求实质性条件的；</w:t>
      </w:r>
    </w:p>
    <w:p>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6参与同一个采购包(标段)的供应商存在下列情形之一的其投标(响应)文件无效:</w:t>
      </w:r>
    </w:p>
    <w:p>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8.26.1</w:t>
      </w:r>
      <w:r>
        <w:rPr>
          <w:rFonts w:ascii="仿宋" w:hAnsi="仿宋" w:eastAsia="仿宋" w:cs="仿宋"/>
          <w:b/>
          <w:bCs/>
          <w:color w:val="auto"/>
          <w:sz w:val="24"/>
          <w:highlight w:val="none"/>
        </w:rPr>
        <w:t>不同供应商的电子投标(响应)文件上传计算机的网卡MAC地址、CPU序列号和硬盘序列号等硬件信息相同的;</w:t>
      </w:r>
    </w:p>
    <w:p>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8.26.2</w:t>
      </w:r>
      <w:r>
        <w:rPr>
          <w:rFonts w:ascii="仿宋" w:hAnsi="仿宋" w:eastAsia="仿宋" w:cs="仿宋"/>
          <w:b/>
          <w:bCs/>
          <w:color w:val="auto"/>
          <w:sz w:val="24"/>
          <w:highlight w:val="none"/>
        </w:rPr>
        <w:t>上传的电子投标(响应)文件若出现使用本项目其他投标(响应)供应商的数字证书加密的，或者加盖本项目其他投标(响应)供应商的电子印章的;</w:t>
      </w:r>
    </w:p>
    <w:p>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8.26.3</w:t>
      </w:r>
      <w:r>
        <w:rPr>
          <w:rFonts w:ascii="仿宋" w:hAnsi="仿宋" w:eastAsia="仿宋" w:cs="仿宋"/>
          <w:b/>
          <w:bCs/>
          <w:color w:val="auto"/>
          <w:sz w:val="24"/>
          <w:highlight w:val="none"/>
        </w:rPr>
        <w:t>不同供应商的投标(响应)文件的内容存在三处(含)以上错误一致，且无法合理解释的;</w:t>
      </w:r>
    </w:p>
    <w:p>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8.26.4</w:t>
      </w:r>
      <w:r>
        <w:rPr>
          <w:rFonts w:ascii="仿宋" w:hAnsi="仿宋" w:eastAsia="仿宋" w:cs="仿宋"/>
          <w:b/>
          <w:bCs/>
          <w:color w:val="auto"/>
          <w:sz w:val="24"/>
          <w:highlight w:val="none"/>
        </w:rPr>
        <w:t>不同供应商联系人为同一人或不同联系人的联系电话一致，且无法合理解释的。</w:t>
      </w:r>
    </w:p>
    <w:p>
      <w:pPr>
        <w:shd w:val="clea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pPr>
        <w:shd w:val="clea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pPr>
        <w:shd w:val="clea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hd w:val="clea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hd w:val="clear"/>
        <w:snapToGrid w:val="0"/>
        <w:spacing w:line="360" w:lineRule="auto"/>
        <w:ind w:firstLine="482" w:firstLineChars="150"/>
        <w:jc w:val="center"/>
        <w:rPr>
          <w:rFonts w:ascii="仿宋" w:hAnsi="仿宋" w:eastAsia="仿宋" w:cs="仿宋"/>
          <w:b/>
          <w:color w:val="auto"/>
          <w:sz w:val="32"/>
          <w:highlight w:val="none"/>
        </w:rPr>
      </w:pPr>
    </w:p>
    <w:bookmarkEnd w:id="22"/>
    <w:p>
      <w:pPr>
        <w:pStyle w:val="34"/>
        <w:shd w:val="clear"/>
        <w:spacing w:line="360" w:lineRule="auto"/>
        <w:ind w:firstLine="726"/>
        <w:jc w:val="center"/>
        <w:rPr>
          <w:rFonts w:ascii="仿宋" w:hAnsi="仿宋" w:eastAsia="仿宋" w:cs="仿宋"/>
          <w:b/>
          <w:color w:val="auto"/>
          <w:sz w:val="32"/>
          <w:szCs w:val="32"/>
          <w:highlight w:val="none"/>
        </w:rPr>
      </w:pPr>
      <w:bookmarkStart w:id="23" w:name="_Hlt74707468"/>
      <w:bookmarkEnd w:id="23"/>
      <w:bookmarkStart w:id="24" w:name="_Hlt74714665"/>
      <w:bookmarkEnd w:id="24"/>
      <w:bookmarkStart w:id="25" w:name="_Hlt75236011"/>
      <w:bookmarkEnd w:id="25"/>
      <w:bookmarkStart w:id="26" w:name="_Hlt68072990"/>
      <w:bookmarkEnd w:id="26"/>
      <w:bookmarkStart w:id="27" w:name="_Hlt68072998"/>
      <w:bookmarkEnd w:id="27"/>
      <w:bookmarkStart w:id="28" w:name="_Hlt75236101"/>
      <w:bookmarkEnd w:id="28"/>
      <w:bookmarkStart w:id="29" w:name="_Hlt74729768"/>
      <w:bookmarkEnd w:id="29"/>
      <w:bookmarkStart w:id="30" w:name="_Hlt68403820"/>
      <w:bookmarkEnd w:id="30"/>
      <w:bookmarkStart w:id="31" w:name="_Hlt74730295"/>
      <w:bookmarkEnd w:id="31"/>
      <w:bookmarkStart w:id="32" w:name="_Hlt68057669"/>
      <w:bookmarkEnd w:id="32"/>
      <w:bookmarkStart w:id="33" w:name="_Hlt75236290"/>
      <w:bookmarkEnd w:id="33"/>
      <w:bookmarkStart w:id="34" w:name="_Hlt68073093"/>
      <w:bookmarkEnd w:id="34"/>
      <w:bookmarkStart w:id="35" w:name="_Toc81372953"/>
      <w:bookmarkStart w:id="36" w:name="_Toc81372776"/>
      <w:bookmarkStart w:id="37" w:name="_Toc84325929"/>
      <w:r>
        <w:rPr>
          <w:rFonts w:hint="eastAsia" w:ascii="仿宋" w:hAnsi="仿宋" w:eastAsia="仿宋" w:cs="仿宋"/>
          <w:b/>
          <w:color w:val="auto"/>
          <w:sz w:val="32"/>
          <w:szCs w:val="32"/>
          <w:highlight w:val="none"/>
        </w:rPr>
        <w:t>五、授予合同</w:t>
      </w:r>
    </w:p>
    <w:bookmarkEnd w:id="35"/>
    <w:bookmarkEnd w:id="36"/>
    <w:bookmarkEnd w:id="37"/>
    <w:p>
      <w:pPr>
        <w:pStyle w:val="19"/>
        <w:shd w:val="clear"/>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hd w:val="clea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4.4采购货物和服务项目不得收取质量保证金。</w:t>
      </w:r>
    </w:p>
    <w:p>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文件规定的，一经查实，由采购监督管理部门给予相应处罚。</w:t>
      </w:r>
    </w:p>
    <w:p>
      <w:pPr>
        <w:shd w:val="clear"/>
        <w:tabs>
          <w:tab w:val="left" w:pos="0"/>
        </w:tabs>
        <w:spacing w:line="360" w:lineRule="auto"/>
        <w:ind w:firstLine="480"/>
        <w:rPr>
          <w:rFonts w:ascii="仿宋" w:hAnsi="仿宋" w:eastAsia="仿宋" w:cs="仿宋"/>
          <w:color w:val="auto"/>
          <w:kern w:val="0"/>
          <w:sz w:val="24"/>
          <w:highlight w:val="none"/>
        </w:rPr>
      </w:pPr>
    </w:p>
    <w:p>
      <w:pPr>
        <w:shd w:val="clea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shd w:val="clea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hd w:val="clear"/>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pPr>
        <w:shd w:val="clea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2"/>
        <w:shd w:val="clear"/>
        <w:spacing w:line="440" w:lineRule="exact"/>
        <w:ind w:firstLine="480" w:firstLineChars="200"/>
        <w:rPr>
          <w:rFonts w:ascii="仿宋" w:hAnsi="仿宋" w:eastAsia="仿宋" w:cs="仿宋"/>
          <w:color w:val="auto"/>
          <w:highlight w:val="none"/>
        </w:rPr>
        <w:sectPr>
          <w:footerReference r:id="rId9" w:type="default"/>
          <w:pgSz w:w="11906" w:h="16838"/>
          <w:pgMar w:top="1474" w:right="1814" w:bottom="1474" w:left="1814" w:header="851" w:footer="992" w:gutter="0"/>
          <w:cols w:space="720" w:num="1"/>
          <w:docGrid w:linePitch="312" w:charSpace="0"/>
        </w:sectPr>
      </w:pPr>
    </w:p>
    <w:bookmarkEnd w:id="19"/>
    <w:bookmarkEnd w:id="20"/>
    <w:p>
      <w:pPr>
        <w:shd w:val="clear"/>
        <w:spacing w:line="360" w:lineRule="auto"/>
        <w:jc w:val="center"/>
        <w:outlineLvl w:val="0"/>
        <w:rPr>
          <w:rFonts w:ascii="仿宋" w:hAnsi="仿宋" w:eastAsia="仿宋" w:cs="仿宋"/>
          <w:b/>
          <w:color w:val="auto"/>
          <w:sz w:val="36"/>
          <w:szCs w:val="36"/>
          <w:highlight w:val="none"/>
        </w:rPr>
      </w:pPr>
      <w:bookmarkStart w:id="38" w:name="第四部分"/>
      <w:r>
        <w:rPr>
          <w:rFonts w:hint="eastAsia" w:ascii="仿宋" w:hAnsi="仿宋" w:eastAsia="仿宋" w:cs="仿宋"/>
          <w:b/>
          <w:color w:val="auto"/>
          <w:sz w:val="36"/>
          <w:szCs w:val="36"/>
          <w:highlight w:val="none"/>
        </w:rPr>
        <w:t>第三部分   招标项目范围及要求</w:t>
      </w:r>
    </w:p>
    <w:bookmarkEnd w:id="38"/>
    <w:p>
      <w:pPr>
        <w:keepNext w:val="0"/>
        <w:keepLines w:val="0"/>
        <w:pageBreakBefore w:val="0"/>
        <w:shd w:val="clear"/>
        <w:kinsoku/>
        <w:wordWrap/>
        <w:overflowPunct/>
        <w:topLinePunct w:val="0"/>
        <w:bidi w:val="0"/>
        <w:adjustRightInd w:val="0"/>
        <w:spacing w:line="420" w:lineRule="exact"/>
        <w:ind w:left="55" w:right="0" w:rightChars="0"/>
        <w:jc w:val="both"/>
        <w:textAlignment w:val="auto"/>
        <w:outlineLvl w:val="6"/>
        <w:rPr>
          <w:rFonts w:hint="eastAsia" w:ascii="仿宋" w:hAnsi="仿宋" w:eastAsia="仿宋" w:cs="仿宋"/>
          <w:b/>
          <w:bCs/>
          <w:color w:val="auto"/>
          <w:spacing w:val="-8"/>
          <w:sz w:val="24"/>
          <w:szCs w:val="24"/>
          <w:highlight w:val="none"/>
          <w:lang w:val="en-US" w:eastAsia="zh-CN"/>
        </w:rPr>
      </w:pPr>
      <w:bookmarkStart w:id="39" w:name="_Toc86217003"/>
      <w:bookmarkStart w:id="40" w:name="第五部分"/>
      <w:r>
        <w:rPr>
          <w:rFonts w:hint="eastAsia" w:ascii="仿宋" w:hAnsi="仿宋" w:eastAsia="仿宋" w:cs="仿宋"/>
          <w:b/>
          <w:bCs/>
          <w:color w:val="auto"/>
          <w:spacing w:val="-8"/>
          <w:sz w:val="28"/>
          <w:szCs w:val="28"/>
          <w:highlight w:val="none"/>
          <w:lang w:val="en-US" w:eastAsia="zh-CN"/>
        </w:rPr>
        <w:t>1.项目概况及技术要求</w:t>
      </w:r>
    </w:p>
    <w:p>
      <w:pPr>
        <w:pStyle w:val="963"/>
        <w:keepNext w:val="0"/>
        <w:keepLines w:val="0"/>
        <w:pageBreakBefore w:val="0"/>
        <w:shd w:val="clear"/>
        <w:kinsoku/>
        <w:wordWrap/>
        <w:overflowPunct/>
        <w:topLinePunct w:val="0"/>
        <w:bidi w:val="0"/>
        <w:adjustRightInd w:val="0"/>
        <w:spacing w:line="420" w:lineRule="exact"/>
        <w:ind w:right="0" w:rightChars="0" w:firstLine="0" w:firstLineChars="0"/>
        <w:textAlignment w:val="auto"/>
        <w:rPr>
          <w:rFonts w:hint="eastAsia" w:ascii="仿宋" w:hAnsi="仿宋" w:eastAsia="仿宋" w:cs="仿宋"/>
          <w:color w:val="auto"/>
          <w:sz w:val="24"/>
          <w:szCs w:val="24"/>
          <w:highlight w:val="none"/>
          <w:lang w:bidi="ar-SA"/>
        </w:rPr>
      </w:pPr>
      <w:r>
        <w:rPr>
          <w:rFonts w:hint="eastAsia" w:ascii="仿宋" w:hAnsi="仿宋" w:eastAsia="仿宋" w:cs="仿宋"/>
          <w:b/>
          <w:bCs/>
          <w:color w:val="auto"/>
          <w:sz w:val="24"/>
          <w:szCs w:val="24"/>
          <w:highlight w:val="none"/>
          <w:lang w:val="en-US" w:eastAsia="zh-CN" w:bidi="ar-SA"/>
        </w:rPr>
        <w:t>1.1</w:t>
      </w:r>
      <w:r>
        <w:rPr>
          <w:rFonts w:hint="eastAsia" w:ascii="仿宋" w:hAnsi="仿宋" w:eastAsia="仿宋" w:cs="仿宋"/>
          <w:b/>
          <w:bCs/>
          <w:color w:val="auto"/>
          <w:sz w:val="24"/>
          <w:szCs w:val="24"/>
          <w:highlight w:val="none"/>
          <w:lang w:val="en-US" w:eastAsia="en-US" w:bidi="ar-SA"/>
        </w:rPr>
        <w:t>招标项目概况</w:t>
      </w:r>
    </w:p>
    <w:p>
      <w:pPr>
        <w:pStyle w:val="7"/>
        <w:keepNext w:val="0"/>
        <w:keepLines w:val="0"/>
        <w:pageBreakBefore w:val="0"/>
        <w:shd w:val="clear"/>
        <w:kinsoku/>
        <w:wordWrap/>
        <w:overflowPunct/>
        <w:topLinePunct w:val="0"/>
        <w:bidi w:val="0"/>
        <w:adjustRightInd w:val="0"/>
        <w:spacing w:line="420" w:lineRule="exact"/>
        <w:ind w:right="0" w:rightChars="0"/>
        <w:textAlignment w:val="auto"/>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绍兴市公共交通集团第一、第二有限公司食堂食材物资配送合同即将到期，为保证餐厅食材物资质量及遵循公平、公正、公开的原则，根据集团公司公共资源交易管理办法，将对第一、第二有限公司食堂食材物资采购进行公开招标。</w:t>
      </w:r>
    </w:p>
    <w:p>
      <w:pPr>
        <w:pStyle w:val="7"/>
        <w:keepNext w:val="0"/>
        <w:keepLines w:val="0"/>
        <w:pageBreakBefore w:val="0"/>
        <w:shd w:val="clear"/>
        <w:kinsoku/>
        <w:wordWrap/>
        <w:overflowPunct/>
        <w:topLinePunct w:val="0"/>
        <w:bidi w:val="0"/>
        <w:adjustRightInd w:val="0"/>
        <w:spacing w:line="420" w:lineRule="exact"/>
        <w:ind w:right="0" w:rightChars="0"/>
        <w:textAlignment w:val="auto"/>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本次采购内容为绍兴市公共交通集团有限公司下属第一、第二有限公司食堂食材物资采购。第一有限公司预算约为543万元/年，合计约1086万元；第二有限公司约为100万元/年，合计约200万元。主要类别为：</w:t>
      </w:r>
    </w:p>
    <w:p>
      <w:pPr>
        <w:pStyle w:val="7"/>
        <w:keepNext w:val="0"/>
        <w:keepLines w:val="0"/>
        <w:pageBreakBefore w:val="0"/>
        <w:shd w:val="clear"/>
        <w:kinsoku/>
        <w:wordWrap/>
        <w:overflowPunct/>
        <w:topLinePunct w:val="0"/>
        <w:bidi w:val="0"/>
        <w:adjustRightInd w:val="0"/>
        <w:spacing w:line="420" w:lineRule="exact"/>
        <w:ind w:right="0" w:rightChars="0"/>
        <w:textAlignment w:val="auto"/>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标项一：绍兴市公共交通集团第一有限公司食堂食材物资采购，主要类别为蔬菜综合类（蔬菜、豆制品、面制品、干货）、鲜活畜类（禽蛋）、肉类、冷冻类、鲜活水产品类、调味品类、大米粮油类、日用品类等。</w:t>
      </w:r>
    </w:p>
    <w:p>
      <w:pPr>
        <w:pStyle w:val="7"/>
        <w:keepNext w:val="0"/>
        <w:keepLines w:val="0"/>
        <w:pageBreakBefore w:val="0"/>
        <w:shd w:val="clear"/>
        <w:kinsoku/>
        <w:wordWrap/>
        <w:overflowPunct/>
        <w:topLinePunct w:val="0"/>
        <w:bidi w:val="0"/>
        <w:adjustRightInd w:val="0"/>
        <w:spacing w:line="420" w:lineRule="exact"/>
        <w:ind w:right="0" w:rightChars="0"/>
        <w:textAlignment w:val="auto"/>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标项二：绍兴市公共交通集团第二有限公司食堂食材物资采购，主要类别为蔬菜综合类（蔬菜、豆制品、面制品、干货）、鲜活畜类（禽蛋）、肉类、冷冻类、鲜活水产品类、调味品类、大米粮油类等。</w:t>
      </w:r>
    </w:p>
    <w:p>
      <w:pPr>
        <w:pStyle w:val="963"/>
        <w:keepNext w:val="0"/>
        <w:keepLines w:val="0"/>
        <w:pageBreakBefore w:val="0"/>
        <w:shd w:val="clear"/>
        <w:kinsoku/>
        <w:wordWrap/>
        <w:overflowPunct/>
        <w:topLinePunct w:val="0"/>
        <w:bidi w:val="0"/>
        <w:adjustRightInd w:val="0"/>
        <w:spacing w:line="420" w:lineRule="exact"/>
        <w:ind w:right="0" w:rightChars="0" w:firstLine="0" w:firstLineChars="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1.2服务期：</w:t>
      </w:r>
      <w:r>
        <w:rPr>
          <w:rFonts w:hint="eastAsia" w:ascii="仿宋" w:hAnsi="仿宋" w:eastAsia="仿宋" w:cs="仿宋"/>
          <w:snapToGrid w:val="0"/>
          <w:color w:val="auto"/>
          <w:kern w:val="28"/>
          <w:sz w:val="24"/>
          <w:szCs w:val="20"/>
          <w:highlight w:val="none"/>
          <w:lang w:val="en-US" w:eastAsia="zh-CN" w:bidi="ar-SA"/>
        </w:rPr>
        <w:t>供货期限为合同签订之日起2年，合同一年一签。</w:t>
      </w:r>
      <w:r>
        <w:rPr>
          <w:rFonts w:hint="eastAsia" w:ascii="仿宋" w:hAnsi="仿宋" w:eastAsia="仿宋" w:cs="仿宋"/>
          <w:color w:val="auto"/>
          <w:sz w:val="24"/>
          <w:highlight w:val="none"/>
          <w:lang w:val="en-US" w:eastAsia="zh-CN" w:bidi="ar-SA"/>
        </w:rPr>
        <w:t>采购人</w:t>
      </w:r>
      <w:r>
        <w:rPr>
          <w:rFonts w:hint="eastAsia" w:ascii="仿宋" w:hAnsi="仿宋" w:eastAsia="仿宋" w:cs="仿宋"/>
          <w:snapToGrid w:val="0"/>
          <w:color w:val="auto"/>
          <w:kern w:val="28"/>
          <w:sz w:val="24"/>
          <w:szCs w:val="20"/>
          <w:highlight w:val="none"/>
          <w:lang w:val="en-US" w:eastAsia="zh-CN" w:bidi="ar-SA"/>
        </w:rPr>
        <w:t>每月对供应商的服务及供货质量进行综合考评，年平均考核达到95分以上续签第二年合同。</w:t>
      </w:r>
    </w:p>
    <w:p>
      <w:pPr>
        <w:pStyle w:val="963"/>
        <w:keepNext w:val="0"/>
        <w:keepLines w:val="0"/>
        <w:pageBreakBefore w:val="0"/>
        <w:shd w:val="clear"/>
        <w:kinsoku/>
        <w:wordWrap/>
        <w:overflowPunct/>
        <w:topLinePunct w:val="0"/>
        <w:bidi w:val="0"/>
        <w:adjustRightInd w:val="0"/>
        <w:spacing w:line="420" w:lineRule="exact"/>
        <w:ind w:right="0" w:rightChars="0" w:firstLine="0" w:firstLineChars="0"/>
        <w:textAlignment w:val="auto"/>
        <w:rPr>
          <w:rFonts w:hint="eastAsia" w:ascii="仿宋" w:hAnsi="仿宋" w:eastAsia="仿宋" w:cs="仿宋"/>
          <w:b/>
          <w:bCs/>
          <w:color w:val="auto"/>
          <w:spacing w:val="-8"/>
          <w:sz w:val="28"/>
          <w:szCs w:val="28"/>
          <w:highlight w:val="none"/>
          <w:lang w:val="en-US" w:eastAsia="zh-CN"/>
        </w:rPr>
      </w:pPr>
      <w:r>
        <w:rPr>
          <w:rFonts w:hint="eastAsia" w:ascii="仿宋" w:hAnsi="仿宋" w:eastAsia="仿宋" w:cs="仿宋"/>
          <w:b/>
          <w:bCs/>
          <w:color w:val="auto"/>
          <w:sz w:val="24"/>
          <w:szCs w:val="24"/>
          <w:highlight w:val="none"/>
          <w:lang w:val="en-US" w:eastAsia="zh-CN" w:bidi="ar-SA"/>
        </w:rPr>
        <w:t>1.3招标项目种类及占比：</w:t>
      </w:r>
    </w:p>
    <w:p>
      <w:pPr>
        <w:pStyle w:val="34"/>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bdr w:val="single" w:color="auto" w:sz="4" w:space="0"/>
          <w:lang w:eastAsia="zh-CN"/>
        </w:rPr>
        <w:t>标项一</w:t>
      </w:r>
      <w:r>
        <w:rPr>
          <w:rFonts w:hint="eastAsia" w:ascii="仿宋" w:hAnsi="仿宋" w:eastAsia="仿宋" w:cs="仿宋"/>
          <w:color w:val="auto"/>
          <w:sz w:val="24"/>
          <w:szCs w:val="24"/>
          <w:highlight w:val="none"/>
        </w:rPr>
        <w:t>：</w:t>
      </w:r>
    </w:p>
    <w:tbl>
      <w:tblPr>
        <w:tblStyle w:val="72"/>
        <w:tblW w:w="92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978"/>
        <w:gridCol w:w="2879"/>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top"/>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978" w:type="dxa"/>
            <w:vAlign w:val="center"/>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采购种类</w:t>
            </w:r>
          </w:p>
        </w:tc>
        <w:tc>
          <w:tcPr>
            <w:tcW w:w="2879" w:type="dxa"/>
            <w:vAlign w:val="top"/>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预计年采购金额（万元）</w:t>
            </w:r>
          </w:p>
        </w:tc>
        <w:tc>
          <w:tcPr>
            <w:tcW w:w="2311" w:type="dxa"/>
            <w:vAlign w:val="top"/>
          </w:tcPr>
          <w:p>
            <w:pPr>
              <w:shd w:val="clear"/>
              <w:spacing w:line="420" w:lineRule="exact"/>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占比权重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056" w:type="dxa"/>
            <w:vAlign w:val="top"/>
          </w:tcPr>
          <w:p>
            <w:pPr>
              <w:shd w:val="clea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978" w:type="dxa"/>
            <w:vAlign w:val="center"/>
          </w:tcPr>
          <w:p>
            <w:pPr>
              <w:pStyle w:val="963"/>
              <w:shd w:val="clear"/>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蔬菜综合类（蔬菜、豆制品、面制品、干货）</w:t>
            </w:r>
          </w:p>
        </w:tc>
        <w:tc>
          <w:tcPr>
            <w:tcW w:w="2879" w:type="dxa"/>
            <w:vAlign w:val="center"/>
          </w:tcPr>
          <w:p>
            <w:pPr>
              <w:shd w:val="clear"/>
              <w:spacing w:line="288"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114.03</w:t>
            </w:r>
          </w:p>
        </w:tc>
        <w:tc>
          <w:tcPr>
            <w:tcW w:w="2311" w:type="dxa"/>
            <w:vAlign w:val="center"/>
          </w:tcPr>
          <w:p>
            <w:pPr>
              <w:shd w:val="clea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056" w:type="dxa"/>
            <w:vAlign w:val="top"/>
          </w:tcPr>
          <w:p>
            <w:pPr>
              <w:shd w:val="clea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978" w:type="dxa"/>
            <w:vAlign w:val="center"/>
          </w:tcPr>
          <w:p>
            <w:pPr>
              <w:pStyle w:val="963"/>
              <w:shd w:val="clear"/>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鲜活畜类（禽蛋）</w:t>
            </w:r>
          </w:p>
        </w:tc>
        <w:tc>
          <w:tcPr>
            <w:tcW w:w="2879" w:type="dxa"/>
            <w:vAlign w:val="center"/>
          </w:tcPr>
          <w:p>
            <w:pPr>
              <w:widowControl/>
              <w:shd w:val="clear"/>
              <w:spacing w:line="255"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27.15</w:t>
            </w:r>
          </w:p>
        </w:tc>
        <w:tc>
          <w:tcPr>
            <w:tcW w:w="2311" w:type="dxa"/>
            <w:vAlign w:val="center"/>
          </w:tcPr>
          <w:p>
            <w:pPr>
              <w:widowControl/>
              <w:shd w:val="clear"/>
              <w:spacing w:line="255"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978" w:type="dxa"/>
            <w:vAlign w:val="center"/>
          </w:tcPr>
          <w:p>
            <w:pPr>
              <w:pStyle w:val="963"/>
              <w:shd w:val="clear"/>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肉类</w:t>
            </w:r>
          </w:p>
        </w:tc>
        <w:tc>
          <w:tcPr>
            <w:tcW w:w="2879" w:type="dxa"/>
            <w:vAlign w:val="center"/>
          </w:tcPr>
          <w:p>
            <w:pPr>
              <w:widowControl/>
              <w:shd w:val="clear"/>
              <w:spacing w:line="255"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141.18</w:t>
            </w:r>
          </w:p>
        </w:tc>
        <w:tc>
          <w:tcPr>
            <w:tcW w:w="2311" w:type="dxa"/>
            <w:vAlign w:val="center"/>
          </w:tcPr>
          <w:p>
            <w:pPr>
              <w:widowControl/>
              <w:shd w:val="clear"/>
              <w:spacing w:line="255"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26</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978" w:type="dxa"/>
            <w:vAlign w:val="center"/>
          </w:tcPr>
          <w:p>
            <w:pPr>
              <w:pStyle w:val="963"/>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冷冻类</w:t>
            </w:r>
          </w:p>
        </w:tc>
        <w:tc>
          <w:tcPr>
            <w:tcW w:w="2879" w:type="dxa"/>
            <w:vAlign w:val="center"/>
          </w:tcPr>
          <w:p>
            <w:pPr>
              <w:widowControl/>
              <w:shd w:val="clear"/>
              <w:spacing w:line="255"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76.02</w:t>
            </w:r>
          </w:p>
        </w:tc>
        <w:tc>
          <w:tcPr>
            <w:tcW w:w="2311" w:type="dxa"/>
            <w:vAlign w:val="center"/>
          </w:tcPr>
          <w:p>
            <w:pPr>
              <w:widowControl/>
              <w:shd w:val="clear"/>
              <w:spacing w:line="255"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2978" w:type="dxa"/>
            <w:vAlign w:val="center"/>
          </w:tcPr>
          <w:p>
            <w:pPr>
              <w:pStyle w:val="963"/>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鲜活水产品</w:t>
            </w:r>
          </w:p>
        </w:tc>
        <w:tc>
          <w:tcPr>
            <w:tcW w:w="2879" w:type="dxa"/>
            <w:vAlign w:val="center"/>
          </w:tcPr>
          <w:p>
            <w:pPr>
              <w:widowControl/>
              <w:shd w:val="clear"/>
              <w:spacing w:line="255"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48.87</w:t>
            </w:r>
          </w:p>
        </w:tc>
        <w:tc>
          <w:tcPr>
            <w:tcW w:w="2311" w:type="dxa"/>
            <w:vAlign w:val="center"/>
          </w:tcPr>
          <w:p>
            <w:pPr>
              <w:widowControl/>
              <w:shd w:val="clear"/>
              <w:spacing w:line="255"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2978" w:type="dxa"/>
            <w:vAlign w:val="center"/>
          </w:tcPr>
          <w:p>
            <w:pPr>
              <w:pStyle w:val="963"/>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调味品类</w:t>
            </w:r>
          </w:p>
        </w:tc>
        <w:tc>
          <w:tcPr>
            <w:tcW w:w="2879" w:type="dxa"/>
            <w:vAlign w:val="center"/>
          </w:tcPr>
          <w:p>
            <w:pPr>
              <w:widowControl/>
              <w:shd w:val="clear"/>
              <w:spacing w:line="255"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10.86</w:t>
            </w:r>
          </w:p>
        </w:tc>
        <w:tc>
          <w:tcPr>
            <w:tcW w:w="2311" w:type="dxa"/>
            <w:vAlign w:val="center"/>
          </w:tcPr>
          <w:p>
            <w:pPr>
              <w:widowControl/>
              <w:shd w:val="clear"/>
              <w:spacing w:line="255"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2978" w:type="dxa"/>
            <w:vAlign w:val="top"/>
          </w:tcPr>
          <w:p>
            <w:pPr>
              <w:shd w:val="clear"/>
              <w:spacing w:line="420" w:lineRule="exact"/>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eastAsia="zh-CN"/>
              </w:rPr>
              <w:t>大米</w:t>
            </w:r>
            <w:r>
              <w:rPr>
                <w:rFonts w:hint="eastAsia" w:ascii="仿宋" w:hAnsi="仿宋" w:eastAsia="仿宋" w:cs="仿宋"/>
                <w:color w:val="auto"/>
                <w:sz w:val="24"/>
                <w:szCs w:val="24"/>
                <w:highlight w:val="none"/>
              </w:rPr>
              <w:t>粮油类</w:t>
            </w:r>
          </w:p>
        </w:tc>
        <w:tc>
          <w:tcPr>
            <w:tcW w:w="2879" w:type="dxa"/>
            <w:vAlign w:val="center"/>
          </w:tcPr>
          <w:p>
            <w:pPr>
              <w:widowControl/>
              <w:shd w:val="clear"/>
              <w:spacing w:line="255"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103.17</w:t>
            </w:r>
          </w:p>
        </w:tc>
        <w:tc>
          <w:tcPr>
            <w:tcW w:w="2311" w:type="dxa"/>
            <w:vAlign w:val="center"/>
          </w:tcPr>
          <w:p>
            <w:pPr>
              <w:widowControl/>
              <w:shd w:val="clear"/>
              <w:spacing w:line="255"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978" w:type="dxa"/>
            <w:vAlign w:val="top"/>
          </w:tcPr>
          <w:p>
            <w:pPr>
              <w:shd w:val="clear"/>
              <w:spacing w:line="42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日用品类</w:t>
            </w:r>
          </w:p>
        </w:tc>
        <w:tc>
          <w:tcPr>
            <w:tcW w:w="2879" w:type="dxa"/>
            <w:vAlign w:val="center"/>
          </w:tcPr>
          <w:p>
            <w:pPr>
              <w:widowControl/>
              <w:shd w:val="clear"/>
              <w:spacing w:line="255"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21.72</w:t>
            </w:r>
          </w:p>
        </w:tc>
        <w:tc>
          <w:tcPr>
            <w:tcW w:w="2311" w:type="dxa"/>
            <w:vAlign w:val="center"/>
          </w:tcPr>
          <w:p>
            <w:pPr>
              <w:widowControl/>
              <w:shd w:val="clear"/>
              <w:spacing w:line="255"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034" w:type="dxa"/>
            <w:gridSpan w:val="2"/>
            <w:vAlign w:val="top"/>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合计（万元</w:t>
            </w:r>
            <w:r>
              <w:rPr>
                <w:rFonts w:hint="eastAsia" w:ascii="仿宋" w:hAnsi="仿宋" w:eastAsia="仿宋" w:cs="仿宋"/>
                <w:b/>
                <w:color w:val="auto"/>
                <w:sz w:val="24"/>
                <w:szCs w:val="24"/>
                <w:highlight w:val="none"/>
                <w:lang w:val="en-US" w:eastAsia="zh-CN"/>
              </w:rPr>
              <w:t>/年</w:t>
            </w:r>
            <w:r>
              <w:rPr>
                <w:rFonts w:hint="eastAsia" w:ascii="仿宋" w:hAnsi="仿宋" w:eastAsia="仿宋" w:cs="仿宋"/>
                <w:b/>
                <w:color w:val="auto"/>
                <w:sz w:val="24"/>
                <w:szCs w:val="24"/>
                <w:highlight w:val="none"/>
              </w:rPr>
              <w:t>）</w:t>
            </w:r>
          </w:p>
        </w:tc>
        <w:tc>
          <w:tcPr>
            <w:tcW w:w="2879" w:type="dxa"/>
            <w:vAlign w:val="center"/>
          </w:tcPr>
          <w:p>
            <w:pPr>
              <w:shd w:val="clear"/>
              <w:spacing w:line="4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543</w:t>
            </w:r>
          </w:p>
        </w:tc>
        <w:tc>
          <w:tcPr>
            <w:tcW w:w="2311" w:type="dxa"/>
            <w:vAlign w:val="center"/>
          </w:tcPr>
          <w:p>
            <w:pPr>
              <w:shd w:val="clear"/>
              <w:spacing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r>
    </w:tbl>
    <w:p>
      <w:pPr>
        <w:pStyle w:val="2"/>
        <w:shd w:val="clear"/>
        <w:rPr>
          <w:rFonts w:hint="eastAsia"/>
          <w:color w:val="auto"/>
          <w:highlight w:val="none"/>
        </w:rPr>
      </w:pPr>
    </w:p>
    <w:p>
      <w:pPr>
        <w:pStyle w:val="34"/>
        <w:shd w:val="clea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bdr w:val="single" w:color="auto" w:sz="4" w:space="0"/>
          <w:lang w:eastAsia="zh-CN"/>
        </w:rPr>
        <w:t>标项二</w:t>
      </w:r>
      <w:r>
        <w:rPr>
          <w:rFonts w:hint="eastAsia" w:ascii="仿宋" w:hAnsi="仿宋" w:eastAsia="仿宋" w:cs="仿宋"/>
          <w:color w:val="auto"/>
          <w:sz w:val="24"/>
          <w:szCs w:val="24"/>
          <w:highlight w:val="none"/>
        </w:rPr>
        <w:t>：</w:t>
      </w:r>
    </w:p>
    <w:tbl>
      <w:tblPr>
        <w:tblStyle w:val="72"/>
        <w:tblW w:w="92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978"/>
        <w:gridCol w:w="2879"/>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top"/>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978" w:type="dxa"/>
            <w:vAlign w:val="center"/>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采购种类</w:t>
            </w:r>
          </w:p>
        </w:tc>
        <w:tc>
          <w:tcPr>
            <w:tcW w:w="2879" w:type="dxa"/>
            <w:vAlign w:val="top"/>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预计年采购金额（万元）</w:t>
            </w:r>
          </w:p>
        </w:tc>
        <w:tc>
          <w:tcPr>
            <w:tcW w:w="2311" w:type="dxa"/>
            <w:vAlign w:val="top"/>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占比权重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056" w:type="dxa"/>
            <w:vAlign w:val="top"/>
          </w:tcPr>
          <w:p>
            <w:pPr>
              <w:shd w:val="clea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978" w:type="dxa"/>
            <w:vAlign w:val="center"/>
          </w:tcPr>
          <w:p>
            <w:pPr>
              <w:pStyle w:val="963"/>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蔬菜综合类(蔬菜、豆制品、面制品、干货)</w:t>
            </w:r>
          </w:p>
        </w:tc>
        <w:tc>
          <w:tcPr>
            <w:tcW w:w="2879" w:type="dxa"/>
            <w:vAlign w:val="center"/>
          </w:tcPr>
          <w:p>
            <w:pPr>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32</w:t>
            </w:r>
          </w:p>
        </w:tc>
        <w:tc>
          <w:tcPr>
            <w:tcW w:w="2311" w:type="dxa"/>
            <w:vAlign w:val="center"/>
          </w:tcPr>
          <w:p>
            <w:pPr>
              <w:keepNext w:val="0"/>
              <w:keepLines w:val="0"/>
              <w:pageBreakBefore w:val="0"/>
              <w:widowControl w:val="0"/>
              <w:shd w:val="clear"/>
              <w:kinsoku/>
              <w:wordWrap/>
              <w:overflowPunct/>
              <w:topLinePunct w:val="0"/>
              <w:autoSpaceDE/>
              <w:autoSpaceDN/>
              <w:bidi w:val="0"/>
              <w:adjustRightInd w:val="0"/>
              <w:snapToGrid/>
              <w:spacing w:line="420" w:lineRule="exact"/>
              <w:ind w:left="0" w:leftChars="0" w:right="0" w:rightChars="0" w:firstLine="0" w:firstLineChars="0"/>
              <w:jc w:val="center"/>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056" w:type="dxa"/>
            <w:vAlign w:val="top"/>
          </w:tcPr>
          <w:p>
            <w:pPr>
              <w:shd w:val="clea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978" w:type="dxa"/>
            <w:vAlign w:val="center"/>
          </w:tcPr>
          <w:p>
            <w:pPr>
              <w:pStyle w:val="963"/>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鲜活畜类（禽蛋）</w:t>
            </w:r>
          </w:p>
        </w:tc>
        <w:tc>
          <w:tcPr>
            <w:tcW w:w="2879" w:type="dxa"/>
            <w:vAlign w:val="center"/>
          </w:tcPr>
          <w:p>
            <w:pPr>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13</w:t>
            </w:r>
          </w:p>
        </w:tc>
        <w:tc>
          <w:tcPr>
            <w:tcW w:w="2311" w:type="dxa"/>
            <w:vAlign w:val="center"/>
          </w:tcPr>
          <w:p>
            <w:pPr>
              <w:shd w:val="clear"/>
              <w:spacing w:line="42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978" w:type="dxa"/>
            <w:vAlign w:val="center"/>
          </w:tcPr>
          <w:p>
            <w:pPr>
              <w:pStyle w:val="963"/>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肉类</w:t>
            </w:r>
          </w:p>
        </w:tc>
        <w:tc>
          <w:tcPr>
            <w:tcW w:w="2879" w:type="dxa"/>
            <w:vAlign w:val="center"/>
          </w:tcPr>
          <w:p>
            <w:pPr>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21</w:t>
            </w:r>
          </w:p>
        </w:tc>
        <w:tc>
          <w:tcPr>
            <w:tcW w:w="2311" w:type="dxa"/>
            <w:vAlign w:val="center"/>
          </w:tcPr>
          <w:p>
            <w:pPr>
              <w:shd w:val="clear"/>
              <w:spacing w:line="42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978" w:type="dxa"/>
            <w:vAlign w:val="center"/>
          </w:tcPr>
          <w:p>
            <w:pPr>
              <w:pStyle w:val="963"/>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冷冻类</w:t>
            </w:r>
          </w:p>
        </w:tc>
        <w:tc>
          <w:tcPr>
            <w:tcW w:w="2879" w:type="dxa"/>
            <w:vAlign w:val="center"/>
          </w:tcPr>
          <w:p>
            <w:pPr>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7</w:t>
            </w:r>
          </w:p>
        </w:tc>
        <w:tc>
          <w:tcPr>
            <w:tcW w:w="2311" w:type="dxa"/>
            <w:vAlign w:val="center"/>
          </w:tcPr>
          <w:p>
            <w:pPr>
              <w:shd w:val="clear"/>
              <w:spacing w:line="42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2978" w:type="dxa"/>
            <w:vAlign w:val="center"/>
          </w:tcPr>
          <w:p>
            <w:pPr>
              <w:pStyle w:val="963"/>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鲜活水产品</w:t>
            </w:r>
          </w:p>
        </w:tc>
        <w:tc>
          <w:tcPr>
            <w:tcW w:w="2879" w:type="dxa"/>
            <w:vAlign w:val="center"/>
          </w:tcPr>
          <w:p>
            <w:pPr>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w:t>
            </w:r>
          </w:p>
        </w:tc>
        <w:tc>
          <w:tcPr>
            <w:tcW w:w="2311" w:type="dxa"/>
            <w:vAlign w:val="center"/>
          </w:tcPr>
          <w:p>
            <w:pPr>
              <w:shd w:val="clear"/>
              <w:spacing w:line="42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2978" w:type="dxa"/>
            <w:vAlign w:val="center"/>
          </w:tcPr>
          <w:p>
            <w:pPr>
              <w:pStyle w:val="963"/>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调味品类</w:t>
            </w:r>
          </w:p>
        </w:tc>
        <w:tc>
          <w:tcPr>
            <w:tcW w:w="2879" w:type="dxa"/>
            <w:vAlign w:val="center"/>
          </w:tcPr>
          <w:p>
            <w:pPr>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w:t>
            </w:r>
          </w:p>
        </w:tc>
        <w:tc>
          <w:tcPr>
            <w:tcW w:w="2311" w:type="dxa"/>
            <w:vAlign w:val="center"/>
          </w:tcPr>
          <w:p>
            <w:pPr>
              <w:shd w:val="clear"/>
              <w:spacing w:line="42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6" w:type="dxa"/>
            <w:vAlign w:val="top"/>
          </w:tcPr>
          <w:p>
            <w:pPr>
              <w:shd w:val="clear"/>
              <w:tabs>
                <w:tab w:val="left" w:pos="525"/>
              </w:tabs>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2978" w:type="dxa"/>
            <w:vAlign w:val="top"/>
          </w:tcPr>
          <w:p>
            <w:pPr>
              <w:shd w:val="clear"/>
              <w:spacing w:line="42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大米</w:t>
            </w:r>
            <w:r>
              <w:rPr>
                <w:rFonts w:hint="eastAsia" w:ascii="仿宋" w:hAnsi="仿宋" w:eastAsia="仿宋" w:cs="仿宋"/>
                <w:color w:val="auto"/>
                <w:sz w:val="24"/>
                <w:szCs w:val="24"/>
                <w:highlight w:val="none"/>
              </w:rPr>
              <w:t>粮油类</w:t>
            </w:r>
          </w:p>
        </w:tc>
        <w:tc>
          <w:tcPr>
            <w:tcW w:w="2879" w:type="dxa"/>
            <w:vAlign w:val="center"/>
          </w:tcPr>
          <w:p>
            <w:pPr>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18</w:t>
            </w:r>
          </w:p>
        </w:tc>
        <w:tc>
          <w:tcPr>
            <w:tcW w:w="2311" w:type="dxa"/>
            <w:vAlign w:val="center"/>
          </w:tcPr>
          <w:p>
            <w:pPr>
              <w:shd w:val="clear"/>
              <w:spacing w:line="42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34" w:type="dxa"/>
            <w:gridSpan w:val="2"/>
            <w:vAlign w:val="top"/>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合计（万元</w:t>
            </w:r>
            <w:r>
              <w:rPr>
                <w:rFonts w:hint="eastAsia" w:ascii="仿宋" w:hAnsi="仿宋" w:eastAsia="仿宋" w:cs="仿宋"/>
                <w:b/>
                <w:color w:val="auto"/>
                <w:sz w:val="24"/>
                <w:szCs w:val="24"/>
                <w:highlight w:val="none"/>
                <w:lang w:val="en-US" w:eastAsia="zh-CN"/>
              </w:rPr>
              <w:t>/年</w:t>
            </w:r>
            <w:r>
              <w:rPr>
                <w:rFonts w:hint="eastAsia" w:ascii="仿宋" w:hAnsi="仿宋" w:eastAsia="仿宋" w:cs="仿宋"/>
                <w:b/>
                <w:color w:val="auto"/>
                <w:sz w:val="24"/>
                <w:szCs w:val="24"/>
                <w:highlight w:val="none"/>
              </w:rPr>
              <w:t>）</w:t>
            </w:r>
          </w:p>
        </w:tc>
        <w:tc>
          <w:tcPr>
            <w:tcW w:w="2879" w:type="dxa"/>
            <w:vAlign w:val="top"/>
          </w:tcPr>
          <w:p>
            <w:pPr>
              <w:shd w:val="clea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0</w:t>
            </w:r>
          </w:p>
        </w:tc>
        <w:tc>
          <w:tcPr>
            <w:tcW w:w="2311" w:type="dxa"/>
            <w:vAlign w:val="top"/>
          </w:tcPr>
          <w:p>
            <w:pPr>
              <w:shd w:val="clea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r>
    </w:tbl>
    <w:p>
      <w:pPr>
        <w:keepNext w:val="0"/>
        <w:keepLines w:val="0"/>
        <w:pageBreakBefore w:val="0"/>
        <w:widowControl w:val="0"/>
        <w:shd w:val="clear"/>
        <w:kinsoku/>
        <w:wordWrap/>
        <w:overflowPunct/>
        <w:topLinePunct w:val="0"/>
        <w:autoSpaceDE/>
        <w:autoSpaceDN/>
        <w:bidi w:val="0"/>
        <w:snapToGrid/>
        <w:spacing w:line="420" w:lineRule="exact"/>
        <w:ind w:left="0" w:leftChars="0" w:right="0" w:rightChars="0" w:firstLine="480" w:firstLineChars="200"/>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备注：上述产品是根据上年采购量预估的金额，以</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实际采购数量为准，允许根据实际需要调整各项目之间的金额。若上级部门有要求需预留资金购买扶贫地区农副产品的，</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有权将部分预算金额用于购买扶贫产品。</w:t>
      </w:r>
    </w:p>
    <w:p>
      <w:pPr>
        <w:keepNext w:val="0"/>
        <w:keepLines w:val="0"/>
        <w:pageBreakBefore w:val="0"/>
        <w:widowControl w:val="0"/>
        <w:shd w:val="clear"/>
        <w:kinsoku/>
        <w:wordWrap/>
        <w:overflowPunct/>
        <w:topLinePunct w:val="0"/>
        <w:autoSpaceDE/>
        <w:autoSpaceDN/>
        <w:bidi w:val="0"/>
        <w:snapToGrid/>
        <w:spacing w:line="420" w:lineRule="exact"/>
        <w:ind w:left="0" w:leftChars="0" w:right="0" w:rightChars="0" w:firstLine="0"/>
        <w:textAlignment w:val="auto"/>
        <w:outlineLvl w:val="9"/>
        <w:rPr>
          <w:rFonts w:hint="eastAsia" w:ascii="仿宋" w:hAnsi="仿宋" w:eastAsia="仿宋" w:cs="仿宋"/>
          <w:b/>
          <w:color w:val="auto"/>
          <w:sz w:val="24"/>
          <w:szCs w:val="24"/>
          <w:highlight w:val="none"/>
          <w:lang w:bidi="ar-SA"/>
        </w:rPr>
      </w:pPr>
      <w:bookmarkStart w:id="41" w:name="_Toc257799727"/>
      <w:bookmarkStart w:id="42" w:name="_Toc258595212"/>
      <w:bookmarkStart w:id="43" w:name="_Toc373222961"/>
      <w:bookmarkStart w:id="44" w:name="_Toc255974604"/>
      <w:bookmarkStart w:id="45" w:name="_Toc373223050"/>
      <w:bookmarkStart w:id="46" w:name="_Toc258594148"/>
      <w:bookmarkStart w:id="47" w:name="_Toc374515869"/>
      <w:r>
        <w:rPr>
          <w:rFonts w:hint="eastAsia" w:ascii="仿宋" w:hAnsi="仿宋" w:eastAsia="仿宋" w:cs="仿宋"/>
          <w:b/>
          <w:color w:val="auto"/>
          <w:sz w:val="24"/>
          <w:szCs w:val="24"/>
          <w:highlight w:val="none"/>
          <w:lang w:val="en-US" w:eastAsia="zh-CN" w:bidi="ar-SA"/>
        </w:rPr>
        <w:t>1.3</w:t>
      </w:r>
      <w:r>
        <w:rPr>
          <w:rFonts w:hint="eastAsia" w:ascii="仿宋" w:hAnsi="仿宋" w:eastAsia="仿宋" w:cs="仿宋"/>
          <w:b/>
          <w:color w:val="auto"/>
          <w:sz w:val="24"/>
          <w:szCs w:val="24"/>
          <w:highlight w:val="none"/>
          <w:lang w:bidi="ar-SA"/>
        </w:rPr>
        <w:t>总体要求</w:t>
      </w:r>
      <w:bookmarkEnd w:id="41"/>
      <w:bookmarkEnd w:id="42"/>
      <w:bookmarkEnd w:id="43"/>
      <w:bookmarkEnd w:id="44"/>
      <w:bookmarkEnd w:id="45"/>
      <w:bookmarkEnd w:id="46"/>
      <w:bookmarkEnd w:id="47"/>
      <w:r>
        <w:rPr>
          <w:rFonts w:hint="eastAsia" w:ascii="仿宋" w:hAnsi="仿宋" w:eastAsia="仿宋" w:cs="仿宋"/>
          <w:b/>
          <w:color w:val="auto"/>
          <w:sz w:val="24"/>
          <w:szCs w:val="24"/>
          <w:highlight w:val="none"/>
          <w:lang w:eastAsia="zh-CN" w:bidi="ar-SA"/>
        </w:rPr>
        <w:t>（适用于标项一、二）</w:t>
      </w:r>
    </w:p>
    <w:p>
      <w:pPr>
        <w:keepNext w:val="0"/>
        <w:keepLines w:val="0"/>
        <w:pageBreakBefore w:val="0"/>
        <w:widowControl w:val="0"/>
        <w:shd w:val="clear"/>
        <w:kinsoku/>
        <w:wordWrap/>
        <w:overflowPunct/>
        <w:topLinePunct w:val="0"/>
        <w:autoSpaceDE/>
        <w:autoSpaceDN/>
        <w:bidi w:val="0"/>
        <w:snapToGrid/>
        <w:spacing w:line="420" w:lineRule="exact"/>
        <w:ind w:left="0" w:leftChars="0" w:right="0" w:rightChars="0" w:firstLine="480" w:firstLineChars="200"/>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1.3.1</w:t>
      </w:r>
      <w:r>
        <w:rPr>
          <w:rFonts w:hint="eastAsia" w:ascii="仿宋" w:hAnsi="仿宋" w:eastAsia="仿宋" w:cs="仿宋"/>
          <w:color w:val="auto"/>
          <w:sz w:val="24"/>
          <w:szCs w:val="24"/>
          <w:highlight w:val="none"/>
          <w:lang w:bidi="ar-SA"/>
        </w:rPr>
        <w:t>所供的货品必须符合《中华人民共和国食品安全法》要求；</w:t>
      </w:r>
    </w:p>
    <w:p>
      <w:pPr>
        <w:keepNext w:val="0"/>
        <w:keepLines w:val="0"/>
        <w:pageBreakBefore w:val="0"/>
        <w:widowControl w:val="0"/>
        <w:shd w:val="clear"/>
        <w:kinsoku/>
        <w:wordWrap/>
        <w:overflowPunct/>
        <w:topLinePunct w:val="0"/>
        <w:autoSpaceDE/>
        <w:autoSpaceDN/>
        <w:bidi w:val="0"/>
        <w:snapToGrid/>
        <w:spacing w:line="420" w:lineRule="exact"/>
        <w:ind w:left="0" w:leftChars="0" w:right="0" w:rightChars="0" w:firstLine="480" w:firstLineChars="200"/>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1.3.2</w:t>
      </w:r>
      <w:r>
        <w:rPr>
          <w:rFonts w:hint="eastAsia" w:ascii="仿宋" w:hAnsi="仿宋" w:eastAsia="仿宋" w:cs="仿宋"/>
          <w:color w:val="auto"/>
          <w:sz w:val="24"/>
          <w:szCs w:val="24"/>
          <w:highlight w:val="none"/>
          <w:lang w:bidi="ar-SA"/>
        </w:rPr>
        <w:t>所供的货品必须符合国家有关标准，保证质量，如不符合</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要求标准，必须承担违约责任；</w:t>
      </w:r>
    </w:p>
    <w:p>
      <w:pPr>
        <w:keepNext w:val="0"/>
        <w:keepLines w:val="0"/>
        <w:pageBreakBefore w:val="0"/>
        <w:widowControl w:val="0"/>
        <w:shd w:val="clear"/>
        <w:kinsoku/>
        <w:wordWrap/>
        <w:overflowPunct/>
        <w:topLinePunct w:val="0"/>
        <w:autoSpaceDE/>
        <w:autoSpaceDN/>
        <w:bidi w:val="0"/>
        <w:snapToGrid/>
        <w:spacing w:line="420" w:lineRule="exact"/>
        <w:ind w:left="0" w:leftChars="0" w:right="0" w:rightChars="0" w:firstLine="480" w:firstLineChars="200"/>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1.3.3</w:t>
      </w:r>
      <w:r>
        <w:rPr>
          <w:rFonts w:hint="eastAsia" w:ascii="仿宋" w:hAnsi="仿宋" w:eastAsia="仿宋" w:cs="仿宋"/>
          <w:color w:val="auto"/>
          <w:sz w:val="24"/>
          <w:szCs w:val="24"/>
          <w:highlight w:val="none"/>
          <w:lang w:bidi="ar-SA"/>
        </w:rPr>
        <w:t>所供的货品必须符合国家行业生产及经营标准，均能提供相应批次的合格检验证明；</w:t>
      </w:r>
    </w:p>
    <w:p>
      <w:pPr>
        <w:keepNext w:val="0"/>
        <w:keepLines w:val="0"/>
        <w:pageBreakBefore w:val="0"/>
        <w:widowControl w:val="0"/>
        <w:shd w:val="clear"/>
        <w:kinsoku/>
        <w:wordWrap/>
        <w:overflowPunct/>
        <w:topLinePunct w:val="0"/>
        <w:autoSpaceDE/>
        <w:autoSpaceDN/>
        <w:bidi w:val="0"/>
        <w:snapToGrid/>
        <w:spacing w:line="420" w:lineRule="exact"/>
        <w:ind w:left="0" w:leftChars="0" w:right="0" w:rightChars="0" w:firstLine="480" w:firstLineChars="200"/>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1.3.4</w:t>
      </w:r>
      <w:r>
        <w:rPr>
          <w:rFonts w:hint="eastAsia" w:ascii="仿宋" w:hAnsi="仿宋" w:eastAsia="仿宋" w:cs="仿宋"/>
          <w:color w:val="auto"/>
          <w:sz w:val="24"/>
          <w:szCs w:val="24"/>
          <w:highlight w:val="none"/>
          <w:lang w:bidi="ar-SA"/>
        </w:rPr>
        <w:t>所供的货品各项技术指标必须完全符合国家有关质量检测、环保标准及产品出厂标准；</w:t>
      </w:r>
    </w:p>
    <w:p>
      <w:pPr>
        <w:keepNext w:val="0"/>
        <w:keepLines w:val="0"/>
        <w:pageBreakBefore w:val="0"/>
        <w:widowControl w:val="0"/>
        <w:shd w:val="clear"/>
        <w:kinsoku/>
        <w:wordWrap/>
        <w:overflowPunct/>
        <w:topLinePunct w:val="0"/>
        <w:autoSpaceDE/>
        <w:autoSpaceDN/>
        <w:bidi w:val="0"/>
        <w:snapToGrid/>
        <w:spacing w:line="420" w:lineRule="exact"/>
        <w:ind w:left="0" w:leftChars="0" w:right="0" w:rightChars="0" w:firstLine="480" w:firstLineChars="200"/>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1.3.5</w:t>
      </w:r>
      <w:bookmarkStart w:id="48" w:name="OLE_LINK4"/>
      <w:r>
        <w:rPr>
          <w:rFonts w:hint="eastAsia" w:ascii="仿宋" w:hAnsi="仿宋" w:eastAsia="仿宋" w:cs="仿宋"/>
          <w:color w:val="auto"/>
          <w:sz w:val="24"/>
          <w:szCs w:val="24"/>
          <w:highlight w:val="none"/>
          <w:lang w:val="en-US" w:eastAsia="zh-CN" w:bidi="ar-SA"/>
        </w:rPr>
        <w:t>供应商</w:t>
      </w:r>
      <w:bookmarkEnd w:id="48"/>
      <w:r>
        <w:rPr>
          <w:rFonts w:hint="eastAsia" w:ascii="仿宋" w:hAnsi="仿宋" w:eastAsia="仿宋" w:cs="仿宋"/>
          <w:color w:val="auto"/>
          <w:sz w:val="24"/>
          <w:szCs w:val="24"/>
          <w:highlight w:val="none"/>
          <w:lang w:val="en-US" w:eastAsia="zh-CN" w:bidi="ar-SA"/>
        </w:rPr>
        <w:t>必须按供应货品的销售额开具正式发票。</w:t>
      </w:r>
    </w:p>
    <w:p>
      <w:pPr>
        <w:keepNext w:val="0"/>
        <w:keepLines w:val="0"/>
        <w:pageBreakBefore w:val="0"/>
        <w:widowControl w:val="0"/>
        <w:shd w:val="clear"/>
        <w:kinsoku/>
        <w:wordWrap/>
        <w:overflowPunct/>
        <w:topLinePunct w:val="0"/>
        <w:autoSpaceDE/>
        <w:autoSpaceDN/>
        <w:bidi w:val="0"/>
        <w:snapToGrid/>
        <w:spacing w:line="420" w:lineRule="exact"/>
        <w:ind w:left="0" w:leftChars="0" w:right="0" w:rightChars="0" w:firstLine="480" w:firstLineChars="200"/>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1.3.6供应商</w:t>
      </w:r>
      <w:r>
        <w:rPr>
          <w:rFonts w:hint="eastAsia" w:ascii="仿宋" w:hAnsi="仿宋" w:eastAsia="仿宋" w:cs="仿宋"/>
          <w:color w:val="auto"/>
          <w:sz w:val="24"/>
          <w:szCs w:val="24"/>
          <w:highlight w:val="none"/>
          <w:lang w:bidi="ar-SA"/>
        </w:rPr>
        <w:t>必须承担因质量问题引起的一切法律责任。</w:t>
      </w:r>
    </w:p>
    <w:p>
      <w:pPr>
        <w:keepNext w:val="0"/>
        <w:keepLines w:val="0"/>
        <w:pageBreakBefore w:val="0"/>
        <w:widowControl w:val="0"/>
        <w:shd w:val="clear"/>
        <w:kinsoku/>
        <w:wordWrap/>
        <w:overflowPunct/>
        <w:topLinePunct w:val="0"/>
        <w:autoSpaceDE/>
        <w:autoSpaceDN/>
        <w:bidi w:val="0"/>
        <w:snapToGrid/>
        <w:spacing w:line="420" w:lineRule="exact"/>
        <w:ind w:left="0" w:leftChars="0" w:right="0" w:rightChars="0" w:firstLine="0"/>
        <w:textAlignment w:val="auto"/>
        <w:outlineLvl w:val="9"/>
        <w:rPr>
          <w:rFonts w:hint="eastAsia" w:ascii="仿宋" w:hAnsi="仿宋" w:eastAsia="仿宋" w:cs="仿宋"/>
          <w:b/>
          <w:color w:val="auto"/>
          <w:sz w:val="24"/>
          <w:szCs w:val="24"/>
          <w:highlight w:val="none"/>
          <w:lang w:bidi="ar-SA"/>
        </w:rPr>
      </w:pPr>
      <w:r>
        <w:rPr>
          <w:rFonts w:hint="eastAsia" w:ascii="仿宋" w:hAnsi="仿宋" w:eastAsia="仿宋" w:cs="仿宋"/>
          <w:b/>
          <w:color w:val="auto"/>
          <w:sz w:val="24"/>
          <w:szCs w:val="24"/>
          <w:highlight w:val="none"/>
          <w:lang w:val="en-US" w:eastAsia="zh-CN" w:bidi="ar-SA"/>
        </w:rPr>
        <w:t>1.4</w:t>
      </w:r>
      <w:r>
        <w:rPr>
          <w:rFonts w:hint="eastAsia" w:ascii="仿宋" w:hAnsi="仿宋" w:eastAsia="仿宋" w:cs="仿宋"/>
          <w:b/>
          <w:color w:val="auto"/>
          <w:sz w:val="24"/>
          <w:szCs w:val="24"/>
          <w:highlight w:val="none"/>
          <w:lang w:bidi="ar-SA"/>
        </w:rPr>
        <w:t>各类物资的具体要求</w:t>
      </w:r>
      <w:r>
        <w:rPr>
          <w:rFonts w:hint="eastAsia" w:ascii="仿宋" w:hAnsi="仿宋" w:eastAsia="仿宋" w:cs="仿宋"/>
          <w:b/>
          <w:color w:val="auto"/>
          <w:sz w:val="24"/>
          <w:szCs w:val="24"/>
          <w:highlight w:val="none"/>
          <w:lang w:eastAsia="zh-CN" w:bidi="ar-SA"/>
        </w:rPr>
        <w:t>（适用于标项一、二）</w:t>
      </w:r>
    </w:p>
    <w:p>
      <w:pPr>
        <w:pStyle w:val="968"/>
        <w:keepNext w:val="0"/>
        <w:keepLines w:val="0"/>
        <w:pageBreakBefore w:val="0"/>
        <w:widowControl/>
        <w:shd w:val="clear"/>
        <w:kinsoku/>
        <w:wordWrap/>
        <w:overflowPunct/>
        <w:topLinePunct w:val="0"/>
        <w:autoSpaceDE/>
        <w:autoSpaceDN/>
        <w:bidi w:val="0"/>
        <w:snapToGrid/>
        <w:spacing w:after="0" w:line="420" w:lineRule="exact"/>
        <w:ind w:left="0" w:leftChars="0" w:right="0" w:rightChars="0" w:firstLine="482" w:firstLineChars="200"/>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b/>
          <w:bCs/>
          <w:color w:val="auto"/>
          <w:sz w:val="24"/>
          <w:szCs w:val="24"/>
          <w:highlight w:val="none"/>
          <w:lang w:val="en-US" w:eastAsia="zh-CN" w:bidi="ar-SA"/>
        </w:rPr>
        <w:t>1.4.1</w:t>
      </w:r>
      <w:r>
        <w:rPr>
          <w:rFonts w:hint="eastAsia" w:ascii="仿宋" w:hAnsi="仿宋" w:eastAsia="仿宋" w:cs="仿宋"/>
          <w:b/>
          <w:bCs/>
          <w:color w:val="auto"/>
          <w:sz w:val="24"/>
          <w:szCs w:val="24"/>
          <w:highlight w:val="none"/>
          <w:lang w:bidi="ar-SA"/>
        </w:rPr>
        <w:t>各类食品的具体要求</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1.4.1.1大米必须具有SC食品生产许可证，一次缝包；必须是当年或当期新米。具有新鲜米的特有香气，无异味，不含黄色陈化米，达到优质大米质量指标；提供该批次产品检验合格报告。</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1.4.1.2</w:t>
      </w:r>
      <w:r>
        <w:rPr>
          <w:rFonts w:hint="eastAsia" w:ascii="仿宋" w:hAnsi="仿宋" w:eastAsia="仿宋" w:cs="仿宋"/>
          <w:color w:val="auto"/>
          <w:sz w:val="24"/>
          <w:szCs w:val="24"/>
          <w:highlight w:val="none"/>
          <w:lang w:bidi="ar-SA"/>
        </w:rPr>
        <w:t>面粉必须符合GB/T1355-2021标准，达到优质小麦粉国家标准。产品在常温下交货时剩余保质期应不低于3个月。</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1.4.1.3</w:t>
      </w:r>
      <w:r>
        <w:rPr>
          <w:rFonts w:hint="eastAsia" w:ascii="仿宋" w:hAnsi="仿宋" w:eastAsia="仿宋" w:cs="仿宋"/>
          <w:color w:val="auto"/>
          <w:sz w:val="24"/>
          <w:szCs w:val="24"/>
          <w:highlight w:val="none"/>
          <w:lang w:bidi="ar-SA"/>
        </w:rPr>
        <w:t>食用油、调味品</w:t>
      </w:r>
      <w:r>
        <w:rPr>
          <w:rFonts w:hint="eastAsia" w:ascii="仿宋" w:hAnsi="仿宋" w:eastAsia="仿宋" w:cs="仿宋"/>
          <w:color w:val="auto"/>
          <w:sz w:val="24"/>
          <w:szCs w:val="24"/>
          <w:highlight w:val="none"/>
          <w:lang w:eastAsia="zh-CN" w:bidi="ar-SA"/>
        </w:rPr>
        <w:t>、副食品等</w:t>
      </w:r>
      <w:r>
        <w:rPr>
          <w:rFonts w:hint="eastAsia" w:ascii="仿宋" w:hAnsi="仿宋" w:eastAsia="仿宋" w:cs="仿宋"/>
          <w:color w:val="auto"/>
          <w:sz w:val="24"/>
          <w:szCs w:val="24"/>
          <w:highlight w:val="none"/>
          <w:lang w:bidi="ar-SA"/>
        </w:rPr>
        <w:t>必须具有监督部门提供的检测报告，有生产日期、保质期、净重等标识。干货产品必须是由正规厂家生产的名牌信得过产品。产品在常温下交货时的剩余保质期应不低于3个月。</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1.4.1.4</w:t>
      </w:r>
      <w:r>
        <w:rPr>
          <w:rFonts w:hint="eastAsia" w:ascii="仿宋" w:hAnsi="仿宋" w:eastAsia="仿宋" w:cs="仿宋"/>
          <w:color w:val="auto"/>
          <w:sz w:val="24"/>
          <w:szCs w:val="24"/>
          <w:highlight w:val="none"/>
          <w:lang w:bidi="ar-SA"/>
        </w:rPr>
        <w:t>生活用品等所有食堂食材用品质量必须达到合格，符合国家相关标准。</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1.4.1.5</w:t>
      </w:r>
      <w:r>
        <w:rPr>
          <w:rFonts w:hint="eastAsia" w:ascii="仿宋" w:hAnsi="仿宋" w:eastAsia="仿宋" w:cs="仿宋"/>
          <w:color w:val="auto"/>
          <w:sz w:val="24"/>
          <w:szCs w:val="24"/>
          <w:highlight w:val="none"/>
          <w:lang w:bidi="ar-SA"/>
        </w:rPr>
        <w:t>蔬菜必须保证是24小时内收成，且保持较好色泽及新鲜度，应以无公害基地蔬菜为主配菜，每批提供常规检测报告。禽蛋质量及其标识应符合国家标准，并提供相关的有效证件。</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1.4.1.6</w:t>
      </w:r>
      <w:r>
        <w:rPr>
          <w:rFonts w:hint="eastAsia" w:ascii="仿宋" w:hAnsi="仿宋" w:eastAsia="仿宋" w:cs="仿宋"/>
          <w:color w:val="auto"/>
          <w:sz w:val="24"/>
          <w:szCs w:val="24"/>
          <w:highlight w:val="none"/>
          <w:lang w:bidi="ar-SA"/>
        </w:rPr>
        <w:t>冻冷食品、豆制品必须为知名厂家生产的品牌，具有监督部门提供的检测报告，有生产日期、保质期、净重等标识。不得配送超过距保质期届满期1/2日期的冻冷食品。</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1.4.1.7</w:t>
      </w:r>
      <w:r>
        <w:rPr>
          <w:rFonts w:hint="eastAsia" w:ascii="仿宋" w:hAnsi="仿宋" w:eastAsia="仿宋" w:cs="仿宋"/>
          <w:color w:val="auto"/>
          <w:sz w:val="24"/>
          <w:szCs w:val="24"/>
          <w:highlight w:val="none"/>
          <w:lang w:bidi="ar-SA"/>
        </w:rPr>
        <w:t>鲜肉必须是保证经过肉检（卫生部门检疫）的当日屠宰的新鲜肉。猪肉和家禽产品必须新鲜，观感好，来源大型无公害养殖基地或稳定的供肉基地，经动物检疫和定点屠宰，符合国家肉类食品质量安全标准。</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1.4.1.8</w:t>
      </w:r>
      <w:r>
        <w:rPr>
          <w:rFonts w:hint="eastAsia" w:ascii="仿宋" w:hAnsi="仿宋" w:eastAsia="仿宋" w:cs="仿宋"/>
          <w:color w:val="auto"/>
          <w:sz w:val="24"/>
          <w:szCs w:val="24"/>
          <w:highlight w:val="none"/>
          <w:lang w:bidi="ar-SA"/>
        </w:rPr>
        <w:t>禽蛋、水产品等鲜活农产品必须保证新鲜且符合《食品安全法》。</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1.4.1.9</w:t>
      </w:r>
      <w:r>
        <w:rPr>
          <w:rFonts w:hint="eastAsia" w:ascii="仿宋" w:hAnsi="仿宋" w:eastAsia="仿宋" w:cs="仿宋"/>
          <w:color w:val="auto"/>
          <w:sz w:val="24"/>
          <w:szCs w:val="24"/>
          <w:highlight w:val="none"/>
          <w:lang w:bidi="ar-SA"/>
        </w:rPr>
        <w:t>运输须使用符合国家卫生标准的专用运载工具，运输冷鲜（冻）肉应当使用具有保温措施的车辆，车辆必须要保持清洁、卫生，使用前后要清洗消毒。</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1.4.1.10</w:t>
      </w:r>
      <w:r>
        <w:rPr>
          <w:rFonts w:hint="eastAsia" w:ascii="仿宋" w:hAnsi="仿宋" w:eastAsia="仿宋" w:cs="仿宋"/>
          <w:color w:val="auto"/>
          <w:sz w:val="24"/>
          <w:szCs w:val="24"/>
          <w:highlight w:val="none"/>
          <w:lang w:bidi="ar-SA"/>
        </w:rPr>
        <w:t>质量标准根据国家有关标准执行。</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color w:val="auto"/>
          <w:sz w:val="24"/>
          <w:szCs w:val="24"/>
          <w:highlight w:val="none"/>
          <w:lang w:bidi="ar-SA"/>
        </w:rPr>
        <w:t>对所供应的商品质量负责，如</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对商品质量有异议的，有权要求退货或更换。供应的食品类商品的保质期要在届满期的前二分之一以上。</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1.4.1.11部分品牌及规格要求</w:t>
      </w:r>
    </w:p>
    <w:p>
      <w:pPr>
        <w:shd w:val="clear"/>
        <w:spacing w:line="520" w:lineRule="exact"/>
        <w:jc w:val="center"/>
        <w:rPr>
          <w:rStyle w:val="63"/>
          <w:rFonts w:hint="eastAsia" w:ascii="仿宋" w:hAnsi="仿宋" w:eastAsia="仿宋" w:cs="仿宋"/>
          <w:color w:val="auto"/>
          <w:sz w:val="24"/>
          <w:szCs w:val="24"/>
          <w:highlight w:val="none"/>
          <w:lang w:val="en-US" w:eastAsia="zh-CN" w:bidi="ar-SA"/>
        </w:rPr>
      </w:pPr>
      <w:r>
        <w:rPr>
          <w:rStyle w:val="63"/>
          <w:rFonts w:hint="eastAsia" w:ascii="仿宋" w:hAnsi="仿宋" w:eastAsia="仿宋" w:cs="仿宋"/>
          <w:color w:val="auto"/>
          <w:sz w:val="24"/>
          <w:szCs w:val="24"/>
          <w:highlight w:val="none"/>
          <w:lang w:bidi="ar-SA"/>
        </w:rPr>
        <w:t>绍兴市</w:t>
      </w:r>
      <w:r>
        <w:rPr>
          <w:rStyle w:val="63"/>
          <w:rFonts w:hint="eastAsia" w:ascii="仿宋" w:hAnsi="仿宋" w:eastAsia="仿宋" w:cs="仿宋"/>
          <w:color w:val="auto"/>
          <w:sz w:val="24"/>
          <w:szCs w:val="24"/>
          <w:highlight w:val="none"/>
          <w:lang w:val="en-US" w:eastAsia="zh-CN" w:bidi="ar-SA"/>
        </w:rPr>
        <w:t>公共交通</w:t>
      </w:r>
      <w:r>
        <w:rPr>
          <w:rStyle w:val="63"/>
          <w:rFonts w:hint="eastAsia" w:ascii="仿宋" w:hAnsi="仿宋" w:eastAsia="仿宋" w:cs="仿宋"/>
          <w:color w:val="auto"/>
          <w:sz w:val="24"/>
          <w:szCs w:val="24"/>
          <w:highlight w:val="none"/>
          <w:lang w:bidi="ar-SA"/>
        </w:rPr>
        <w:t>集团有限公司</w:t>
      </w:r>
      <w:r>
        <w:rPr>
          <w:rStyle w:val="63"/>
          <w:rFonts w:hint="eastAsia" w:ascii="仿宋" w:hAnsi="仿宋" w:eastAsia="仿宋" w:cs="仿宋"/>
          <w:color w:val="auto"/>
          <w:sz w:val="24"/>
          <w:szCs w:val="24"/>
          <w:highlight w:val="none"/>
          <w:lang w:val="en-US" w:eastAsia="zh-CN" w:bidi="ar-SA"/>
        </w:rPr>
        <w:t>食堂食材物资（大米粮油类及日用品类）采购清单</w:t>
      </w:r>
    </w:p>
    <w:tbl>
      <w:tblPr>
        <w:tblStyle w:val="72"/>
        <w:tblW w:w="977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94"/>
        <w:gridCol w:w="1748"/>
        <w:gridCol w:w="3585"/>
        <w:gridCol w:w="202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25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品类</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参考品牌（产地）</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规格</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参考基准价</w:t>
            </w:r>
          </w:p>
          <w:p>
            <w:pPr>
              <w:pStyle w:val="798"/>
              <w:shd w:val="clear"/>
              <w:ind w:left="0" w:leftChars="0" w:firstLine="0" w:firstLineChars="0"/>
              <w:rPr>
                <w:rFonts w:hint="eastAsia" w:eastAsia="宋体"/>
                <w:color w:val="auto"/>
                <w:highlight w:val="none"/>
                <w:lang w:eastAsia="zh-CN"/>
              </w:rPr>
            </w:pPr>
            <w:r>
              <w:rPr>
                <w:rFonts w:hint="eastAsia" w:ascii="仿宋" w:hAnsi="仿宋" w:eastAsia="仿宋" w:cs="仿宋"/>
                <w:i w:val="0"/>
                <w:color w:val="auto"/>
                <w:kern w:val="0"/>
                <w:sz w:val="24"/>
                <w:szCs w:val="24"/>
                <w:highlight w:val="none"/>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1" w:hRule="atLeast"/>
          <w:jc w:val="center"/>
        </w:trPr>
        <w:tc>
          <w:tcPr>
            <w:tcW w:w="79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大</w:t>
            </w:r>
          </w:p>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米</w:t>
            </w:r>
          </w:p>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粮</w:t>
            </w:r>
          </w:p>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油</w:t>
            </w:r>
          </w:p>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类</w:t>
            </w: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精炼一级大豆油</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金龙鱼、福临门、五湖</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5L/壶</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一级粳米</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苏北、苏南、东北</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25KG/袋</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小麦粉</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五得利、金龙鱼、香满园</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5KG/袋</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馒头用小麦粉</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五得利、金龙鱼、香满园</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25KG/袋</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1" w:hRule="atLeast"/>
          <w:jc w:val="center"/>
        </w:trPr>
        <w:tc>
          <w:tcPr>
            <w:tcW w:w="79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p>
          <w:p>
            <w:pPr>
              <w:pStyle w:val="798"/>
              <w:shd w:val="clear"/>
              <w:rPr>
                <w:rFonts w:hint="eastAsia" w:ascii="仿宋" w:hAnsi="仿宋" w:eastAsia="仿宋" w:cs="仿宋"/>
                <w:i w:val="0"/>
                <w:color w:val="auto"/>
                <w:kern w:val="0"/>
                <w:sz w:val="24"/>
                <w:szCs w:val="24"/>
                <w:highlight w:val="none"/>
                <w:u w:val="none"/>
                <w:lang w:val="en-US" w:eastAsia="zh-CN" w:bidi="ar"/>
              </w:rPr>
            </w:pPr>
          </w:p>
          <w:p>
            <w:pPr>
              <w:pStyle w:val="798"/>
              <w:shd w:val="clear"/>
              <w:rPr>
                <w:rFonts w:hint="eastAsia" w:ascii="仿宋" w:hAnsi="仿宋" w:eastAsia="仿宋" w:cs="仿宋"/>
                <w:i w:val="0"/>
                <w:color w:val="auto"/>
                <w:kern w:val="0"/>
                <w:sz w:val="24"/>
                <w:szCs w:val="24"/>
                <w:highlight w:val="none"/>
                <w:u w:val="none"/>
                <w:lang w:val="en-US" w:eastAsia="zh-CN" w:bidi="ar"/>
              </w:rPr>
            </w:pPr>
          </w:p>
          <w:p>
            <w:pPr>
              <w:pStyle w:val="798"/>
              <w:shd w:val="clear"/>
              <w:rPr>
                <w:rFonts w:hint="eastAsia" w:ascii="仿宋" w:hAnsi="仿宋" w:eastAsia="仿宋" w:cs="仿宋"/>
                <w:i w:val="0"/>
                <w:color w:val="auto"/>
                <w:kern w:val="0"/>
                <w:sz w:val="24"/>
                <w:szCs w:val="24"/>
                <w:highlight w:val="none"/>
                <w:u w:val="none"/>
                <w:lang w:val="en-US" w:eastAsia="zh-CN" w:bidi="ar"/>
              </w:rPr>
            </w:pPr>
          </w:p>
          <w:p>
            <w:pPr>
              <w:pStyle w:val="798"/>
              <w:shd w:val="clear"/>
              <w:rPr>
                <w:rFonts w:hint="eastAsia" w:ascii="仿宋" w:hAnsi="仿宋" w:eastAsia="仿宋" w:cs="仿宋"/>
                <w:i w:val="0"/>
                <w:color w:val="auto"/>
                <w:kern w:val="0"/>
                <w:sz w:val="24"/>
                <w:szCs w:val="24"/>
                <w:highlight w:val="none"/>
                <w:u w:val="none"/>
                <w:lang w:val="en-US" w:eastAsia="zh-CN" w:bidi="ar"/>
              </w:rPr>
            </w:pPr>
          </w:p>
          <w:p>
            <w:pPr>
              <w:pStyle w:val="798"/>
              <w:shd w:val="clear"/>
              <w:rPr>
                <w:rFonts w:hint="eastAsia" w:ascii="仿宋" w:hAnsi="仿宋" w:eastAsia="仿宋" w:cs="仿宋"/>
                <w:i w:val="0"/>
                <w:color w:val="auto"/>
                <w:kern w:val="0"/>
                <w:sz w:val="24"/>
                <w:szCs w:val="24"/>
                <w:highlight w:val="none"/>
                <w:u w:val="none"/>
                <w:lang w:val="en-US" w:eastAsia="zh-CN" w:bidi="ar"/>
              </w:rPr>
            </w:pPr>
          </w:p>
          <w:p>
            <w:pPr>
              <w:pStyle w:val="798"/>
              <w:shd w:val="clear"/>
              <w:rPr>
                <w:rFonts w:hint="eastAsia" w:ascii="仿宋" w:hAnsi="仿宋" w:eastAsia="仿宋" w:cs="仿宋"/>
                <w:i w:val="0"/>
                <w:color w:val="auto"/>
                <w:kern w:val="0"/>
                <w:sz w:val="24"/>
                <w:szCs w:val="24"/>
                <w:highlight w:val="none"/>
                <w:u w:val="none"/>
                <w:lang w:val="en-US" w:eastAsia="zh-CN" w:bidi="ar"/>
              </w:rPr>
            </w:pPr>
          </w:p>
          <w:p>
            <w:pPr>
              <w:pStyle w:val="798"/>
              <w:shd w:val="clear"/>
              <w:rPr>
                <w:rFonts w:hint="eastAsia" w:ascii="仿宋" w:hAnsi="仿宋" w:eastAsia="仿宋" w:cs="仿宋"/>
                <w:i w:val="0"/>
                <w:color w:val="auto"/>
                <w:kern w:val="0"/>
                <w:sz w:val="24"/>
                <w:szCs w:val="24"/>
                <w:highlight w:val="none"/>
                <w:u w:val="none"/>
                <w:lang w:val="en-US" w:eastAsia="zh-CN" w:bidi="ar"/>
              </w:rPr>
            </w:pPr>
          </w:p>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日</w:t>
            </w:r>
          </w:p>
          <w:p>
            <w:pPr>
              <w:pStyle w:val="798"/>
              <w:shd w:val="clear"/>
              <w:rPr>
                <w:rFonts w:hint="eastAsia" w:ascii="仿宋" w:hAnsi="仿宋" w:eastAsia="仿宋" w:cs="仿宋"/>
                <w:color w:val="auto"/>
                <w:sz w:val="24"/>
                <w:szCs w:val="24"/>
                <w:highlight w:val="none"/>
                <w:lang w:val="en-US" w:eastAsia="zh-CN"/>
              </w:rPr>
            </w:pPr>
          </w:p>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用</w:t>
            </w:r>
          </w:p>
          <w:p>
            <w:pPr>
              <w:pStyle w:val="798"/>
              <w:shd w:val="clear"/>
              <w:rPr>
                <w:rFonts w:hint="eastAsia" w:ascii="仿宋" w:hAnsi="仿宋" w:eastAsia="仿宋" w:cs="仿宋"/>
                <w:color w:val="auto"/>
                <w:sz w:val="24"/>
                <w:szCs w:val="24"/>
                <w:highlight w:val="none"/>
                <w:lang w:val="en-US" w:eastAsia="zh-CN"/>
              </w:rPr>
            </w:pPr>
          </w:p>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品</w:t>
            </w:r>
          </w:p>
          <w:p>
            <w:pPr>
              <w:pStyle w:val="798"/>
              <w:shd w:val="clear"/>
              <w:rPr>
                <w:rFonts w:hint="eastAsia" w:ascii="仿宋" w:hAnsi="仿宋" w:eastAsia="仿宋" w:cs="仿宋"/>
                <w:color w:val="auto"/>
                <w:sz w:val="24"/>
                <w:szCs w:val="24"/>
                <w:highlight w:val="none"/>
                <w:lang w:val="en-US" w:eastAsia="zh-CN"/>
              </w:rPr>
            </w:pPr>
          </w:p>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类</w:t>
            </w: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洗涤剂</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百釉净蓝、泰华施、螺丝钉</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20L/桶</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催干剂</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百釉净蓝、泰华施、螺丝钉</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20L/桶</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洗洁精</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传化、雕牌、立白</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4KG/壶</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洗碗巾</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妙洁、洁成、佑家</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3条/包</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钢丝球</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妙洁、洁成、佑家</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6只/包</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大保鲜膜</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妙洁、洁百林、美丽雅</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50cm*300m/卷</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5"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PE保鲜膜</w:t>
            </w:r>
          </w:p>
        </w:tc>
        <w:tc>
          <w:tcPr>
            <w:tcW w:w="3585"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妙洁、洁成、佑家</w:t>
            </w:r>
          </w:p>
        </w:tc>
        <w:tc>
          <w:tcPr>
            <w:tcW w:w="2025" w:type="dxa"/>
            <w:tcBorders>
              <w:top w:val="single" w:color="auto" w:sz="4" w:space="0"/>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30cm*100m/卷</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耐用性乳胶手套</w:t>
            </w:r>
          </w:p>
        </w:tc>
        <w:tc>
          <w:tcPr>
            <w:tcW w:w="35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好清、妙洁、绿色密码</w:t>
            </w: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45cm/双</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食品包装袋</w:t>
            </w:r>
          </w:p>
        </w:tc>
        <w:tc>
          <w:tcPr>
            <w:tcW w:w="3585"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40cm/只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vMerge w:val="continue"/>
            <w:tcBorders>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p>
        </w:tc>
        <w:tc>
          <w:tcPr>
            <w:tcW w:w="3585" w:type="dxa"/>
            <w:vMerge w:val="continue"/>
            <w:tcBorders>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26cm/只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p>
        </w:tc>
        <w:tc>
          <w:tcPr>
            <w:tcW w:w="3585"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20cm/只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铁锅</w:t>
            </w:r>
          </w:p>
        </w:tc>
        <w:tc>
          <w:tcPr>
            <w:tcW w:w="3585"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60cm/个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default"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铁锅</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eastAsia" w:ascii="仿宋" w:hAnsi="仿宋" w:eastAsia="仿宋" w:cs="仿宋"/>
                <w:i w:val="0"/>
                <w:color w:val="auto"/>
                <w:kern w:val="2"/>
                <w:sz w:val="24"/>
                <w:szCs w:val="24"/>
                <w:highlight w:val="none"/>
                <w:u w:val="none"/>
                <w:lang w:val="en-US" w:eastAsia="zh-CN" w:bidi="ar-SA"/>
              </w:rPr>
            </w:pP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55cm/个</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default"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炒锅</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eastAsia" w:ascii="仿宋" w:hAnsi="仿宋" w:eastAsia="仿宋" w:cs="仿宋"/>
                <w:i w:val="0"/>
                <w:color w:val="auto"/>
                <w:kern w:val="2"/>
                <w:sz w:val="24"/>
                <w:szCs w:val="24"/>
                <w:highlight w:val="none"/>
                <w:u w:val="none"/>
                <w:lang w:val="en-US" w:eastAsia="zh-CN" w:bidi="ar-SA"/>
              </w:rPr>
            </w:pP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38cm/个</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default"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菜刀</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eastAsia" w:ascii="仿宋" w:hAnsi="仿宋" w:eastAsia="仿宋" w:cs="仿宋"/>
                <w:i w:val="0"/>
                <w:color w:val="auto"/>
                <w:kern w:val="2"/>
                <w:sz w:val="24"/>
                <w:szCs w:val="24"/>
                <w:highlight w:val="none"/>
                <w:u w:val="none"/>
                <w:lang w:val="en-US" w:eastAsia="zh-CN" w:bidi="ar-SA"/>
              </w:rPr>
            </w:pP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25cm/把</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剪刀</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eastAsia" w:ascii="仿宋" w:hAnsi="仿宋" w:eastAsia="仿宋" w:cs="仿宋"/>
                <w:i w:val="0"/>
                <w:color w:val="auto"/>
                <w:kern w:val="2"/>
                <w:sz w:val="24"/>
                <w:szCs w:val="24"/>
                <w:highlight w:val="none"/>
                <w:u w:val="none"/>
                <w:lang w:val="en-US" w:eastAsia="zh-CN" w:bidi="ar-SA"/>
              </w:rPr>
            </w:pP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15cm/把</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铁木砧板</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eastAsia" w:ascii="仿宋" w:hAnsi="仿宋" w:eastAsia="仿宋" w:cs="仿宋"/>
                <w:i w:val="0"/>
                <w:color w:val="auto"/>
                <w:kern w:val="2"/>
                <w:sz w:val="24"/>
                <w:szCs w:val="24"/>
                <w:highlight w:val="none"/>
                <w:u w:val="none"/>
                <w:lang w:val="en-US" w:eastAsia="zh-CN" w:bidi="ar-SA"/>
              </w:rPr>
            </w:pP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45cm*6cm/块</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铁木砧板</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eastAsia" w:ascii="仿宋" w:hAnsi="仿宋" w:eastAsia="仿宋" w:cs="仿宋"/>
                <w:i w:val="0"/>
                <w:color w:val="auto"/>
                <w:kern w:val="2"/>
                <w:sz w:val="24"/>
                <w:szCs w:val="24"/>
                <w:highlight w:val="none"/>
                <w:u w:val="none"/>
                <w:lang w:val="en-US" w:eastAsia="zh-CN" w:bidi="ar-SA"/>
              </w:rPr>
            </w:pP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39cm*6cm/块</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铁木砧板</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eastAsia" w:ascii="仿宋" w:hAnsi="仿宋" w:eastAsia="仿宋" w:cs="仿宋"/>
                <w:i w:val="0"/>
                <w:color w:val="auto"/>
                <w:kern w:val="2"/>
                <w:sz w:val="24"/>
                <w:szCs w:val="24"/>
                <w:highlight w:val="none"/>
                <w:u w:val="none"/>
                <w:lang w:val="en-US" w:eastAsia="zh-CN" w:bidi="ar-SA"/>
              </w:rPr>
            </w:pP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36cm*6cm/块</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塑料菜板PE</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eastAsia" w:ascii="仿宋" w:hAnsi="仿宋" w:eastAsia="仿宋" w:cs="仿宋"/>
                <w:i w:val="0"/>
                <w:color w:val="auto"/>
                <w:kern w:val="2"/>
                <w:sz w:val="24"/>
                <w:szCs w:val="24"/>
                <w:highlight w:val="none"/>
                <w:u w:val="none"/>
                <w:lang w:val="en-US" w:eastAsia="zh-CN" w:bidi="ar-SA"/>
              </w:rPr>
            </w:pPr>
          </w:p>
        </w:tc>
        <w:tc>
          <w:tcPr>
            <w:tcW w:w="20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58cm*38cm*2cm/块</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color w:val="auto"/>
                <w:kern w:val="2"/>
                <w:sz w:val="24"/>
                <w:szCs w:val="24"/>
                <w:highlight w:val="none"/>
                <w:u w:val="none"/>
                <w:lang w:val="en-US" w:eastAsia="zh-CN" w:bidi="ar-SA"/>
              </w:rPr>
            </w:pPr>
            <w:r>
              <w:rPr>
                <w:rFonts w:hint="eastAsia" w:ascii="仿宋" w:hAnsi="仿宋" w:eastAsia="仿宋" w:cs="仿宋"/>
                <w:i w:val="0"/>
                <w:color w:val="auto"/>
                <w:kern w:val="0"/>
                <w:sz w:val="24"/>
                <w:szCs w:val="24"/>
                <w:highlight w:val="none"/>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一次性打包盒</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500只/捆</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一次性筷子</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500双/包</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合金筷子</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24cm/双</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加厚快餐盒（四格）</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600只/箱</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不锈钢食品留样盒</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10cm/只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沥水篮</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32cm*24cm/只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边滤网筛</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16cm/只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擀面杖</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30cm/根</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硅胶托盘垫</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40cm*60cm/张</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680一次性碗</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1000只/箱</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608一次性碗盖</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1000只/箱</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密胺大面碗</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8寸/只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密胺饭碗</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密胺饭勺</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把</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不锈钢大汤勺</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把</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jc w:val="center"/>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17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不锈钢马勺</w:t>
            </w:r>
          </w:p>
        </w:tc>
        <w:tc>
          <w:tcPr>
            <w:tcW w:w="358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0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容量1斤/只</w:t>
            </w:r>
          </w:p>
        </w:tc>
        <w:tc>
          <w:tcPr>
            <w:tcW w:w="16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default"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20</w:t>
            </w:r>
          </w:p>
        </w:tc>
      </w:tr>
    </w:tbl>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注：1.投标单位报价时，如上表有标明参考基准价，则须根据参考基准价报下浮率。2.清单内涉及的产品参考基准价合同期内不做调整。</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2" w:firstLineChars="200"/>
        <w:contextualSpacing/>
        <w:textAlignment w:val="auto"/>
        <w:outlineLvl w:val="9"/>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val="en-US" w:eastAsia="zh-CN" w:bidi="ar-SA"/>
        </w:rPr>
        <w:t>1.4.2</w:t>
      </w:r>
      <w:r>
        <w:rPr>
          <w:rFonts w:hint="eastAsia" w:ascii="仿宋" w:hAnsi="仿宋" w:eastAsia="仿宋" w:cs="仿宋"/>
          <w:b/>
          <w:bCs/>
          <w:color w:val="auto"/>
          <w:sz w:val="24"/>
          <w:szCs w:val="24"/>
          <w:highlight w:val="none"/>
          <w:lang w:bidi="ar-SA"/>
        </w:rPr>
        <w:t>配送服务要求</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1.4.2.1</w:t>
      </w:r>
      <w:r>
        <w:rPr>
          <w:rFonts w:hint="eastAsia" w:ascii="仿宋" w:hAnsi="仿宋" w:eastAsia="仿宋" w:cs="仿宋"/>
          <w:color w:val="auto"/>
          <w:sz w:val="24"/>
          <w:szCs w:val="24"/>
          <w:highlight w:val="none"/>
          <w:lang w:bidi="ar-SA"/>
        </w:rPr>
        <w:t>根据投标文件制订的质量保证措施及相关服务的承诺，如因所供物资质量安全、服务质量未达到目标，应承担相应责任和经济赔偿。</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1.4.2.2</w:t>
      </w:r>
      <w:r>
        <w:rPr>
          <w:rFonts w:hint="eastAsia" w:ascii="仿宋" w:hAnsi="仿宋" w:eastAsia="仿宋" w:cs="仿宋"/>
          <w:color w:val="auto"/>
          <w:sz w:val="24"/>
          <w:szCs w:val="24"/>
          <w:highlight w:val="none"/>
          <w:lang w:bidi="ar-SA"/>
        </w:rPr>
        <w:t>能提供配送物品的检测报告或食品检验合格证，必须符合《质量法》《商标法》以及国家有关法律法规的要求，严禁提供假冒伪劣、“三无”商品，不得提供临近保质期的商品，配送的商品必须提供相关的国家计量标准及合格证书、卫生防疫站的检测报告等符合《质量法》要求的资料。提供的食品类货物，均必须符合食品安全、食品包装标准。</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1.4.2.3</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在每天</w:t>
      </w:r>
      <w:r>
        <w:rPr>
          <w:rFonts w:hint="eastAsia" w:ascii="仿宋" w:hAnsi="仿宋" w:eastAsia="仿宋" w:cs="仿宋"/>
          <w:color w:val="auto"/>
          <w:sz w:val="24"/>
          <w:szCs w:val="24"/>
          <w:highlight w:val="none"/>
          <w:lang w:val="en-US" w:eastAsia="zh-CN" w:bidi="ar-SA"/>
        </w:rPr>
        <w:t>16</w:t>
      </w:r>
      <w:r>
        <w:rPr>
          <w:rFonts w:hint="eastAsia" w:ascii="仿宋" w:hAnsi="仿宋" w:eastAsia="仿宋" w:cs="仿宋"/>
          <w:color w:val="auto"/>
          <w:sz w:val="24"/>
          <w:szCs w:val="24"/>
          <w:highlight w:val="none"/>
          <w:lang w:bidi="ar-SA"/>
        </w:rPr>
        <w:t>时前将第二天</w:t>
      </w:r>
      <w:r>
        <w:rPr>
          <w:rFonts w:hint="eastAsia" w:ascii="仿宋" w:hAnsi="仿宋" w:eastAsia="仿宋" w:cs="仿宋"/>
          <w:color w:val="auto"/>
          <w:sz w:val="24"/>
          <w:szCs w:val="24"/>
          <w:highlight w:val="none"/>
          <w:lang w:val="en-US" w:eastAsia="zh-CN" w:bidi="ar-SA"/>
        </w:rPr>
        <w:t>食堂物资</w:t>
      </w:r>
      <w:r>
        <w:rPr>
          <w:rFonts w:hint="eastAsia" w:ascii="仿宋" w:hAnsi="仿宋" w:eastAsia="仿宋" w:cs="仿宋"/>
          <w:color w:val="auto"/>
          <w:sz w:val="24"/>
          <w:szCs w:val="24"/>
          <w:highlight w:val="none"/>
          <w:lang w:bidi="ar-SA"/>
        </w:rPr>
        <w:t>的订单</w:t>
      </w:r>
      <w:r>
        <w:rPr>
          <w:rFonts w:hint="eastAsia" w:ascii="仿宋" w:hAnsi="仿宋" w:eastAsia="仿宋" w:cs="仿宋"/>
          <w:color w:val="auto"/>
          <w:sz w:val="24"/>
          <w:szCs w:val="24"/>
          <w:highlight w:val="none"/>
          <w:lang w:val="en-US" w:eastAsia="zh-CN" w:bidi="ar-SA"/>
        </w:rPr>
        <w:t>提交至</w:t>
      </w:r>
      <w:r>
        <w:rPr>
          <w:rFonts w:hint="eastAsia" w:ascii="仿宋" w:hAnsi="仿宋" w:eastAsia="仿宋" w:cs="仿宋"/>
          <w:color w:val="auto"/>
          <w:sz w:val="24"/>
          <w:szCs w:val="24"/>
          <w:highlight w:val="none"/>
          <w:lang w:bidi="ar-SA"/>
        </w:rPr>
        <w:t>供应商，配送时间以</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电话通知为准，通知内容包括名称、种类、规格、数量、运送时间、送达地点、订单联系人等具体要求</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bidi="ar-SA"/>
        </w:rPr>
        <w:t>备好货并送至</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指定地点。</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1.4.2.4</w:t>
      </w:r>
      <w:r>
        <w:rPr>
          <w:rFonts w:hint="eastAsia" w:ascii="仿宋" w:hAnsi="仿宋" w:eastAsia="仿宋" w:cs="仿宋"/>
          <w:color w:val="auto"/>
          <w:sz w:val="24"/>
          <w:szCs w:val="24"/>
          <w:highlight w:val="none"/>
          <w:lang w:bidi="ar-SA"/>
        </w:rPr>
        <w:t>能自觉遵守</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的相关规章制度，服从</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管理。</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1.4.2.5供应商配送人员</w:t>
      </w:r>
      <w:bookmarkStart w:id="49" w:name="OLE_LINK12"/>
      <w:r>
        <w:rPr>
          <w:rFonts w:hint="eastAsia" w:ascii="仿宋" w:hAnsi="仿宋" w:eastAsia="仿宋" w:cs="仿宋"/>
          <w:color w:val="auto"/>
          <w:sz w:val="24"/>
          <w:szCs w:val="24"/>
          <w:highlight w:val="none"/>
          <w:lang w:val="en-US" w:eastAsia="zh-CN" w:bidi="ar-SA"/>
        </w:rPr>
        <w:t>、驾驶员</w:t>
      </w:r>
      <w:bookmarkEnd w:id="49"/>
      <w:r>
        <w:rPr>
          <w:rFonts w:hint="eastAsia" w:ascii="仿宋" w:hAnsi="仿宋" w:eastAsia="仿宋" w:cs="仿宋"/>
          <w:color w:val="auto"/>
          <w:sz w:val="24"/>
          <w:szCs w:val="24"/>
          <w:highlight w:val="none"/>
          <w:lang w:val="en-US" w:eastAsia="zh-CN" w:bidi="ar-SA"/>
        </w:rPr>
        <w:t>应长期固定</w:t>
      </w:r>
      <w:bookmarkStart w:id="50" w:name="OLE_LINK11"/>
      <w:r>
        <w:rPr>
          <w:rFonts w:hint="eastAsia" w:ascii="仿宋" w:hAnsi="仿宋" w:eastAsia="仿宋" w:cs="仿宋"/>
          <w:color w:val="auto"/>
          <w:sz w:val="24"/>
          <w:szCs w:val="24"/>
          <w:highlight w:val="none"/>
          <w:lang w:val="en-US" w:eastAsia="zh-CN" w:bidi="ar-SA"/>
        </w:rPr>
        <w:t>，并至少各3人以上，</w:t>
      </w:r>
      <w:bookmarkEnd w:id="50"/>
      <w:r>
        <w:rPr>
          <w:rFonts w:hint="eastAsia" w:ascii="仿宋" w:hAnsi="仿宋" w:eastAsia="仿宋" w:cs="仿宋"/>
          <w:color w:val="auto"/>
          <w:sz w:val="24"/>
          <w:szCs w:val="24"/>
          <w:highlight w:val="none"/>
          <w:lang w:val="en-US" w:eastAsia="zh-CN" w:bidi="ar-SA"/>
        </w:rPr>
        <w:t>相关资格证、健康证齐全有效，劳动用工符合相关规范要求。须向</w:t>
      </w:r>
      <w:r>
        <w:rPr>
          <w:rFonts w:hint="eastAsia" w:ascii="仿宋" w:hAnsi="仿宋" w:eastAsia="仿宋" w:cs="仿宋"/>
          <w:color w:val="auto"/>
          <w:kern w:val="2"/>
          <w:sz w:val="24"/>
          <w:szCs w:val="24"/>
          <w:highlight w:val="none"/>
          <w:lang w:val="en-US" w:eastAsia="zh-CN" w:bidi="ar-SA"/>
        </w:rPr>
        <w:t>采购人</w:t>
      </w:r>
      <w:r>
        <w:rPr>
          <w:rFonts w:hint="eastAsia" w:ascii="仿宋" w:hAnsi="仿宋" w:eastAsia="仿宋" w:cs="仿宋"/>
          <w:color w:val="auto"/>
          <w:sz w:val="24"/>
          <w:szCs w:val="24"/>
          <w:highlight w:val="none"/>
          <w:lang w:val="en-US" w:eastAsia="zh-CN" w:bidi="ar-SA"/>
        </w:rPr>
        <w:t>预留配送人员、驾驶员联系方式等信息，如需临时非固定人员配送，需提前征得</w:t>
      </w:r>
      <w:r>
        <w:rPr>
          <w:rFonts w:hint="eastAsia" w:ascii="仿宋" w:hAnsi="仿宋" w:eastAsia="仿宋" w:cs="仿宋"/>
          <w:color w:val="auto"/>
          <w:kern w:val="2"/>
          <w:sz w:val="24"/>
          <w:szCs w:val="24"/>
          <w:highlight w:val="none"/>
          <w:lang w:val="en-US" w:eastAsia="zh-CN" w:bidi="ar-SA"/>
        </w:rPr>
        <w:t>采购人</w:t>
      </w:r>
      <w:r>
        <w:rPr>
          <w:rFonts w:hint="eastAsia" w:ascii="仿宋" w:hAnsi="仿宋" w:eastAsia="仿宋" w:cs="仿宋"/>
          <w:color w:val="auto"/>
          <w:sz w:val="24"/>
          <w:szCs w:val="24"/>
          <w:highlight w:val="none"/>
          <w:lang w:val="en-US" w:eastAsia="zh-CN" w:bidi="ar-SA"/>
        </w:rPr>
        <w:t>同意。</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1.4.2.6供应商应对配送过程中的车辆和人员安全负责，如在配送过程中发生人员、货物和车辆安全事故，由供应商承担一切责任。</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1.4.2.7配送过程中涉及的运输、装卸设施和设备均由供应商解决和提供。其中，配送车辆（例如：冷藏车、保温车等）须符合相关法律法规要求。运输车辆和各类配送设施、设备必须卫生整洁，严格杜绝二次污染情况发生。</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bookmarkStart w:id="51" w:name="OLE_LINK16"/>
      <w:r>
        <w:rPr>
          <w:rFonts w:hint="eastAsia" w:ascii="仿宋" w:hAnsi="仿宋" w:eastAsia="仿宋" w:cs="仿宋"/>
          <w:color w:val="auto"/>
          <w:sz w:val="24"/>
          <w:szCs w:val="24"/>
          <w:highlight w:val="none"/>
          <w:lang w:val="en-US" w:eastAsia="zh-CN" w:bidi="ar-SA"/>
        </w:rPr>
        <w:t>1.4.2.8</w:t>
      </w:r>
      <w:bookmarkEnd w:id="51"/>
      <w:r>
        <w:rPr>
          <w:rFonts w:hint="eastAsia" w:ascii="仿宋" w:hAnsi="仿宋" w:eastAsia="仿宋" w:cs="仿宋"/>
          <w:color w:val="auto"/>
          <w:sz w:val="24"/>
          <w:szCs w:val="24"/>
          <w:highlight w:val="none"/>
          <w:lang w:bidi="ar-SA"/>
        </w:rPr>
        <w:t xml:space="preserve">应严格遵守《食品卫生法》和《动物检疫法》等相关规定，一经发现供应以下食品，除全部退货外，将取消供应商的供货资格，没收部分或全部履约保证金，供应商并承担由此造成的经济责任和法律责任： </w:t>
      </w:r>
    </w:p>
    <w:p>
      <w:pPr>
        <w:pStyle w:val="968"/>
        <w:keepNext w:val="0"/>
        <w:keepLines w:val="0"/>
        <w:pageBreakBefore w:val="0"/>
        <w:widowControl/>
        <w:numPr>
          <w:ilvl w:val="0"/>
          <w:numId w:val="1"/>
        </w:numPr>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腐败变质、油脂酸败、霉变、生虫、污秽不洁、混有异物或者其他感官性状异常，对人体健康有害的。</w:t>
      </w:r>
    </w:p>
    <w:p>
      <w:pPr>
        <w:pStyle w:val="968"/>
        <w:keepNext w:val="0"/>
        <w:keepLines w:val="0"/>
        <w:pageBreakBefore w:val="0"/>
        <w:widowControl/>
        <w:numPr>
          <w:ilvl w:val="0"/>
          <w:numId w:val="1"/>
        </w:numPr>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bidi="ar-SA"/>
        </w:rPr>
        <w:t>无品名、产地、厂名、生产日期、保质期及中文标识及原料说明的定型包装食品。</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3</w:t>
      </w:r>
      <w:r>
        <w:rPr>
          <w:rFonts w:hint="eastAsia" w:ascii="仿宋" w:hAnsi="仿宋" w:eastAsia="仿宋" w:cs="仿宋"/>
          <w:color w:val="auto"/>
          <w:sz w:val="24"/>
          <w:szCs w:val="24"/>
          <w:highlight w:val="none"/>
          <w:lang w:bidi="ar-SA"/>
        </w:rPr>
        <w:t xml:space="preserve">）含有毒、有害物质或者被有害物质污染，对人体健康有害的。 </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4</w:t>
      </w:r>
      <w:r>
        <w:rPr>
          <w:rFonts w:hint="eastAsia" w:ascii="仿宋" w:hAnsi="仿宋" w:eastAsia="仿宋" w:cs="仿宋"/>
          <w:color w:val="auto"/>
          <w:sz w:val="24"/>
          <w:szCs w:val="24"/>
          <w:highlight w:val="none"/>
          <w:lang w:bidi="ar-SA"/>
        </w:rPr>
        <w:t>）含有致病性寄生虫、微生物或者微生物含量超过国家限定标准的。</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5</w:t>
      </w:r>
      <w:r>
        <w:rPr>
          <w:rFonts w:hint="eastAsia" w:ascii="仿宋" w:hAnsi="仿宋" w:eastAsia="仿宋" w:cs="仿宋"/>
          <w:color w:val="auto"/>
          <w:sz w:val="24"/>
          <w:szCs w:val="24"/>
          <w:highlight w:val="none"/>
          <w:lang w:bidi="ar-SA"/>
        </w:rPr>
        <w:t xml:space="preserve">）未经动物检疫部门检疫、检验或者检疫、检验不合格的肉类及其制品。 </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6</w:t>
      </w:r>
      <w:r>
        <w:rPr>
          <w:rFonts w:hint="eastAsia" w:ascii="仿宋" w:hAnsi="仿宋" w:eastAsia="仿宋" w:cs="仿宋"/>
          <w:color w:val="auto"/>
          <w:sz w:val="24"/>
          <w:szCs w:val="24"/>
          <w:highlight w:val="none"/>
          <w:lang w:bidi="ar-SA"/>
        </w:rPr>
        <w:t xml:space="preserve">）病死、毒死或者死因不明的禽、畜、兽、水产动物等及其制品。 </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7</w:t>
      </w:r>
      <w:r>
        <w:rPr>
          <w:rFonts w:hint="eastAsia" w:ascii="仿宋" w:hAnsi="仿宋" w:eastAsia="仿宋" w:cs="仿宋"/>
          <w:color w:val="auto"/>
          <w:sz w:val="24"/>
          <w:szCs w:val="24"/>
          <w:highlight w:val="none"/>
          <w:lang w:bidi="ar-SA"/>
        </w:rPr>
        <w:t xml:space="preserve">）掺假、掺杂、伪造，影响营养、卫生的。 </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8</w:t>
      </w:r>
      <w:r>
        <w:rPr>
          <w:rFonts w:hint="eastAsia" w:ascii="仿宋" w:hAnsi="仿宋" w:eastAsia="仿宋" w:cs="仿宋"/>
          <w:color w:val="auto"/>
          <w:sz w:val="24"/>
          <w:szCs w:val="24"/>
          <w:highlight w:val="none"/>
          <w:lang w:bidi="ar-SA"/>
        </w:rPr>
        <w:t>）用非食品原料加工的，加入非食品用化学物质或者将非食品当作食品的。</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9</w:t>
      </w:r>
      <w:r>
        <w:rPr>
          <w:rFonts w:hint="eastAsia" w:ascii="仿宋" w:hAnsi="仿宋" w:eastAsia="仿宋" w:cs="仿宋"/>
          <w:color w:val="auto"/>
          <w:sz w:val="24"/>
          <w:szCs w:val="24"/>
          <w:highlight w:val="none"/>
          <w:lang w:bidi="ar-SA"/>
        </w:rPr>
        <w:t>）超过保质期限的。</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val="en-US" w:eastAsia="zh-CN" w:bidi="ar-SA"/>
        </w:rPr>
        <w:t>10）</w:t>
      </w:r>
      <w:r>
        <w:rPr>
          <w:rFonts w:hint="eastAsia" w:ascii="仿宋" w:hAnsi="仿宋" w:eastAsia="仿宋" w:cs="仿宋"/>
          <w:color w:val="auto"/>
          <w:sz w:val="24"/>
          <w:szCs w:val="24"/>
          <w:highlight w:val="none"/>
          <w:lang w:bidi="ar-SA"/>
        </w:rPr>
        <w:t>临近保质期的物品（</w:t>
      </w:r>
      <w:r>
        <w:rPr>
          <w:rFonts w:hint="eastAsia" w:ascii="仿宋" w:hAnsi="仿宋" w:eastAsia="仿宋" w:cs="仿宋"/>
          <w:color w:val="auto"/>
          <w:sz w:val="24"/>
          <w:szCs w:val="24"/>
          <w:highlight w:val="none"/>
          <w:lang w:val="en-US" w:eastAsia="zh-CN" w:bidi="ar-SA"/>
        </w:rPr>
        <w:t>按招标文件规定的质保期以内</w:t>
      </w:r>
      <w:r>
        <w:rPr>
          <w:rFonts w:hint="eastAsia" w:ascii="仿宋" w:hAnsi="仿宋" w:eastAsia="仿宋" w:cs="仿宋"/>
          <w:color w:val="auto"/>
          <w:sz w:val="24"/>
          <w:szCs w:val="24"/>
          <w:highlight w:val="none"/>
          <w:lang w:eastAsia="zh-CN" w:bidi="ar-SA"/>
        </w:rPr>
        <w:t>）。</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val="en-US" w:eastAsia="zh-CN" w:bidi="ar-SA"/>
        </w:rPr>
        <w:t>11）</w:t>
      </w:r>
      <w:r>
        <w:rPr>
          <w:rFonts w:hint="eastAsia" w:ascii="仿宋" w:hAnsi="仿宋" w:eastAsia="仿宋" w:cs="仿宋"/>
          <w:color w:val="auto"/>
          <w:sz w:val="24"/>
          <w:szCs w:val="24"/>
          <w:highlight w:val="none"/>
          <w:lang w:bidi="ar-SA"/>
        </w:rPr>
        <w:t>其他不符合食品卫生标准和要求的食品</w:t>
      </w:r>
      <w:r>
        <w:rPr>
          <w:rFonts w:hint="eastAsia" w:ascii="仿宋" w:hAnsi="仿宋" w:eastAsia="仿宋" w:cs="仿宋"/>
          <w:color w:val="auto"/>
          <w:sz w:val="24"/>
          <w:szCs w:val="24"/>
          <w:highlight w:val="none"/>
          <w:lang w:eastAsia="zh-CN" w:bidi="ar-SA"/>
        </w:rPr>
        <w:t>。</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12）</w:t>
      </w:r>
      <w:r>
        <w:rPr>
          <w:rFonts w:hint="eastAsia" w:ascii="仿宋" w:hAnsi="仿宋" w:eastAsia="仿宋" w:cs="仿宋"/>
          <w:color w:val="auto"/>
          <w:sz w:val="24"/>
          <w:szCs w:val="24"/>
          <w:highlight w:val="none"/>
          <w:lang w:bidi="ar-SA"/>
        </w:rPr>
        <w:t>其他违反法律法规的。</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2" w:firstLineChars="200"/>
        <w:contextualSpacing/>
        <w:textAlignment w:val="auto"/>
        <w:outlineLvl w:val="9"/>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val="en-US" w:eastAsia="zh-CN" w:bidi="ar-SA"/>
        </w:rPr>
        <w:t>1.4.3</w:t>
      </w:r>
      <w:r>
        <w:rPr>
          <w:rFonts w:hint="eastAsia" w:ascii="仿宋" w:hAnsi="仿宋" w:eastAsia="仿宋" w:cs="仿宋"/>
          <w:b/>
          <w:bCs/>
          <w:color w:val="auto"/>
          <w:sz w:val="24"/>
          <w:szCs w:val="24"/>
          <w:highlight w:val="none"/>
          <w:lang w:bidi="ar-SA"/>
        </w:rPr>
        <w:t>安全要求</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1.4.3.1</w:t>
      </w:r>
      <w:r>
        <w:rPr>
          <w:rFonts w:hint="eastAsia" w:ascii="仿宋" w:hAnsi="仿宋" w:eastAsia="仿宋" w:cs="仿宋"/>
          <w:color w:val="auto"/>
          <w:sz w:val="24"/>
          <w:szCs w:val="24"/>
          <w:highlight w:val="none"/>
          <w:lang w:bidi="ar-SA"/>
        </w:rPr>
        <w:t>若因</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color w:val="auto"/>
          <w:sz w:val="24"/>
          <w:szCs w:val="24"/>
          <w:highlight w:val="none"/>
          <w:lang w:bidi="ar-SA"/>
        </w:rPr>
        <w:t>原因，造成</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公共性食品安全问题的，</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color w:val="auto"/>
          <w:sz w:val="24"/>
          <w:szCs w:val="24"/>
          <w:highlight w:val="none"/>
          <w:lang w:bidi="ar-SA"/>
        </w:rPr>
        <w:t>应负全部责任，并承担由此造成的经济损失，造成严重后果的，直至追究刑事责任。</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1.4.3.2供应商在</w:t>
      </w:r>
      <w:r>
        <w:rPr>
          <w:rFonts w:hint="eastAsia" w:ascii="仿宋" w:hAnsi="仿宋" w:eastAsia="仿宋" w:cs="仿宋"/>
          <w:color w:val="auto"/>
          <w:sz w:val="24"/>
          <w:szCs w:val="24"/>
          <w:highlight w:val="none"/>
          <w:lang w:bidi="ar-SA"/>
        </w:rPr>
        <w:t>送货出入的过程中，必须无条件遵守</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的安全规定，服从工作人员指挥。</w:t>
      </w:r>
      <w:r>
        <w:rPr>
          <w:rFonts w:hint="eastAsia" w:ascii="仿宋" w:hAnsi="仿宋" w:eastAsia="仿宋" w:cs="仿宋"/>
          <w:color w:val="auto"/>
          <w:sz w:val="24"/>
          <w:szCs w:val="24"/>
          <w:highlight w:val="none"/>
          <w:lang w:eastAsia="zh-CN" w:bidi="ar-SA"/>
        </w:rPr>
        <w:t>如不遵守，则送货出入过程中发生的任何安全事故及其造成的损失全部由供应商独立承担负责。</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1.4.3.3供应商</w:t>
      </w:r>
      <w:r>
        <w:rPr>
          <w:rFonts w:hint="eastAsia" w:ascii="仿宋" w:hAnsi="仿宋" w:eastAsia="仿宋" w:cs="仿宋"/>
          <w:color w:val="auto"/>
          <w:sz w:val="24"/>
          <w:szCs w:val="24"/>
          <w:highlight w:val="none"/>
          <w:lang w:bidi="ar-SA"/>
        </w:rPr>
        <w:t>在供货期间，因产品质量问题必须负责退换，问题严重的将终止供货，由此造成的损失由</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color w:val="auto"/>
          <w:sz w:val="24"/>
          <w:szCs w:val="24"/>
          <w:highlight w:val="none"/>
          <w:lang w:bidi="ar-SA"/>
        </w:rPr>
        <w:t>承担责任。</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1.4.3.4</w:t>
      </w:r>
      <w:r>
        <w:rPr>
          <w:rFonts w:hint="eastAsia" w:ascii="仿宋" w:hAnsi="仿宋" w:eastAsia="仿宋" w:cs="仿宋"/>
          <w:color w:val="auto"/>
          <w:sz w:val="24"/>
          <w:szCs w:val="24"/>
          <w:highlight w:val="none"/>
          <w:lang w:bidi="ar-SA"/>
        </w:rPr>
        <w:t>不论以何种形式供货，</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color w:val="auto"/>
          <w:sz w:val="24"/>
          <w:szCs w:val="24"/>
          <w:highlight w:val="none"/>
          <w:lang w:bidi="ar-SA"/>
        </w:rPr>
        <w:t>都必须按照投标文件中的服务承诺履行相关义务。</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1.4.3.5供应商</w:t>
      </w:r>
      <w:r>
        <w:rPr>
          <w:rFonts w:hint="eastAsia" w:ascii="仿宋" w:hAnsi="仿宋" w:eastAsia="仿宋" w:cs="仿宋"/>
          <w:color w:val="auto"/>
          <w:sz w:val="24"/>
          <w:szCs w:val="24"/>
          <w:highlight w:val="none"/>
          <w:lang w:bidi="ar-SA"/>
        </w:rPr>
        <w:t>经营期间的税金、工商管理、卫生、防疫等费用由</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color w:val="auto"/>
          <w:sz w:val="24"/>
          <w:szCs w:val="24"/>
          <w:highlight w:val="none"/>
          <w:lang w:bidi="ar-SA"/>
        </w:rPr>
        <w:t>承担并承担与之有关的一切法律责任。</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right="0" w:rightChars="0" w:firstLine="480" w:firstLineChars="200"/>
        <w:contextualSpacing/>
        <w:textAlignment w:val="auto"/>
        <w:outlineLvl w:val="9"/>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1.4.3.6供应商</w:t>
      </w:r>
      <w:r>
        <w:rPr>
          <w:rFonts w:hint="eastAsia" w:ascii="仿宋" w:hAnsi="仿宋" w:eastAsia="仿宋" w:cs="仿宋"/>
          <w:color w:val="auto"/>
          <w:sz w:val="24"/>
          <w:szCs w:val="24"/>
          <w:highlight w:val="none"/>
          <w:lang w:bidi="ar-SA"/>
        </w:rPr>
        <w:t>必须接受</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的管理与监督检查，为</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的管理与监督检查提供便利条件，对</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的整改措施必须予以服从。必须遵守</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szCs w:val="24"/>
          <w:highlight w:val="none"/>
          <w:lang w:bidi="ar-SA"/>
        </w:rPr>
        <w:t>各项监管规定，违反规定产生后果的应承担相应的责任。</w:t>
      </w:r>
    </w:p>
    <w:p>
      <w:pPr>
        <w:keepNext w:val="0"/>
        <w:keepLines w:val="0"/>
        <w:pageBreakBefore w:val="0"/>
        <w:widowControl/>
        <w:shd w:val="clear"/>
        <w:tabs>
          <w:tab w:val="left" w:pos="851"/>
        </w:tabs>
        <w:kinsoku/>
        <w:wordWrap/>
        <w:overflowPunct/>
        <w:topLinePunct w:val="0"/>
        <w:autoSpaceDE/>
        <w:autoSpaceDN/>
        <w:bidi w:val="0"/>
        <w:snapToGrid/>
        <w:spacing w:line="420" w:lineRule="exact"/>
        <w:ind w:left="0" w:leftChars="0" w:right="0" w:rightChars="0" w:firstLine="0" w:firstLineChars="0"/>
        <w:textAlignment w:val="auto"/>
        <w:outlineLvl w:val="9"/>
        <w:rPr>
          <w:rFonts w:hint="eastAsia" w:ascii="仿宋" w:hAnsi="仿宋" w:eastAsia="仿宋" w:cs="仿宋"/>
          <w:b/>
          <w:color w:val="auto"/>
          <w:sz w:val="24"/>
          <w:szCs w:val="24"/>
          <w:highlight w:val="none"/>
          <w:lang w:val="en-US" w:eastAsia="zh-CN" w:bidi="ar-SA"/>
        </w:rPr>
      </w:pPr>
      <w:r>
        <w:rPr>
          <w:rFonts w:hint="eastAsia" w:ascii="仿宋" w:hAnsi="仿宋" w:eastAsia="仿宋" w:cs="仿宋"/>
          <w:b/>
          <w:color w:val="auto"/>
          <w:sz w:val="24"/>
          <w:szCs w:val="24"/>
          <w:highlight w:val="none"/>
          <w:lang w:val="en-US" w:eastAsia="zh-CN" w:bidi="ar-SA"/>
        </w:rPr>
        <w:t>1.5验收标准及退货依据</w:t>
      </w:r>
      <w:r>
        <w:rPr>
          <w:rFonts w:hint="eastAsia" w:ascii="仿宋" w:hAnsi="仿宋" w:eastAsia="仿宋" w:cs="仿宋"/>
          <w:b/>
          <w:color w:val="auto"/>
          <w:sz w:val="24"/>
          <w:szCs w:val="24"/>
          <w:highlight w:val="none"/>
          <w:lang w:eastAsia="zh-CN" w:bidi="ar-SA"/>
        </w:rPr>
        <w:t>（适用于标项一、二）</w:t>
      </w:r>
    </w:p>
    <w:p>
      <w:pPr>
        <w:keepNext w:val="0"/>
        <w:keepLines w:val="0"/>
        <w:pageBreakBefore w:val="0"/>
        <w:widowControl/>
        <w:shd w:val="clear"/>
        <w:tabs>
          <w:tab w:val="left" w:pos="851"/>
        </w:tabs>
        <w:kinsoku/>
        <w:wordWrap/>
        <w:overflowPunct/>
        <w:topLinePunct w:val="0"/>
        <w:autoSpaceDE/>
        <w:autoSpaceDN/>
        <w:bidi w:val="0"/>
        <w:snapToGrid/>
        <w:spacing w:line="420" w:lineRule="exact"/>
        <w:ind w:left="0" w:leftChars="0" w:right="0" w:rightChars="0"/>
        <w:textAlignment w:val="auto"/>
        <w:outlineLvl w:val="9"/>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 xml:space="preserve">     供货时需提供以下证明：蔬菜农药残留检验证明、家禽类动物检疫合格证明、肉类（猪肉、牛肉、羊肉等）肉品品质检验合格证明、调味品、副食品类具有近二年的形势检测报告，提供有效的检测报告复印件。</w:t>
      </w:r>
    </w:p>
    <w:p>
      <w:pPr>
        <w:keepNext w:val="0"/>
        <w:keepLines w:val="0"/>
        <w:pageBreakBefore w:val="0"/>
        <w:widowControl/>
        <w:shd w:val="clear"/>
        <w:tabs>
          <w:tab w:val="left" w:pos="851"/>
        </w:tabs>
        <w:kinsoku/>
        <w:wordWrap/>
        <w:overflowPunct/>
        <w:topLinePunct w:val="0"/>
        <w:autoSpaceDE/>
        <w:autoSpaceDN/>
        <w:bidi w:val="0"/>
        <w:snapToGrid/>
        <w:spacing w:line="420" w:lineRule="exact"/>
        <w:ind w:left="0" w:leftChars="0" w:right="0" w:rightChars="0" w:firstLine="482" w:firstLineChars="200"/>
        <w:textAlignment w:val="auto"/>
        <w:outlineLvl w:val="9"/>
        <w:rPr>
          <w:rFonts w:hint="eastAsia" w:ascii="仿宋" w:hAnsi="仿宋" w:eastAsia="仿宋" w:cs="仿宋"/>
          <w:b/>
          <w:color w:val="auto"/>
          <w:sz w:val="24"/>
          <w:szCs w:val="24"/>
          <w:highlight w:val="none"/>
          <w:lang w:eastAsia="zh-CN" w:bidi="ar-SA"/>
        </w:rPr>
      </w:pPr>
      <w:r>
        <w:rPr>
          <w:rFonts w:hint="eastAsia" w:ascii="仿宋" w:hAnsi="仿宋" w:eastAsia="仿宋" w:cs="仿宋"/>
          <w:b/>
          <w:color w:val="auto"/>
          <w:sz w:val="24"/>
          <w:szCs w:val="24"/>
          <w:highlight w:val="none"/>
          <w:lang w:val="en-US" w:eastAsia="zh-CN" w:bidi="ar-SA"/>
        </w:rPr>
        <w:t>1.5.1</w:t>
      </w:r>
      <w:r>
        <w:rPr>
          <w:rFonts w:hint="eastAsia" w:ascii="仿宋" w:hAnsi="仿宋" w:eastAsia="仿宋" w:cs="仿宋"/>
          <w:b/>
          <w:color w:val="auto"/>
          <w:sz w:val="24"/>
          <w:szCs w:val="24"/>
          <w:highlight w:val="none"/>
          <w:lang w:bidi="ar-SA"/>
        </w:rPr>
        <w:t>蔬菜综合类</w:t>
      </w:r>
      <w:r>
        <w:rPr>
          <w:rFonts w:hint="eastAsia" w:ascii="仿宋" w:hAnsi="仿宋" w:eastAsia="仿宋" w:cs="仿宋"/>
          <w:b/>
          <w:color w:val="auto"/>
          <w:sz w:val="24"/>
          <w:szCs w:val="24"/>
          <w:highlight w:val="none"/>
          <w:lang w:eastAsia="zh-CN" w:bidi="ar-SA"/>
        </w:rPr>
        <w:t>、家禽类</w:t>
      </w:r>
      <w:r>
        <w:rPr>
          <w:rFonts w:hint="eastAsia" w:ascii="仿宋" w:hAnsi="仿宋" w:eastAsia="仿宋" w:cs="仿宋"/>
          <w:b/>
          <w:color w:val="auto"/>
          <w:sz w:val="24"/>
          <w:szCs w:val="24"/>
          <w:highlight w:val="none"/>
          <w:lang w:bidi="ar-SA"/>
        </w:rPr>
        <w:t>等食材</w:t>
      </w:r>
    </w:p>
    <w:tbl>
      <w:tblPr>
        <w:tblStyle w:val="72"/>
        <w:tblW w:w="897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23"/>
        <w:gridCol w:w="4940"/>
        <w:gridCol w:w="30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83" w:hRule="atLeast"/>
          <w:jc w:val="center"/>
        </w:trPr>
        <w:tc>
          <w:tcPr>
            <w:tcW w:w="1023" w:type="dxa"/>
            <w:tcBorders>
              <w:top w:val="single" w:color="000000" w:sz="6" w:space="0"/>
              <w:left w:val="single" w:color="000000" w:sz="4"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种类</w:t>
            </w:r>
          </w:p>
        </w:tc>
        <w:tc>
          <w:tcPr>
            <w:tcW w:w="4940" w:type="dxa"/>
            <w:tcBorders>
              <w:top w:val="single" w:color="000000" w:sz="6" w:space="0"/>
              <w:left w:val="single" w:color="000000" w:sz="6"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b/>
                <w:bCs/>
                <w:color w:val="auto"/>
                <w:sz w:val="24"/>
                <w:szCs w:val="24"/>
                <w:highlight w:val="none"/>
                <w:lang w:eastAsia="zh-CN" w:bidi="ar-SA"/>
              </w:rPr>
            </w:pPr>
            <w:r>
              <w:rPr>
                <w:rFonts w:hint="eastAsia" w:ascii="仿宋" w:hAnsi="仿宋" w:eastAsia="仿宋" w:cs="仿宋"/>
                <w:b/>
                <w:bCs/>
                <w:color w:val="auto"/>
                <w:sz w:val="24"/>
                <w:szCs w:val="24"/>
                <w:highlight w:val="none"/>
                <w:lang w:bidi="ar-SA"/>
              </w:rPr>
              <w:t>验收标</w:t>
            </w:r>
            <w:r>
              <w:rPr>
                <w:rFonts w:hint="eastAsia" w:ascii="仿宋" w:hAnsi="仿宋" w:eastAsia="仿宋" w:cs="仿宋"/>
                <w:b/>
                <w:bCs/>
                <w:color w:val="auto"/>
                <w:sz w:val="24"/>
                <w:szCs w:val="24"/>
                <w:highlight w:val="none"/>
                <w:lang w:eastAsia="zh-CN" w:bidi="ar-SA"/>
              </w:rPr>
              <w:t>准</w:t>
            </w:r>
          </w:p>
        </w:tc>
        <w:tc>
          <w:tcPr>
            <w:tcW w:w="3007" w:type="dxa"/>
            <w:tcBorders>
              <w:top w:val="single" w:color="000000" w:sz="6" w:space="0"/>
              <w:left w:val="single" w:color="000000" w:sz="6"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退货依据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1023" w:type="dxa"/>
            <w:tcBorders>
              <w:top w:val="single" w:color="000000" w:sz="4" w:space="0"/>
              <w:left w:val="single" w:color="000000" w:sz="4"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叶菜类</w:t>
            </w:r>
          </w:p>
        </w:tc>
        <w:tc>
          <w:tcPr>
            <w:tcW w:w="4940" w:type="dxa"/>
            <w:tcBorders>
              <w:top w:val="single" w:color="000000" w:sz="4" w:space="0"/>
              <w:left w:val="single" w:color="000000" w:sz="6"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jc w:val="both"/>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外形正常，叶梗光滑幼嫩，不干瘪凋萎，无过多黄叶，色泽正常。去除根须，不含土，大白菜、卷心菜切开心不变黑，无腐烂，无明显浸水现象</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bidi="ar-SA"/>
              </w:rPr>
              <w:t>农药残留不超标。提供相关进货渠道和合格检验证明。</w:t>
            </w:r>
          </w:p>
        </w:tc>
        <w:tc>
          <w:tcPr>
            <w:tcW w:w="3007" w:type="dxa"/>
            <w:tcBorders>
              <w:top w:val="single" w:color="000000" w:sz="4" w:space="0"/>
              <w:left w:val="single" w:color="000000" w:sz="6"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味苦，鲜度嫩度明显不佳，含黄叶须根，泥土、虫害严重，萎捏严重浸水后仍不可恢复；农药残留超标</w:t>
            </w:r>
            <w:r>
              <w:rPr>
                <w:rFonts w:hint="eastAsia" w:ascii="仿宋" w:hAnsi="仿宋" w:eastAsia="仿宋" w:cs="仿宋"/>
                <w:color w:val="auto"/>
                <w:sz w:val="24"/>
                <w:szCs w:val="24"/>
                <w:highlight w:val="none"/>
                <w:lang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45" w:hRule="atLeast"/>
          <w:jc w:val="center"/>
        </w:trPr>
        <w:tc>
          <w:tcPr>
            <w:tcW w:w="1023" w:type="dxa"/>
            <w:tcBorders>
              <w:top w:val="single" w:color="000000" w:sz="4" w:space="0"/>
              <w:left w:val="single" w:color="000000" w:sz="4"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根茎类</w:t>
            </w:r>
          </w:p>
        </w:tc>
        <w:tc>
          <w:tcPr>
            <w:tcW w:w="4940" w:type="dxa"/>
            <w:tcBorders>
              <w:top w:val="single" w:color="000000" w:sz="4" w:space="0"/>
              <w:left w:val="single" w:color="000000" w:sz="6"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无虫咬、发芽、发霉</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bidi="ar-SA"/>
              </w:rPr>
              <w:t>腐烂现象，新鲜，形态大小均匀相当。农药残留不超标。提供相关进货渠道和合格检验证明。</w:t>
            </w:r>
          </w:p>
        </w:tc>
        <w:tc>
          <w:tcPr>
            <w:tcW w:w="3007" w:type="dxa"/>
            <w:tcBorders>
              <w:top w:val="single" w:color="000000" w:sz="4" w:space="0"/>
              <w:left w:val="single" w:color="000000" w:sz="6"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pacing w:val="-5"/>
                <w:sz w:val="24"/>
                <w:szCs w:val="24"/>
                <w:highlight w:val="none"/>
                <w:lang w:bidi="ar-SA"/>
              </w:rPr>
              <w:t>发芽严重、发霉</w:t>
            </w:r>
            <w:r>
              <w:rPr>
                <w:rFonts w:hint="eastAsia" w:ascii="仿宋" w:hAnsi="仿宋" w:eastAsia="仿宋" w:cs="仿宋"/>
                <w:color w:val="auto"/>
                <w:spacing w:val="-5"/>
                <w:sz w:val="24"/>
                <w:szCs w:val="24"/>
                <w:highlight w:val="none"/>
                <w:lang w:eastAsia="zh-CN" w:bidi="ar-SA"/>
              </w:rPr>
              <w:t>、</w:t>
            </w:r>
            <w:r>
              <w:rPr>
                <w:rFonts w:hint="eastAsia" w:ascii="仿宋" w:hAnsi="仿宋" w:eastAsia="仿宋" w:cs="仿宋"/>
                <w:color w:val="auto"/>
                <w:sz w:val="24"/>
                <w:szCs w:val="24"/>
                <w:highlight w:val="none"/>
                <w:lang w:bidi="ar-SA"/>
              </w:rPr>
              <w:t>腐烂</w:t>
            </w:r>
            <w:r>
              <w:rPr>
                <w:rFonts w:hint="eastAsia" w:ascii="仿宋" w:hAnsi="仿宋" w:eastAsia="仿宋" w:cs="仿宋"/>
                <w:color w:val="auto"/>
                <w:spacing w:val="-5"/>
                <w:sz w:val="24"/>
                <w:szCs w:val="24"/>
                <w:highlight w:val="none"/>
                <w:lang w:bidi="ar-SA"/>
              </w:rPr>
              <w:t>，新鲜度不佳，形态大小偏差较大。农药残留超标。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03" w:hRule="atLeast"/>
          <w:jc w:val="center"/>
        </w:trPr>
        <w:tc>
          <w:tcPr>
            <w:tcW w:w="1023" w:type="dxa"/>
            <w:tcBorders>
              <w:top w:val="single" w:color="000000" w:sz="4" w:space="0"/>
              <w:left w:val="single" w:color="000000" w:sz="4"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瓜果类</w:t>
            </w:r>
          </w:p>
        </w:tc>
        <w:tc>
          <w:tcPr>
            <w:tcW w:w="4940" w:type="dxa"/>
            <w:tcBorders>
              <w:top w:val="single" w:color="000000" w:sz="4" w:space="0"/>
              <w:left w:val="single" w:color="000000" w:sz="6"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成熟度良好，新鲜固有的色泽鲜明，无发霉</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bidi="ar-SA"/>
              </w:rPr>
              <w:t>发黄</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bidi="ar-SA"/>
              </w:rPr>
              <w:t>腐烂。农药残留不超标。提供相关进货渠道和合格检验证明。</w:t>
            </w:r>
          </w:p>
        </w:tc>
        <w:tc>
          <w:tcPr>
            <w:tcW w:w="3007" w:type="dxa"/>
            <w:tcBorders>
              <w:top w:val="single" w:color="000000" w:sz="4" w:space="0"/>
              <w:left w:val="single" w:color="000000" w:sz="6"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不新鲜</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bidi="ar-SA"/>
              </w:rPr>
              <w:t>发霉</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bidi="ar-SA"/>
              </w:rPr>
              <w:t>腐烂</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bidi="ar-SA"/>
              </w:rPr>
              <w:t>虫害过多。农药残留超标。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2" w:hRule="atLeast"/>
          <w:jc w:val="center"/>
        </w:trPr>
        <w:tc>
          <w:tcPr>
            <w:tcW w:w="1023" w:type="dxa"/>
            <w:vMerge w:val="restart"/>
            <w:tcBorders>
              <w:top w:val="single" w:color="000000" w:sz="4" w:space="0"/>
              <w:left w:val="single" w:color="000000" w:sz="4" w:space="0"/>
              <w:bottom w:val="single" w:color="000000" w:sz="6"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jc w:val="center"/>
              <w:textAlignment w:val="auto"/>
              <w:rPr>
                <w:rFonts w:hint="eastAsia" w:ascii="仿宋" w:hAnsi="仿宋" w:eastAsia="仿宋" w:cs="仿宋"/>
                <w:color w:val="auto"/>
                <w:sz w:val="24"/>
                <w:szCs w:val="24"/>
                <w:highlight w:val="none"/>
                <w:lang w:eastAsia="zh-CN" w:bidi="ar-SA"/>
              </w:rPr>
            </w:pPr>
          </w:p>
          <w:p>
            <w:pPr>
              <w:pStyle w:val="955"/>
              <w:keepNext w:val="0"/>
              <w:keepLines w:val="0"/>
              <w:pageBreakBefore w:val="0"/>
              <w:widowControl w:val="0"/>
              <w:shd w:val="clear"/>
              <w:kinsoku/>
              <w:wordWrap/>
              <w:overflowPunct/>
              <w:topLinePunct w:val="0"/>
              <w:autoSpaceDE w:val="0"/>
              <w:autoSpaceDN w:val="0"/>
              <w:bidi w:val="0"/>
              <w:spacing w:line="240" w:lineRule="auto"/>
              <w:ind w:left="0" w:right="0"/>
              <w:jc w:val="center"/>
              <w:textAlignment w:val="auto"/>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eastAsia="zh-CN" w:bidi="ar-SA"/>
              </w:rPr>
              <w:t>豆制品</w:t>
            </w:r>
          </w:p>
        </w:tc>
        <w:tc>
          <w:tcPr>
            <w:tcW w:w="4940" w:type="dxa"/>
            <w:tcBorders>
              <w:top w:val="single" w:color="000000" w:sz="4" w:space="0"/>
              <w:left w:val="single" w:color="000000" w:sz="6" w:space="0"/>
              <w:bottom w:val="single" w:color="000000" w:sz="4" w:space="0"/>
              <w:right w:val="single" w:color="000000" w:sz="6" w:space="0"/>
            </w:tcBorders>
            <w:vAlign w:val="center"/>
          </w:tcPr>
          <w:p>
            <w:pPr>
              <w:keepNext w:val="0"/>
              <w:keepLines w:val="0"/>
              <w:pageBreakBefore w:val="0"/>
              <w:widowControl w:val="0"/>
              <w:shd w:val="clear"/>
              <w:kinsoku/>
              <w:wordWrap/>
              <w:overflowPunct/>
              <w:topLinePunct w:val="0"/>
              <w:bidi w:val="0"/>
              <w:adjustRightInd w:val="0"/>
              <w:snapToGrid w:val="0"/>
              <w:spacing w:line="240" w:lineRule="auto"/>
              <w:ind w:left="0" w:right="0"/>
              <w:textAlignment w:val="auto"/>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eastAsia="zh-CN" w:bidi="ar-SA"/>
              </w:rPr>
              <w:t>豆腐</w:t>
            </w:r>
          </w:p>
          <w:p>
            <w:pPr>
              <w:keepNext w:val="0"/>
              <w:keepLines w:val="0"/>
              <w:pageBreakBefore w:val="0"/>
              <w:widowControl w:val="0"/>
              <w:shd w:val="clear"/>
              <w:kinsoku/>
              <w:wordWrap/>
              <w:overflowPunct/>
              <w:topLinePunct w:val="0"/>
              <w:bidi w:val="0"/>
              <w:adjustRightInd w:val="0"/>
              <w:snapToGrid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w:t>
            </w:r>
            <w:r>
              <w:rPr>
                <w:rFonts w:hint="eastAsia" w:ascii="仿宋" w:hAnsi="仿宋" w:eastAsia="仿宋" w:cs="仿宋"/>
                <w:color w:val="auto"/>
                <w:sz w:val="24"/>
                <w:szCs w:val="24"/>
                <w:highlight w:val="none"/>
                <w:lang w:bidi="ar-SA"/>
              </w:rPr>
              <w:t>色泽：取一块样品在散射光线下直接观察，良质豆腐呈均匀的乳白色或淡黄色，稍有光泽。</w:t>
            </w:r>
          </w:p>
          <w:p>
            <w:pPr>
              <w:keepNext w:val="0"/>
              <w:keepLines w:val="0"/>
              <w:pageBreakBefore w:val="0"/>
              <w:widowControl w:val="0"/>
              <w:shd w:val="clear"/>
              <w:kinsoku/>
              <w:wordWrap/>
              <w:overflowPunct/>
              <w:topLinePunct w:val="0"/>
              <w:bidi w:val="0"/>
              <w:adjustRightInd w:val="0"/>
              <w:snapToGrid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2</w:t>
            </w:r>
            <w:r>
              <w:rPr>
                <w:rFonts w:hint="eastAsia" w:ascii="仿宋" w:hAnsi="仿宋" w:eastAsia="仿宋" w:cs="仿宋"/>
                <w:color w:val="auto"/>
                <w:sz w:val="24"/>
                <w:szCs w:val="24"/>
                <w:highlight w:val="none"/>
                <w:lang w:val="en-US" w:eastAsia="zh-CN" w:bidi="ar-SA"/>
              </w:rPr>
              <w:t>.</w:t>
            </w:r>
            <w:r>
              <w:rPr>
                <w:rFonts w:hint="eastAsia" w:ascii="仿宋" w:hAnsi="仿宋" w:eastAsia="仿宋" w:cs="仿宋"/>
                <w:color w:val="auto"/>
                <w:sz w:val="24"/>
                <w:szCs w:val="24"/>
                <w:highlight w:val="none"/>
                <w:lang w:bidi="ar-SA"/>
              </w:rPr>
              <w:t>组织状态：先取样品直接看其外部状况，然后用刀切成几块，再仔细观察切口处，最后用手轻轻按压，以试验其弹性和硬度，良质豆腐块型完整，有一定弹性，质地细嫩，结构均匀无杂质。</w:t>
            </w:r>
          </w:p>
          <w:p>
            <w:pPr>
              <w:keepNext w:val="0"/>
              <w:keepLines w:val="0"/>
              <w:pageBreakBefore w:val="0"/>
              <w:widowControl w:val="0"/>
              <w:shd w:val="clear"/>
              <w:kinsoku/>
              <w:wordWrap/>
              <w:overflowPunct/>
              <w:topLinePunct w:val="0"/>
              <w:bidi w:val="0"/>
              <w:adjustRightInd w:val="0"/>
              <w:snapToGrid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3</w:t>
            </w:r>
            <w:r>
              <w:rPr>
                <w:rFonts w:hint="eastAsia" w:ascii="仿宋" w:hAnsi="仿宋" w:eastAsia="仿宋" w:cs="仿宋"/>
                <w:color w:val="auto"/>
                <w:sz w:val="24"/>
                <w:szCs w:val="24"/>
                <w:highlight w:val="none"/>
                <w:lang w:val="en-US" w:eastAsia="zh-CN" w:bidi="ar-SA"/>
              </w:rPr>
              <w:t>.</w:t>
            </w:r>
            <w:r>
              <w:rPr>
                <w:rFonts w:hint="eastAsia" w:ascii="仿宋" w:hAnsi="仿宋" w:eastAsia="仿宋" w:cs="仿宋"/>
                <w:color w:val="auto"/>
                <w:sz w:val="24"/>
                <w:szCs w:val="24"/>
                <w:highlight w:val="none"/>
                <w:lang w:bidi="ar-SA"/>
              </w:rPr>
              <w:t>气味：可取一块样品豆腐，在常温下直接嗅其气味，良质豆腐香气清纯。</w:t>
            </w:r>
          </w:p>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4</w:t>
            </w:r>
            <w:r>
              <w:rPr>
                <w:rFonts w:hint="eastAsia" w:ascii="仿宋" w:hAnsi="仿宋" w:eastAsia="仿宋" w:cs="仿宋"/>
                <w:color w:val="auto"/>
                <w:sz w:val="24"/>
                <w:szCs w:val="24"/>
                <w:highlight w:val="none"/>
                <w:lang w:val="en-US" w:eastAsia="zh-CN" w:bidi="ar-SA"/>
              </w:rPr>
              <w:t>.</w:t>
            </w:r>
            <w:r>
              <w:rPr>
                <w:rFonts w:hint="eastAsia" w:ascii="仿宋" w:hAnsi="仿宋" w:eastAsia="仿宋" w:cs="仿宋"/>
                <w:color w:val="auto"/>
                <w:sz w:val="24"/>
                <w:szCs w:val="24"/>
                <w:highlight w:val="none"/>
                <w:lang w:bidi="ar-SA"/>
              </w:rPr>
              <w:t>滋味：在室温下取小块样品细细咀嚼以品尝其滋味，良质豆腐口感细腻鲜嫩、味道纯正、清香。</w:t>
            </w:r>
          </w:p>
        </w:tc>
        <w:tc>
          <w:tcPr>
            <w:tcW w:w="3007" w:type="dxa"/>
            <w:tcBorders>
              <w:top w:val="single" w:color="000000" w:sz="4" w:space="0"/>
              <w:left w:val="single" w:color="000000" w:sz="6"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eastAsia="zh-CN" w:bidi="ar-SA"/>
              </w:rPr>
              <w:t>变色变质、有异味，过保质期。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4" w:hRule="atLeast"/>
          <w:jc w:val="center"/>
        </w:trPr>
        <w:tc>
          <w:tcPr>
            <w:tcW w:w="1023" w:type="dxa"/>
            <w:vMerge w:val="continue"/>
            <w:tcBorders>
              <w:top w:val="single" w:color="000000" w:sz="6" w:space="0"/>
              <w:left w:val="single" w:color="000000" w:sz="4" w:space="0"/>
              <w:bottom w:val="single" w:color="000000" w:sz="4" w:space="0"/>
              <w:right w:val="single" w:color="000000" w:sz="6" w:space="0"/>
            </w:tcBorders>
            <w:vAlign w:val="center"/>
          </w:tcPr>
          <w:p>
            <w:pPr>
              <w:shd w:val="clear"/>
              <w:rPr>
                <w:rFonts w:hint="eastAsia" w:ascii="仿宋" w:hAnsi="仿宋" w:eastAsia="仿宋" w:cs="仿宋"/>
                <w:color w:val="auto"/>
                <w:highlight w:val="none"/>
              </w:rPr>
            </w:pPr>
          </w:p>
        </w:tc>
        <w:tc>
          <w:tcPr>
            <w:tcW w:w="4940" w:type="dxa"/>
            <w:tcBorders>
              <w:top w:val="single" w:color="000000" w:sz="4" w:space="0"/>
              <w:left w:val="single" w:color="000000" w:sz="6"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eastAsia="zh-CN" w:bidi="ar-SA"/>
              </w:rPr>
              <w:t>豆腐干</w:t>
            </w:r>
          </w:p>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1.</w:t>
            </w:r>
            <w:r>
              <w:rPr>
                <w:rFonts w:hint="eastAsia" w:ascii="仿宋" w:hAnsi="仿宋" w:eastAsia="仿宋" w:cs="仿宋"/>
                <w:color w:val="auto"/>
                <w:sz w:val="24"/>
                <w:szCs w:val="24"/>
                <w:highlight w:val="none"/>
                <w:lang w:bidi="ar-SA"/>
              </w:rPr>
              <w:t>色泽：呈乳白色或淡黄色，有光泽。</w:t>
            </w:r>
          </w:p>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2</w:t>
            </w:r>
            <w:r>
              <w:rPr>
                <w:rFonts w:hint="eastAsia" w:ascii="仿宋" w:hAnsi="仿宋" w:eastAsia="仿宋" w:cs="仿宋"/>
                <w:color w:val="auto"/>
                <w:sz w:val="24"/>
                <w:szCs w:val="24"/>
                <w:highlight w:val="none"/>
                <w:lang w:val="en-US" w:eastAsia="zh-CN" w:bidi="ar-SA"/>
              </w:rPr>
              <w:t>.</w:t>
            </w:r>
            <w:r>
              <w:rPr>
                <w:rFonts w:hint="eastAsia" w:ascii="仿宋" w:hAnsi="仿宋" w:eastAsia="仿宋" w:cs="仿宋"/>
                <w:color w:val="auto"/>
                <w:sz w:val="24"/>
                <w:szCs w:val="24"/>
                <w:highlight w:val="none"/>
                <w:lang w:bidi="ar-SA"/>
              </w:rPr>
              <w:t>组织状态：先取样品外部观察，然后用刀切开仔细观察，最后用手按压以感知其弹性。良质豆腐干—质地细腻，边角整齐，有一定弹性，切开处挤压不出水，无杂质。</w:t>
            </w:r>
          </w:p>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3</w:t>
            </w:r>
            <w:r>
              <w:rPr>
                <w:rFonts w:hint="eastAsia" w:ascii="仿宋" w:hAnsi="仿宋" w:eastAsia="仿宋" w:cs="仿宋"/>
                <w:color w:val="auto"/>
                <w:sz w:val="24"/>
                <w:szCs w:val="24"/>
                <w:highlight w:val="none"/>
                <w:lang w:val="en-US" w:eastAsia="zh-CN" w:bidi="ar-SA"/>
              </w:rPr>
              <w:t>.</w:t>
            </w:r>
            <w:r>
              <w:rPr>
                <w:rFonts w:hint="eastAsia" w:ascii="仿宋" w:hAnsi="仿宋" w:eastAsia="仿宋" w:cs="仿宋"/>
                <w:color w:val="auto"/>
                <w:sz w:val="24"/>
                <w:szCs w:val="24"/>
                <w:highlight w:val="none"/>
                <w:lang w:bidi="ar-SA"/>
              </w:rPr>
              <w:t>气味：具有豆腐干特有的清香气味，无其他异味。</w:t>
            </w:r>
          </w:p>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4</w:t>
            </w:r>
            <w:r>
              <w:rPr>
                <w:rFonts w:hint="eastAsia" w:ascii="仿宋" w:hAnsi="仿宋" w:eastAsia="仿宋" w:cs="仿宋"/>
                <w:color w:val="auto"/>
                <w:sz w:val="24"/>
                <w:szCs w:val="24"/>
                <w:highlight w:val="none"/>
                <w:lang w:val="en-US" w:eastAsia="zh-CN" w:bidi="ar-SA"/>
              </w:rPr>
              <w:t>.</w:t>
            </w:r>
            <w:r>
              <w:rPr>
                <w:rFonts w:hint="eastAsia" w:ascii="仿宋" w:hAnsi="仿宋" w:eastAsia="仿宋" w:cs="仿宋"/>
                <w:color w:val="auto"/>
                <w:sz w:val="24"/>
                <w:szCs w:val="24"/>
                <w:highlight w:val="none"/>
                <w:lang w:bidi="ar-SA"/>
              </w:rPr>
              <w:t>滋味：滋味纯正、咸淡适口。</w:t>
            </w:r>
          </w:p>
        </w:tc>
        <w:tc>
          <w:tcPr>
            <w:tcW w:w="3007" w:type="dxa"/>
            <w:tcBorders>
              <w:top w:val="single" w:color="000000" w:sz="4" w:space="0"/>
              <w:left w:val="single" w:color="000000" w:sz="6"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eastAsia="zh-CN" w:bidi="ar-SA"/>
              </w:rPr>
              <w:t>变色变质、有异味，过保质期。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625" w:hRule="atLeast"/>
          <w:jc w:val="center"/>
        </w:trPr>
        <w:tc>
          <w:tcPr>
            <w:tcW w:w="1023" w:type="dxa"/>
            <w:tcBorders>
              <w:top w:val="single" w:color="000000" w:sz="4" w:space="0"/>
              <w:left w:val="single" w:color="000000" w:sz="4"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jc w:val="center"/>
              <w:textAlignment w:val="auto"/>
              <w:rPr>
                <w:rFonts w:hint="eastAsia" w:ascii="仿宋" w:hAnsi="仿宋" w:eastAsia="仿宋" w:cs="仿宋"/>
                <w:b/>
                <w:color w:val="auto"/>
                <w:sz w:val="24"/>
                <w:szCs w:val="24"/>
                <w:highlight w:val="none"/>
                <w:lang w:bidi="ar-SA"/>
              </w:rPr>
            </w:pPr>
          </w:p>
          <w:p>
            <w:pPr>
              <w:pStyle w:val="955"/>
              <w:keepNext w:val="0"/>
              <w:keepLines w:val="0"/>
              <w:pageBreakBefore w:val="0"/>
              <w:widowControl w:val="0"/>
              <w:shd w:val="clear"/>
              <w:kinsoku/>
              <w:wordWrap/>
              <w:overflowPunct/>
              <w:topLinePunct w:val="0"/>
              <w:autoSpaceDE w:val="0"/>
              <w:autoSpaceDN w:val="0"/>
              <w:bidi w:val="0"/>
              <w:spacing w:line="240" w:lineRule="auto"/>
              <w:ind w:left="0" w:right="0"/>
              <w:jc w:val="center"/>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禽类</w:t>
            </w:r>
          </w:p>
        </w:tc>
        <w:tc>
          <w:tcPr>
            <w:tcW w:w="4940" w:type="dxa"/>
            <w:tcBorders>
              <w:top w:val="single" w:color="000000" w:sz="4" w:space="0"/>
              <w:left w:val="single" w:color="000000" w:sz="6" w:space="0"/>
              <w:bottom w:val="single" w:color="000000" w:sz="4" w:space="0"/>
              <w:right w:val="single" w:color="000000" w:sz="6"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皮肤有光泽，呈淡黄、淡红、灰白色等，肌肉切面有光泽。提供相关进货渠道和合格检验证明。</w:t>
            </w:r>
          </w:p>
        </w:tc>
        <w:tc>
          <w:tcPr>
            <w:tcW w:w="3007" w:type="dxa"/>
            <w:tcBorders>
              <w:top w:val="single" w:color="000000" w:sz="4" w:space="0"/>
              <w:left w:val="single" w:color="000000" w:sz="6"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spacing w:line="240" w:lineRule="auto"/>
              <w:ind w:left="0" w:right="0"/>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与验收标准不符，病死或者死因不明的制品等。</w:t>
            </w:r>
          </w:p>
        </w:tc>
      </w:tr>
    </w:tbl>
    <w:p>
      <w:pPr>
        <w:keepNext w:val="0"/>
        <w:keepLines w:val="0"/>
        <w:pageBreakBefore w:val="0"/>
        <w:widowControl/>
        <w:shd w:val="clear"/>
        <w:tabs>
          <w:tab w:val="left" w:pos="851"/>
        </w:tabs>
        <w:kinsoku/>
        <w:wordWrap/>
        <w:overflowPunct/>
        <w:topLinePunct w:val="0"/>
        <w:bidi w:val="0"/>
        <w:spacing w:line="420" w:lineRule="exact"/>
        <w:ind w:firstLine="482" w:firstLineChars="200"/>
        <w:textAlignment w:val="auto"/>
        <w:rPr>
          <w:rFonts w:hint="eastAsia" w:ascii="仿宋" w:hAnsi="仿宋" w:eastAsia="仿宋" w:cs="仿宋"/>
          <w:b/>
          <w:color w:val="auto"/>
          <w:sz w:val="24"/>
          <w:szCs w:val="24"/>
          <w:highlight w:val="none"/>
          <w:lang w:bidi="ar-SA"/>
        </w:rPr>
      </w:pPr>
      <w:r>
        <w:rPr>
          <w:rFonts w:hint="eastAsia" w:ascii="仿宋" w:hAnsi="仿宋" w:eastAsia="仿宋" w:cs="仿宋"/>
          <w:b/>
          <w:color w:val="auto"/>
          <w:sz w:val="24"/>
          <w:szCs w:val="24"/>
          <w:highlight w:val="none"/>
          <w:lang w:val="en-US" w:eastAsia="zh-CN" w:bidi="ar-SA"/>
        </w:rPr>
        <w:t>1.5.2</w:t>
      </w:r>
      <w:r>
        <w:rPr>
          <w:rFonts w:hint="eastAsia" w:ascii="仿宋" w:hAnsi="仿宋" w:eastAsia="仿宋" w:cs="仿宋"/>
          <w:b/>
          <w:color w:val="auto"/>
          <w:sz w:val="24"/>
          <w:szCs w:val="24"/>
          <w:highlight w:val="none"/>
          <w:lang w:eastAsia="zh-CN" w:bidi="ar-SA"/>
        </w:rPr>
        <w:t>水产类、肉类</w:t>
      </w:r>
      <w:r>
        <w:rPr>
          <w:rFonts w:hint="eastAsia" w:ascii="仿宋" w:hAnsi="仿宋" w:eastAsia="仿宋" w:cs="仿宋"/>
          <w:b/>
          <w:color w:val="auto"/>
          <w:sz w:val="24"/>
          <w:szCs w:val="24"/>
          <w:highlight w:val="none"/>
          <w:lang w:bidi="ar-SA"/>
        </w:rPr>
        <w:t>等食材</w:t>
      </w:r>
    </w:p>
    <w:tbl>
      <w:tblPr>
        <w:tblStyle w:val="72"/>
        <w:tblW w:w="899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885"/>
        <w:gridCol w:w="4065"/>
        <w:gridCol w:w="3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2" w:hRule="atLeast"/>
          <w:jc w:val="center"/>
        </w:trPr>
        <w:tc>
          <w:tcPr>
            <w:tcW w:w="91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品种</w:t>
            </w:r>
          </w:p>
        </w:tc>
        <w:tc>
          <w:tcPr>
            <w:tcW w:w="88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种类</w:t>
            </w:r>
          </w:p>
        </w:tc>
        <w:tc>
          <w:tcPr>
            <w:tcW w:w="406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验收标准</w:t>
            </w:r>
          </w:p>
        </w:tc>
        <w:tc>
          <w:tcPr>
            <w:tcW w:w="3126"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退货依据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jc w:val="center"/>
        </w:trPr>
        <w:tc>
          <w:tcPr>
            <w:tcW w:w="915" w:type="dxa"/>
            <w:vMerge w:val="restart"/>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kern w:val="0"/>
                <w:sz w:val="24"/>
                <w:szCs w:val="24"/>
                <w:highlight w:val="none"/>
                <w:lang w:val="zh-CN" w:eastAsia="zh-CN" w:bidi="zh-CN"/>
              </w:rPr>
              <w:t>水产类</w:t>
            </w:r>
          </w:p>
        </w:tc>
        <w:tc>
          <w:tcPr>
            <w:tcW w:w="88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鱼类</w:t>
            </w:r>
          </w:p>
        </w:tc>
        <w:tc>
          <w:tcPr>
            <w:tcW w:w="406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鳞完整或稍有花鳞，紧贴不易剥落，有透明黏液；鳃盖紧合，鳃丝鲜红，色清晰，黏液透明无异味；鱼眼饱满，角膜光亮透明；腹部呈白色，无异味。提供相关进货渠道和合格检验证明。</w:t>
            </w:r>
          </w:p>
        </w:tc>
        <w:tc>
          <w:tcPr>
            <w:tcW w:w="3126"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与验收标准不符，病死或者死因不明的水产及其制品等。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vAlign w:val="center"/>
          </w:tcPr>
          <w:p>
            <w:pPr>
              <w:shd w:val="clear"/>
              <w:rPr>
                <w:rFonts w:hint="eastAsia" w:ascii="仿宋" w:hAnsi="仿宋" w:eastAsia="仿宋" w:cs="仿宋"/>
                <w:color w:val="auto"/>
                <w:highlight w:val="none"/>
              </w:rPr>
            </w:pPr>
          </w:p>
        </w:tc>
        <w:tc>
          <w:tcPr>
            <w:tcW w:w="88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螃蟹类</w:t>
            </w:r>
          </w:p>
        </w:tc>
        <w:tc>
          <w:tcPr>
            <w:tcW w:w="406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蟹腿坚实肥壮，脐部饱满，翻扣地上很快能翻转过来，外壳洁净。提供相关进货渠道和合格检验证明。</w:t>
            </w:r>
          </w:p>
        </w:tc>
        <w:tc>
          <w:tcPr>
            <w:tcW w:w="3126"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与验收标准不符，病死或者死因不明的水产及其制品等。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vAlign w:val="center"/>
          </w:tcPr>
          <w:p>
            <w:pPr>
              <w:shd w:val="clear"/>
              <w:rPr>
                <w:rFonts w:hint="eastAsia" w:ascii="仿宋" w:hAnsi="仿宋" w:eastAsia="仿宋" w:cs="仿宋"/>
                <w:color w:val="auto"/>
                <w:highlight w:val="none"/>
              </w:rPr>
            </w:pPr>
          </w:p>
        </w:tc>
        <w:tc>
          <w:tcPr>
            <w:tcW w:w="88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虾类</w:t>
            </w:r>
          </w:p>
        </w:tc>
        <w:tc>
          <w:tcPr>
            <w:tcW w:w="406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头尾完整，有一定弯曲度，肉质坚实，虾壳呈青灰色。提供相关进货渠道和合格检验证明。</w:t>
            </w:r>
          </w:p>
        </w:tc>
        <w:tc>
          <w:tcPr>
            <w:tcW w:w="3126"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kern w:val="0"/>
                <w:sz w:val="24"/>
                <w:szCs w:val="24"/>
                <w:highlight w:val="none"/>
                <w:lang w:val="zh-CN" w:eastAsia="zh-CN" w:bidi="zh-CN"/>
              </w:rPr>
            </w:pPr>
            <w:r>
              <w:rPr>
                <w:rFonts w:hint="eastAsia" w:ascii="仿宋" w:hAnsi="仿宋" w:eastAsia="仿宋" w:cs="仿宋"/>
                <w:color w:val="auto"/>
                <w:sz w:val="24"/>
                <w:szCs w:val="24"/>
                <w:highlight w:val="none"/>
                <w:lang w:bidi="ar-SA"/>
              </w:rPr>
              <w:t>与验收标准不符，病死或者死因不明的水产及其制品等。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vAlign w:val="center"/>
          </w:tcPr>
          <w:p>
            <w:pPr>
              <w:shd w:val="clear"/>
              <w:rPr>
                <w:rFonts w:hint="eastAsia" w:ascii="仿宋" w:hAnsi="仿宋" w:eastAsia="仿宋" w:cs="仿宋"/>
                <w:color w:val="auto"/>
                <w:highlight w:val="none"/>
              </w:rPr>
            </w:pPr>
          </w:p>
        </w:tc>
        <w:tc>
          <w:tcPr>
            <w:tcW w:w="88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color w:val="auto"/>
                <w:sz w:val="24"/>
                <w:szCs w:val="24"/>
                <w:highlight w:val="none"/>
                <w:lang w:eastAsia="zh-CN" w:bidi="ar-SA"/>
              </w:rPr>
            </w:pPr>
            <w:r>
              <w:rPr>
                <w:rFonts w:hint="eastAsia" w:ascii="仿宋" w:hAnsi="仿宋" w:eastAsia="仿宋" w:cs="仿宋"/>
                <w:color w:val="auto"/>
                <w:sz w:val="24"/>
                <w:szCs w:val="24"/>
                <w:highlight w:val="none"/>
                <w:lang w:eastAsia="zh-CN" w:bidi="ar-SA"/>
              </w:rPr>
              <w:t>冻品类</w:t>
            </w:r>
          </w:p>
        </w:tc>
        <w:tc>
          <w:tcPr>
            <w:tcW w:w="406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符合网上公示的品牌；包装完整并有生产厂址和生产日期；有产品防疫检疫合格证明及防疫要求的合格证明。不超过保质期限的三分之二。不注水（氢氧化水浸泡）、不包冰。</w:t>
            </w:r>
          </w:p>
        </w:tc>
        <w:tc>
          <w:tcPr>
            <w:tcW w:w="3126"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与验收标准不符，</w:t>
            </w:r>
            <w:r>
              <w:rPr>
                <w:rFonts w:hint="eastAsia" w:ascii="仿宋" w:hAnsi="仿宋" w:eastAsia="仿宋" w:cs="仿宋"/>
                <w:color w:val="auto"/>
                <w:sz w:val="24"/>
                <w:szCs w:val="24"/>
                <w:highlight w:val="none"/>
                <w:lang w:val="en-US" w:eastAsia="zh-CN" w:bidi="ar-SA"/>
              </w:rPr>
              <w:t>有异味，过保质期等</w:t>
            </w:r>
            <w:r>
              <w:rPr>
                <w:rFonts w:hint="eastAsia" w:ascii="仿宋" w:hAnsi="仿宋" w:eastAsia="仿宋" w:cs="仿宋"/>
                <w:color w:val="auto"/>
                <w:sz w:val="24"/>
                <w:szCs w:val="24"/>
                <w:highlight w:val="none"/>
                <w:lang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5" w:hRule="atLeast"/>
          <w:jc w:val="center"/>
        </w:trPr>
        <w:tc>
          <w:tcPr>
            <w:tcW w:w="915" w:type="dxa"/>
            <w:vMerge w:val="restart"/>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肉类</w:t>
            </w:r>
          </w:p>
        </w:tc>
        <w:tc>
          <w:tcPr>
            <w:tcW w:w="88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猪肉类</w:t>
            </w:r>
          </w:p>
        </w:tc>
        <w:tc>
          <w:tcPr>
            <w:tcW w:w="406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肉色鲜红色，光泽好，肌肉质地坚实，纹理致密，脂肪色为白色，无病变、不注水</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bidi="ar-SA"/>
              </w:rPr>
              <w:t>层次分明。提供相关进货渠道和合格检验证明。</w:t>
            </w:r>
          </w:p>
        </w:tc>
        <w:tc>
          <w:tcPr>
            <w:tcW w:w="3126"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left"/>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与验收标准不符，病死或者死因不明的水产及其制品等。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8" w:hRule="atLeast"/>
          <w:jc w:val="center"/>
        </w:trPr>
        <w:tc>
          <w:tcPr>
            <w:tcW w:w="915" w:type="dxa"/>
            <w:vMerge w:val="continue"/>
            <w:tcBorders>
              <w:top w:val="nil"/>
            </w:tcBorders>
            <w:vAlign w:val="center"/>
          </w:tcPr>
          <w:p>
            <w:pPr>
              <w:shd w:val="clear"/>
              <w:rPr>
                <w:rFonts w:hint="eastAsia" w:ascii="仿宋" w:hAnsi="仿宋" w:eastAsia="仿宋" w:cs="仿宋"/>
                <w:color w:val="auto"/>
                <w:highlight w:val="none"/>
              </w:rPr>
            </w:pPr>
          </w:p>
        </w:tc>
        <w:tc>
          <w:tcPr>
            <w:tcW w:w="88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牛肉类</w:t>
            </w:r>
          </w:p>
        </w:tc>
        <w:tc>
          <w:tcPr>
            <w:tcW w:w="406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肉色深红，肉质有弹性，不注水，指压凹陷部分会立刻恢复，切面有光泽及微湿润脂肪白色或乳白色。提供相关进货渠道和合格检验证明。</w:t>
            </w:r>
          </w:p>
        </w:tc>
        <w:tc>
          <w:tcPr>
            <w:tcW w:w="3126"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left"/>
              <w:textAlignment w:val="auto"/>
              <w:rPr>
                <w:rFonts w:hint="eastAsia" w:ascii="仿宋" w:hAnsi="仿宋" w:eastAsia="仿宋" w:cs="仿宋"/>
                <w:color w:val="auto"/>
                <w:sz w:val="24"/>
                <w:szCs w:val="24"/>
                <w:highlight w:val="none"/>
                <w:lang w:bidi="ar-SA"/>
              </w:rPr>
            </w:pP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left"/>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与验收标准不符，病死或者死因不明的水产及其制品等。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4" w:hRule="atLeast"/>
          <w:jc w:val="center"/>
        </w:trPr>
        <w:tc>
          <w:tcPr>
            <w:tcW w:w="915" w:type="dxa"/>
            <w:vMerge w:val="continue"/>
            <w:tcBorders>
              <w:top w:val="nil"/>
            </w:tcBorders>
            <w:vAlign w:val="center"/>
          </w:tcPr>
          <w:p>
            <w:pPr>
              <w:shd w:val="clear"/>
              <w:rPr>
                <w:rFonts w:hint="eastAsia" w:ascii="仿宋" w:hAnsi="仿宋" w:eastAsia="仿宋" w:cs="仿宋"/>
                <w:color w:val="auto"/>
                <w:highlight w:val="none"/>
              </w:rPr>
            </w:pPr>
          </w:p>
        </w:tc>
        <w:tc>
          <w:tcPr>
            <w:tcW w:w="88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羊肉类</w:t>
            </w:r>
          </w:p>
        </w:tc>
        <w:tc>
          <w:tcPr>
            <w:tcW w:w="4065"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肉色为均匀红色，肉质有弹性，不注水，指压凹陷部分会立刻恢复，切面有光泽及微湿润，皮为白色。提供相关进货渠道和合格检验证明。</w:t>
            </w:r>
          </w:p>
        </w:tc>
        <w:tc>
          <w:tcPr>
            <w:tcW w:w="3126"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与验收标准不符，病死或者死因不明的制品等。</w:t>
            </w:r>
          </w:p>
        </w:tc>
      </w:tr>
    </w:tbl>
    <w:p>
      <w:pPr>
        <w:shd w:val="clear"/>
        <w:spacing w:line="360" w:lineRule="exact"/>
        <w:jc w:val="left"/>
        <w:rPr>
          <w:rFonts w:hint="eastAsia" w:ascii="仿宋" w:hAnsi="仿宋" w:eastAsia="仿宋" w:cs="仿宋"/>
          <w:b/>
          <w:color w:val="auto"/>
          <w:sz w:val="24"/>
          <w:szCs w:val="24"/>
          <w:highlight w:val="none"/>
          <w:lang w:val="en-US" w:eastAsia="zh-CN" w:bidi="ar-SA"/>
        </w:rPr>
      </w:pPr>
      <w:r>
        <w:rPr>
          <w:rFonts w:hint="eastAsia" w:ascii="仿宋" w:hAnsi="仿宋" w:eastAsia="仿宋" w:cs="仿宋"/>
          <w:b/>
          <w:color w:val="auto"/>
          <w:sz w:val="24"/>
          <w:szCs w:val="24"/>
          <w:highlight w:val="none"/>
          <w:lang w:val="en-US" w:eastAsia="zh-CN" w:bidi="ar-SA"/>
        </w:rPr>
        <w:t>注：鲜活水产品必须到指定食堂内现场进行活杀</w:t>
      </w:r>
    </w:p>
    <w:p>
      <w:pPr>
        <w:keepNext w:val="0"/>
        <w:keepLines w:val="0"/>
        <w:pageBreakBefore w:val="0"/>
        <w:widowControl/>
        <w:shd w:val="clear"/>
        <w:tabs>
          <w:tab w:val="left" w:pos="851"/>
        </w:tabs>
        <w:kinsoku/>
        <w:wordWrap/>
        <w:overflowPunct/>
        <w:topLinePunct w:val="0"/>
        <w:bidi w:val="0"/>
        <w:spacing w:line="420" w:lineRule="exact"/>
        <w:ind w:firstLine="482" w:firstLineChars="200"/>
        <w:textAlignment w:val="auto"/>
        <w:rPr>
          <w:rFonts w:hint="eastAsia" w:ascii="仿宋" w:hAnsi="仿宋" w:eastAsia="仿宋" w:cs="仿宋"/>
          <w:b/>
          <w:color w:val="auto"/>
          <w:sz w:val="24"/>
          <w:szCs w:val="24"/>
          <w:highlight w:val="none"/>
          <w:lang w:bidi="ar-SA"/>
        </w:rPr>
      </w:pPr>
      <w:r>
        <w:rPr>
          <w:rFonts w:hint="eastAsia" w:ascii="仿宋" w:hAnsi="仿宋" w:eastAsia="仿宋" w:cs="仿宋"/>
          <w:b/>
          <w:color w:val="auto"/>
          <w:sz w:val="24"/>
          <w:szCs w:val="24"/>
          <w:highlight w:val="none"/>
          <w:lang w:val="en-US" w:eastAsia="zh-CN" w:bidi="ar-SA"/>
        </w:rPr>
        <w:t>1.5.3</w:t>
      </w:r>
      <w:r>
        <w:rPr>
          <w:rFonts w:hint="eastAsia" w:ascii="仿宋" w:hAnsi="仿宋" w:eastAsia="仿宋" w:cs="仿宋"/>
          <w:b/>
          <w:color w:val="auto"/>
          <w:sz w:val="24"/>
          <w:szCs w:val="24"/>
          <w:highlight w:val="none"/>
          <w:lang w:bidi="ar-SA"/>
        </w:rPr>
        <w:t>米、油、面粉、调味品等</w:t>
      </w:r>
    </w:p>
    <w:tbl>
      <w:tblPr>
        <w:tblStyle w:val="72"/>
        <w:tblW w:w="89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7"/>
        <w:gridCol w:w="2629"/>
        <w:gridCol w:w="53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jc w:val="center"/>
        </w:trPr>
        <w:tc>
          <w:tcPr>
            <w:tcW w:w="947"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品种</w:t>
            </w:r>
          </w:p>
        </w:tc>
        <w:tc>
          <w:tcPr>
            <w:tcW w:w="2629"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验收标准</w:t>
            </w:r>
          </w:p>
        </w:tc>
        <w:tc>
          <w:tcPr>
            <w:tcW w:w="5371"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退货依据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8" w:hRule="atLeast"/>
          <w:jc w:val="center"/>
        </w:trPr>
        <w:tc>
          <w:tcPr>
            <w:tcW w:w="947"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color w:val="auto"/>
                <w:sz w:val="24"/>
                <w:szCs w:val="24"/>
                <w:highlight w:val="none"/>
                <w:lang w:bidi="ar-SA"/>
              </w:rPr>
            </w:pP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米</w:t>
            </w:r>
          </w:p>
        </w:tc>
        <w:tc>
          <w:tcPr>
            <w:tcW w:w="2629"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提供的各类货品，保证新鲜度，注意保质期，外包装清洁卫生，完整坚固，且包装上的商品名称、厂址、规格等与内容物相符，标示清晰，批次清楚。</w:t>
            </w:r>
          </w:p>
        </w:tc>
        <w:tc>
          <w:tcPr>
            <w:tcW w:w="5371"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11"/>
                <w:sz w:val="24"/>
                <w:szCs w:val="24"/>
                <w:highlight w:val="none"/>
                <w:lang w:eastAsia="zh-CN" w:bidi="ar-SA"/>
              </w:rPr>
            </w:pPr>
            <w:r>
              <w:rPr>
                <w:rFonts w:hint="eastAsia" w:ascii="仿宋" w:hAnsi="仿宋" w:eastAsia="仿宋" w:cs="仿宋"/>
                <w:color w:val="auto"/>
                <w:sz w:val="24"/>
                <w:szCs w:val="24"/>
                <w:highlight w:val="none"/>
                <w:lang w:bidi="ar-SA"/>
              </w:rPr>
              <w:t>(1)</w:t>
            </w:r>
            <w:r>
              <w:rPr>
                <w:rFonts w:hint="eastAsia" w:ascii="仿宋" w:hAnsi="仿宋" w:eastAsia="仿宋" w:cs="仿宋"/>
                <w:color w:val="auto"/>
                <w:spacing w:val="-4"/>
                <w:sz w:val="24"/>
                <w:szCs w:val="24"/>
                <w:highlight w:val="none"/>
                <w:lang w:bidi="ar-SA"/>
              </w:rPr>
              <w:t>无品名、产地、厂名、生产日期、保质期及中文标识及原</w:t>
            </w:r>
            <w:r>
              <w:rPr>
                <w:rFonts w:hint="eastAsia" w:ascii="仿宋" w:hAnsi="仿宋" w:eastAsia="仿宋" w:cs="仿宋"/>
                <w:color w:val="auto"/>
                <w:spacing w:val="-11"/>
                <w:sz w:val="24"/>
                <w:szCs w:val="24"/>
                <w:highlight w:val="none"/>
                <w:lang w:bidi="ar-SA"/>
              </w:rPr>
              <w:t>料说明的定型包装食品</w:t>
            </w:r>
            <w:r>
              <w:rPr>
                <w:rFonts w:hint="eastAsia" w:ascii="仿宋" w:hAnsi="仿宋" w:eastAsia="仿宋" w:cs="仿宋"/>
                <w:color w:val="auto"/>
                <w:spacing w:val="-11"/>
                <w:sz w:val="24"/>
                <w:szCs w:val="24"/>
                <w:highlight w:val="none"/>
                <w:lang w:eastAsia="zh-CN" w:bidi="ar-SA"/>
              </w:rPr>
              <w:t>。</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(2)</w:t>
            </w:r>
            <w:r>
              <w:rPr>
                <w:rFonts w:hint="eastAsia" w:ascii="仿宋" w:hAnsi="仿宋" w:eastAsia="仿宋" w:cs="仿宋"/>
                <w:color w:val="auto"/>
                <w:spacing w:val="3"/>
                <w:sz w:val="24"/>
                <w:szCs w:val="24"/>
                <w:highlight w:val="none"/>
                <w:lang w:bidi="ar-SA"/>
              </w:rPr>
              <w:t>超过保质期限或不符合食品标签规定的包装食品。</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(3)腐败变质,霉变,生虫,污秽不洁, 混有异物或者其他感官性状异常,含有毒有害物质污染,可能对人体健康有害的食品。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74" w:hRule="atLeast"/>
          <w:jc w:val="center"/>
        </w:trPr>
        <w:tc>
          <w:tcPr>
            <w:tcW w:w="947"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油</w:t>
            </w:r>
          </w:p>
        </w:tc>
        <w:tc>
          <w:tcPr>
            <w:tcW w:w="2629"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bidi="ar-SA"/>
              </w:rPr>
            </w:pPr>
            <w:r>
              <w:rPr>
                <w:rFonts w:hint="eastAsia" w:ascii="仿宋" w:hAnsi="仿宋" w:eastAsia="仿宋" w:cs="仿宋"/>
                <w:color w:val="auto"/>
                <w:spacing w:val="-4"/>
                <w:sz w:val="24"/>
                <w:szCs w:val="24"/>
                <w:highlight w:val="none"/>
                <w:lang w:eastAsia="zh-CN" w:bidi="ar-SA"/>
              </w:rPr>
              <w:t>提</w:t>
            </w:r>
            <w:r>
              <w:rPr>
                <w:rFonts w:hint="eastAsia" w:ascii="仿宋" w:hAnsi="仿宋" w:eastAsia="仿宋" w:cs="仿宋"/>
                <w:color w:val="auto"/>
                <w:spacing w:val="-4"/>
                <w:sz w:val="24"/>
                <w:szCs w:val="24"/>
                <w:highlight w:val="none"/>
                <w:lang w:bidi="ar-SA"/>
              </w:rPr>
              <w:t>供的各类货品，保证新鲜度，注意保质期，外包装清洁卫生，完整坚固，且包装上的商品名称、厂址、规格等与内容物相符，标示清晰，批次清楚。</w:t>
            </w:r>
          </w:p>
        </w:tc>
        <w:tc>
          <w:tcPr>
            <w:tcW w:w="5371"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eastAsia="zh-CN" w:bidi="ar-SA"/>
              </w:rPr>
            </w:pPr>
            <w:r>
              <w:rPr>
                <w:rFonts w:hint="eastAsia" w:ascii="仿宋" w:hAnsi="仿宋" w:eastAsia="仿宋" w:cs="仿宋"/>
                <w:color w:val="auto"/>
                <w:sz w:val="24"/>
                <w:szCs w:val="24"/>
                <w:highlight w:val="none"/>
                <w:lang w:bidi="ar-SA"/>
              </w:rPr>
              <w:t>(1)</w:t>
            </w:r>
            <w:r>
              <w:rPr>
                <w:rFonts w:hint="eastAsia" w:ascii="仿宋" w:hAnsi="仿宋" w:eastAsia="仿宋" w:cs="仿宋"/>
                <w:color w:val="auto"/>
                <w:spacing w:val="-4"/>
                <w:sz w:val="24"/>
                <w:szCs w:val="24"/>
                <w:highlight w:val="none"/>
                <w:lang w:bidi="ar-SA"/>
              </w:rPr>
              <w:t>无品名、产地、厂名、生产日期、保质期及中文标识及原料说明的定型包装食品</w:t>
            </w:r>
            <w:r>
              <w:rPr>
                <w:rFonts w:hint="eastAsia" w:ascii="仿宋" w:hAnsi="仿宋" w:eastAsia="仿宋" w:cs="仿宋"/>
                <w:color w:val="auto"/>
                <w:spacing w:val="-4"/>
                <w:sz w:val="24"/>
                <w:szCs w:val="24"/>
                <w:highlight w:val="none"/>
                <w:lang w:eastAsia="zh-CN" w:bidi="ar-SA"/>
              </w:rPr>
              <w:t>。</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bidi="ar-SA"/>
              </w:rPr>
            </w:pPr>
            <w:r>
              <w:rPr>
                <w:rFonts w:hint="eastAsia" w:ascii="仿宋" w:hAnsi="仿宋" w:eastAsia="仿宋" w:cs="仿宋"/>
                <w:color w:val="auto"/>
                <w:sz w:val="24"/>
                <w:szCs w:val="24"/>
                <w:highlight w:val="none"/>
                <w:lang w:bidi="ar-SA"/>
              </w:rPr>
              <w:t>(2)</w:t>
            </w:r>
            <w:r>
              <w:rPr>
                <w:rFonts w:hint="eastAsia" w:ascii="仿宋" w:hAnsi="仿宋" w:eastAsia="仿宋" w:cs="仿宋"/>
                <w:color w:val="auto"/>
                <w:spacing w:val="-4"/>
                <w:sz w:val="24"/>
                <w:szCs w:val="24"/>
                <w:highlight w:val="none"/>
                <w:lang w:bidi="ar-SA"/>
              </w:rPr>
              <w:t>超过保质期限或不符合食品标签规定的包装食品。</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bidi="ar-SA"/>
              </w:rPr>
            </w:pPr>
            <w:r>
              <w:rPr>
                <w:rFonts w:hint="eastAsia" w:ascii="仿宋" w:hAnsi="仿宋" w:eastAsia="仿宋" w:cs="仿宋"/>
                <w:color w:val="auto"/>
                <w:sz w:val="24"/>
                <w:szCs w:val="24"/>
                <w:highlight w:val="none"/>
                <w:lang w:bidi="ar-SA"/>
              </w:rPr>
              <w:t>(3)</w:t>
            </w:r>
            <w:r>
              <w:rPr>
                <w:rFonts w:hint="eastAsia" w:ascii="仿宋" w:hAnsi="仿宋" w:eastAsia="仿宋" w:cs="仿宋"/>
                <w:color w:val="auto"/>
                <w:spacing w:val="-4"/>
                <w:sz w:val="24"/>
                <w:szCs w:val="24"/>
                <w:highlight w:val="none"/>
                <w:lang w:val="en-US" w:eastAsia="zh-CN" w:bidi="ar-SA"/>
              </w:rPr>
              <w:t>腐</w:t>
            </w:r>
            <w:r>
              <w:rPr>
                <w:rFonts w:hint="eastAsia" w:ascii="仿宋" w:hAnsi="仿宋" w:eastAsia="仿宋" w:cs="仿宋"/>
                <w:color w:val="auto"/>
                <w:spacing w:val="-4"/>
                <w:sz w:val="24"/>
                <w:szCs w:val="24"/>
                <w:highlight w:val="none"/>
                <w:lang w:eastAsia="zh-CN" w:bidi="ar-SA"/>
              </w:rPr>
              <w:t>败变质,油脂酸败,霉变,生虫,污秽不洁, 混有异物或者其他感官性状异常,含有毒有害物质污染,可能对人体健康有害的食品。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989" w:hRule="atLeast"/>
          <w:jc w:val="center"/>
        </w:trPr>
        <w:tc>
          <w:tcPr>
            <w:tcW w:w="947"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color w:val="auto"/>
                <w:sz w:val="24"/>
                <w:szCs w:val="24"/>
                <w:highlight w:val="none"/>
                <w:lang w:bidi="ar-SA"/>
              </w:rPr>
            </w:pP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面、粉干等</w:t>
            </w:r>
          </w:p>
        </w:tc>
        <w:tc>
          <w:tcPr>
            <w:tcW w:w="2629"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eastAsia="zh-CN" w:bidi="ar-SA"/>
              </w:rPr>
            </w:pPr>
            <w:r>
              <w:rPr>
                <w:rFonts w:hint="eastAsia" w:ascii="仿宋" w:hAnsi="仿宋" w:eastAsia="仿宋" w:cs="仿宋"/>
                <w:color w:val="auto"/>
                <w:spacing w:val="-4"/>
                <w:sz w:val="24"/>
                <w:szCs w:val="24"/>
                <w:highlight w:val="none"/>
                <w:lang w:eastAsia="zh-CN" w:bidi="ar-SA"/>
              </w:rPr>
              <w:t>提供的各类货品，保证新鲜度，注意保质期，外包装清洁卫生，完整坚固，且包装上的商品名称、厂址、规格等与内容物相符，标示清晰，批次清楚。</w:t>
            </w:r>
          </w:p>
        </w:tc>
        <w:tc>
          <w:tcPr>
            <w:tcW w:w="5371"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eastAsia="zh-CN" w:bidi="ar-SA"/>
              </w:rPr>
            </w:pPr>
            <w:r>
              <w:rPr>
                <w:rFonts w:hint="eastAsia" w:ascii="仿宋" w:hAnsi="仿宋" w:eastAsia="仿宋" w:cs="仿宋"/>
                <w:color w:val="auto"/>
                <w:spacing w:val="-4"/>
                <w:sz w:val="24"/>
                <w:szCs w:val="24"/>
                <w:highlight w:val="none"/>
                <w:lang w:eastAsia="zh-CN" w:bidi="ar-SA"/>
              </w:rPr>
              <w:t>(1)无品名、产地、厂名、生产日期、保质期及中文标识及原料说明的定型包装食品。</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eastAsia="zh-CN" w:bidi="ar-SA"/>
              </w:rPr>
            </w:pPr>
            <w:r>
              <w:rPr>
                <w:rFonts w:hint="eastAsia" w:ascii="仿宋" w:hAnsi="仿宋" w:eastAsia="仿宋" w:cs="仿宋"/>
                <w:color w:val="auto"/>
                <w:spacing w:val="-4"/>
                <w:sz w:val="24"/>
                <w:szCs w:val="24"/>
                <w:highlight w:val="none"/>
                <w:lang w:eastAsia="zh-CN" w:bidi="ar-SA"/>
              </w:rPr>
              <w:t>(2)超过保质期限或不符合食品标签规定的包装食品。</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eastAsia="zh-CN" w:bidi="ar-SA"/>
              </w:rPr>
            </w:pPr>
            <w:r>
              <w:rPr>
                <w:rFonts w:hint="eastAsia" w:ascii="仿宋" w:hAnsi="仿宋" w:eastAsia="仿宋" w:cs="仿宋"/>
                <w:color w:val="auto"/>
                <w:sz w:val="24"/>
                <w:szCs w:val="24"/>
                <w:highlight w:val="none"/>
                <w:lang w:bidi="ar-SA"/>
              </w:rPr>
              <w:t>(3)</w:t>
            </w:r>
            <w:r>
              <w:rPr>
                <w:rFonts w:hint="eastAsia" w:ascii="仿宋" w:hAnsi="仿宋" w:eastAsia="仿宋" w:cs="仿宋"/>
                <w:color w:val="auto"/>
                <w:spacing w:val="-4"/>
                <w:sz w:val="24"/>
                <w:szCs w:val="24"/>
                <w:highlight w:val="none"/>
                <w:lang w:eastAsia="zh-CN" w:bidi="ar-SA"/>
              </w:rPr>
              <w:t>腐败变质,霉变,生虫,污秽不洁, 混有异物或者其他感官性状异常,含有毒有害物质污染,可能对人体健康有害的食品。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874" w:hRule="atLeast"/>
          <w:jc w:val="center"/>
        </w:trPr>
        <w:tc>
          <w:tcPr>
            <w:tcW w:w="947"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调味品、副食品等</w:t>
            </w:r>
          </w:p>
        </w:tc>
        <w:tc>
          <w:tcPr>
            <w:tcW w:w="2629"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bidi="ar-SA"/>
              </w:rPr>
            </w:pPr>
            <w:r>
              <w:rPr>
                <w:rFonts w:hint="eastAsia" w:ascii="仿宋" w:hAnsi="仿宋" w:eastAsia="仿宋" w:cs="仿宋"/>
                <w:color w:val="auto"/>
                <w:spacing w:val="-4"/>
                <w:sz w:val="24"/>
                <w:szCs w:val="24"/>
                <w:highlight w:val="none"/>
                <w:lang w:eastAsia="zh-CN" w:bidi="ar-SA"/>
              </w:rPr>
              <w:t>提供</w:t>
            </w:r>
            <w:r>
              <w:rPr>
                <w:rFonts w:hint="eastAsia" w:ascii="仿宋" w:hAnsi="仿宋" w:eastAsia="仿宋" w:cs="仿宋"/>
                <w:color w:val="auto"/>
                <w:spacing w:val="-4"/>
                <w:sz w:val="24"/>
                <w:szCs w:val="24"/>
                <w:highlight w:val="none"/>
                <w:lang w:bidi="ar-SA"/>
              </w:rPr>
              <w:t>的各类货品，保证新鲜度，注意保质期，外包装清洁卫生，完整坚固，且包装上的商品名称、厂址、规格等与内容物相符，标示清晰，批次清楚。</w:t>
            </w:r>
          </w:p>
        </w:tc>
        <w:tc>
          <w:tcPr>
            <w:tcW w:w="5371"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bidi="ar-SA"/>
              </w:rPr>
            </w:pPr>
            <w:r>
              <w:rPr>
                <w:rFonts w:hint="eastAsia" w:ascii="仿宋" w:hAnsi="仿宋" w:eastAsia="仿宋" w:cs="仿宋"/>
                <w:color w:val="auto"/>
                <w:spacing w:val="-4"/>
                <w:sz w:val="24"/>
                <w:szCs w:val="24"/>
                <w:highlight w:val="none"/>
                <w:lang w:eastAsia="zh-CN" w:bidi="ar-SA"/>
              </w:rPr>
              <w:t>(1)无</w:t>
            </w:r>
            <w:r>
              <w:rPr>
                <w:rFonts w:hint="eastAsia" w:ascii="仿宋" w:hAnsi="仿宋" w:eastAsia="仿宋" w:cs="仿宋"/>
                <w:color w:val="auto"/>
                <w:spacing w:val="-4"/>
                <w:sz w:val="24"/>
                <w:szCs w:val="24"/>
                <w:highlight w:val="none"/>
                <w:lang w:bidi="ar-SA"/>
              </w:rPr>
              <w:t>品名、产地、厂名、生产日期、保质期及中文标识及原料说明的定型包装食品</w:t>
            </w:r>
            <w:r>
              <w:rPr>
                <w:rFonts w:hint="eastAsia" w:ascii="仿宋" w:hAnsi="仿宋" w:eastAsia="仿宋" w:cs="仿宋"/>
                <w:color w:val="auto"/>
                <w:spacing w:val="-4"/>
                <w:sz w:val="24"/>
                <w:szCs w:val="24"/>
                <w:highlight w:val="none"/>
                <w:lang w:eastAsia="zh-CN" w:bidi="ar-SA"/>
              </w:rPr>
              <w:t>。</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bidi="ar-SA"/>
              </w:rPr>
            </w:pPr>
            <w:r>
              <w:rPr>
                <w:rFonts w:hint="eastAsia" w:ascii="仿宋" w:hAnsi="仿宋" w:eastAsia="仿宋" w:cs="仿宋"/>
                <w:color w:val="auto"/>
                <w:spacing w:val="-4"/>
                <w:sz w:val="24"/>
                <w:szCs w:val="24"/>
                <w:highlight w:val="none"/>
                <w:lang w:eastAsia="zh-CN" w:bidi="ar-SA"/>
              </w:rPr>
              <w:t>(2)</w:t>
            </w:r>
            <w:r>
              <w:rPr>
                <w:rFonts w:hint="eastAsia" w:ascii="仿宋" w:hAnsi="仿宋" w:eastAsia="仿宋" w:cs="仿宋"/>
                <w:color w:val="auto"/>
                <w:spacing w:val="-4"/>
                <w:sz w:val="24"/>
                <w:szCs w:val="24"/>
                <w:highlight w:val="none"/>
                <w:lang w:bidi="ar-SA"/>
              </w:rPr>
              <w:t>超过保质期限或不符合食品标签规定的包装食品。</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bidi="ar-SA"/>
              </w:rPr>
            </w:pPr>
            <w:r>
              <w:rPr>
                <w:rFonts w:hint="eastAsia" w:ascii="仿宋" w:hAnsi="仿宋" w:eastAsia="仿宋" w:cs="仿宋"/>
                <w:color w:val="auto"/>
                <w:sz w:val="24"/>
                <w:szCs w:val="24"/>
                <w:highlight w:val="none"/>
                <w:lang w:bidi="ar-SA"/>
              </w:rPr>
              <w:t>(3)</w:t>
            </w:r>
            <w:r>
              <w:rPr>
                <w:rFonts w:hint="eastAsia" w:ascii="仿宋" w:hAnsi="仿宋" w:eastAsia="仿宋" w:cs="仿宋"/>
                <w:color w:val="auto"/>
                <w:spacing w:val="-4"/>
                <w:sz w:val="24"/>
                <w:szCs w:val="24"/>
                <w:highlight w:val="none"/>
                <w:lang w:bidi="ar-SA"/>
              </w:rPr>
              <w:t>腐败变质,油脂酸败,霉变,生虫,污秽不洁, 混有异物或者其他感官性状异常,含有毒有害物质污染,可能对人体健康有害的食品。</w:t>
            </w:r>
          </w:p>
        </w:tc>
      </w:tr>
    </w:tbl>
    <w:p>
      <w:pPr>
        <w:shd w:val="clear"/>
        <w:spacing w:before="101" w:line="225" w:lineRule="auto"/>
        <w:outlineLvl w:val="6"/>
        <w:rPr>
          <w:rFonts w:hint="eastAsia" w:ascii="仿宋" w:hAnsi="仿宋" w:eastAsia="仿宋" w:cs="仿宋"/>
          <w:b/>
          <w:color w:val="auto"/>
          <w:sz w:val="24"/>
          <w:szCs w:val="24"/>
          <w:highlight w:val="none"/>
          <w:lang w:val="en-US" w:eastAsia="zh-CN" w:bidi="ar-SA"/>
        </w:rPr>
      </w:pPr>
      <w:r>
        <w:rPr>
          <w:rFonts w:hint="eastAsia" w:ascii="仿宋" w:hAnsi="仿宋" w:eastAsia="仿宋" w:cs="仿宋"/>
          <w:b/>
          <w:color w:val="auto"/>
          <w:sz w:val="24"/>
          <w:szCs w:val="24"/>
          <w:highlight w:val="none"/>
          <w:lang w:val="en-US" w:eastAsia="zh-CN" w:bidi="ar-SA"/>
        </w:rPr>
        <w:t>1.5.3日用品类</w:t>
      </w:r>
    </w:p>
    <w:tbl>
      <w:tblPr>
        <w:tblStyle w:val="72"/>
        <w:tblW w:w="89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7"/>
        <w:gridCol w:w="2629"/>
        <w:gridCol w:w="53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629" w:hRule="atLeast"/>
          <w:jc w:val="center"/>
        </w:trPr>
        <w:tc>
          <w:tcPr>
            <w:tcW w:w="947"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品种</w:t>
            </w:r>
          </w:p>
        </w:tc>
        <w:tc>
          <w:tcPr>
            <w:tcW w:w="2629"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验收标准</w:t>
            </w:r>
          </w:p>
        </w:tc>
        <w:tc>
          <w:tcPr>
            <w:tcW w:w="5371"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b/>
                <w:bCs/>
                <w:color w:val="auto"/>
                <w:sz w:val="24"/>
                <w:szCs w:val="24"/>
                <w:highlight w:val="none"/>
                <w:lang w:bidi="ar-SA"/>
              </w:rPr>
            </w:pPr>
            <w:r>
              <w:rPr>
                <w:rFonts w:hint="eastAsia" w:ascii="仿宋" w:hAnsi="仿宋" w:eastAsia="仿宋" w:cs="仿宋"/>
                <w:b/>
                <w:bCs/>
                <w:color w:val="auto"/>
                <w:sz w:val="24"/>
                <w:szCs w:val="24"/>
                <w:highlight w:val="none"/>
                <w:lang w:bidi="ar-SA"/>
              </w:rPr>
              <w:t>退货依据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058" w:hRule="atLeast"/>
          <w:jc w:val="center"/>
        </w:trPr>
        <w:tc>
          <w:tcPr>
            <w:tcW w:w="947"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jc w:val="center"/>
              <w:textAlignment w:val="auto"/>
              <w:rPr>
                <w:rFonts w:hint="eastAsia" w:ascii="仿宋" w:hAnsi="仿宋" w:eastAsia="仿宋" w:cs="仿宋"/>
                <w:color w:val="auto"/>
                <w:sz w:val="24"/>
                <w:szCs w:val="24"/>
                <w:highlight w:val="none"/>
                <w:lang w:bidi="ar-SA"/>
              </w:rPr>
            </w:pPr>
            <w:r>
              <w:rPr>
                <w:rFonts w:hint="eastAsia" w:ascii="仿宋" w:hAnsi="仿宋" w:eastAsia="仿宋" w:cs="仿宋"/>
                <w:b w:val="0"/>
                <w:bCs/>
                <w:color w:val="auto"/>
                <w:sz w:val="24"/>
                <w:szCs w:val="24"/>
                <w:highlight w:val="none"/>
                <w:lang w:val="en-US" w:eastAsia="zh-CN" w:bidi="ar-SA"/>
              </w:rPr>
              <w:t>日用品类</w:t>
            </w:r>
          </w:p>
        </w:tc>
        <w:tc>
          <w:tcPr>
            <w:tcW w:w="2629"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pacing w:val="-4"/>
                <w:sz w:val="24"/>
                <w:szCs w:val="24"/>
                <w:highlight w:val="none"/>
                <w:lang w:eastAsia="zh-CN" w:bidi="ar-SA"/>
              </w:rPr>
              <w:t>提供</w:t>
            </w:r>
            <w:r>
              <w:rPr>
                <w:rFonts w:hint="eastAsia" w:ascii="仿宋" w:hAnsi="仿宋" w:eastAsia="仿宋" w:cs="仿宋"/>
                <w:color w:val="auto"/>
                <w:spacing w:val="-4"/>
                <w:sz w:val="24"/>
                <w:szCs w:val="24"/>
                <w:highlight w:val="none"/>
                <w:lang w:bidi="ar-SA"/>
              </w:rPr>
              <w:t>的各类货品，注意质保期，</w:t>
            </w:r>
            <w:r>
              <w:rPr>
                <w:rFonts w:hint="eastAsia" w:ascii="仿宋" w:hAnsi="仿宋" w:eastAsia="仿宋" w:cs="仿宋"/>
                <w:color w:val="auto"/>
                <w:spacing w:val="-4"/>
                <w:sz w:val="24"/>
                <w:szCs w:val="24"/>
                <w:highlight w:val="none"/>
                <w:lang w:eastAsia="zh-CN" w:bidi="ar-SA"/>
              </w:rPr>
              <w:t>产品本身</w:t>
            </w:r>
            <w:r>
              <w:rPr>
                <w:rFonts w:hint="eastAsia" w:ascii="仿宋" w:hAnsi="仿宋" w:eastAsia="仿宋" w:cs="仿宋"/>
                <w:color w:val="auto"/>
                <w:spacing w:val="-4"/>
                <w:sz w:val="24"/>
                <w:szCs w:val="24"/>
                <w:highlight w:val="none"/>
                <w:lang w:bidi="ar-SA"/>
              </w:rPr>
              <w:t>完整</w:t>
            </w:r>
            <w:r>
              <w:rPr>
                <w:rFonts w:hint="eastAsia" w:ascii="仿宋" w:hAnsi="仿宋" w:eastAsia="仿宋" w:cs="仿宋"/>
                <w:color w:val="auto"/>
                <w:spacing w:val="-4"/>
                <w:sz w:val="24"/>
                <w:szCs w:val="24"/>
                <w:highlight w:val="none"/>
                <w:lang w:eastAsia="zh-CN" w:bidi="ar-SA"/>
              </w:rPr>
              <w:t>无损，</w:t>
            </w:r>
            <w:r>
              <w:rPr>
                <w:rFonts w:hint="eastAsia" w:ascii="仿宋" w:hAnsi="仿宋" w:eastAsia="仿宋" w:cs="仿宋"/>
                <w:color w:val="auto"/>
                <w:spacing w:val="-4"/>
                <w:sz w:val="24"/>
                <w:szCs w:val="24"/>
                <w:highlight w:val="none"/>
                <w:lang w:bidi="ar-SA"/>
              </w:rPr>
              <w:t>外包装清洁卫生</w:t>
            </w:r>
            <w:r>
              <w:rPr>
                <w:rFonts w:hint="eastAsia" w:ascii="仿宋" w:hAnsi="仿宋" w:eastAsia="仿宋" w:cs="仿宋"/>
                <w:color w:val="auto"/>
                <w:spacing w:val="-4"/>
                <w:sz w:val="24"/>
                <w:szCs w:val="24"/>
                <w:highlight w:val="none"/>
                <w:lang w:eastAsia="zh-CN" w:bidi="ar-SA"/>
              </w:rPr>
              <w:t>、</w:t>
            </w:r>
            <w:r>
              <w:rPr>
                <w:rFonts w:hint="eastAsia" w:ascii="仿宋" w:hAnsi="仿宋" w:eastAsia="仿宋" w:cs="仿宋"/>
                <w:color w:val="auto"/>
                <w:spacing w:val="-4"/>
                <w:sz w:val="24"/>
                <w:szCs w:val="24"/>
                <w:highlight w:val="none"/>
                <w:lang w:bidi="ar-SA"/>
              </w:rPr>
              <w:t>完整坚固，且包装上的商品名称、厂址、规格等与内容物相符，标示清晰，批次清楚。</w:t>
            </w:r>
          </w:p>
        </w:tc>
        <w:tc>
          <w:tcPr>
            <w:tcW w:w="5371" w:type="dxa"/>
            <w:tcBorders>
              <w:top w:val="single" w:color="000000" w:sz="4" w:space="0"/>
              <w:left w:val="single" w:color="000000" w:sz="4" w:space="0"/>
              <w:bottom w:val="single" w:color="000000" w:sz="4" w:space="0"/>
              <w:right w:val="single" w:color="000000" w:sz="4" w:space="0"/>
            </w:tcBorders>
            <w:vAlign w:val="center"/>
          </w:tcPr>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bidi="ar-SA"/>
              </w:rPr>
            </w:pPr>
            <w:r>
              <w:rPr>
                <w:rFonts w:hint="eastAsia" w:ascii="仿宋" w:hAnsi="仿宋" w:eastAsia="仿宋" w:cs="仿宋"/>
                <w:color w:val="auto"/>
                <w:spacing w:val="-4"/>
                <w:sz w:val="24"/>
                <w:szCs w:val="24"/>
                <w:highlight w:val="none"/>
                <w:lang w:eastAsia="zh-CN" w:bidi="ar-SA"/>
              </w:rPr>
              <w:t>(1)无</w:t>
            </w:r>
            <w:r>
              <w:rPr>
                <w:rFonts w:hint="eastAsia" w:ascii="仿宋" w:hAnsi="仿宋" w:eastAsia="仿宋" w:cs="仿宋"/>
                <w:color w:val="auto"/>
                <w:spacing w:val="-4"/>
                <w:sz w:val="24"/>
                <w:szCs w:val="24"/>
                <w:highlight w:val="none"/>
                <w:lang w:bidi="ar-SA"/>
              </w:rPr>
              <w:t>品名、产地、厂名、生产日期、质保期及中文标识及原料说明的定型包装</w:t>
            </w:r>
            <w:r>
              <w:rPr>
                <w:rFonts w:hint="eastAsia" w:ascii="仿宋" w:hAnsi="仿宋" w:eastAsia="仿宋" w:cs="仿宋"/>
                <w:color w:val="auto"/>
                <w:spacing w:val="-4"/>
                <w:sz w:val="24"/>
                <w:szCs w:val="24"/>
                <w:highlight w:val="none"/>
                <w:lang w:eastAsia="zh-CN" w:bidi="ar-SA"/>
              </w:rPr>
              <w:t>产品。</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pacing w:val="-4"/>
                <w:sz w:val="24"/>
                <w:szCs w:val="24"/>
                <w:highlight w:val="none"/>
                <w:lang w:bidi="ar-SA"/>
              </w:rPr>
            </w:pPr>
            <w:r>
              <w:rPr>
                <w:rFonts w:hint="eastAsia" w:ascii="仿宋" w:hAnsi="仿宋" w:eastAsia="仿宋" w:cs="仿宋"/>
                <w:color w:val="auto"/>
                <w:spacing w:val="-4"/>
                <w:sz w:val="24"/>
                <w:szCs w:val="24"/>
                <w:highlight w:val="none"/>
                <w:lang w:eastAsia="zh-CN" w:bidi="ar-SA"/>
              </w:rPr>
              <w:t>(2)</w:t>
            </w:r>
            <w:r>
              <w:rPr>
                <w:rFonts w:hint="eastAsia" w:ascii="仿宋" w:hAnsi="仿宋" w:eastAsia="仿宋" w:cs="仿宋"/>
                <w:color w:val="auto"/>
                <w:spacing w:val="-4"/>
                <w:sz w:val="24"/>
                <w:szCs w:val="24"/>
                <w:highlight w:val="none"/>
                <w:lang w:bidi="ar-SA"/>
              </w:rPr>
              <w:t>霉变</w:t>
            </w:r>
            <w:r>
              <w:rPr>
                <w:rFonts w:hint="eastAsia" w:ascii="仿宋" w:hAnsi="仿宋" w:eastAsia="仿宋" w:cs="仿宋"/>
                <w:color w:val="auto"/>
                <w:spacing w:val="-4"/>
                <w:sz w:val="24"/>
                <w:szCs w:val="24"/>
                <w:highlight w:val="none"/>
                <w:lang w:eastAsia="zh-CN" w:bidi="ar-SA"/>
              </w:rPr>
              <w:t>，</w:t>
            </w:r>
            <w:r>
              <w:rPr>
                <w:rFonts w:hint="eastAsia" w:ascii="仿宋" w:hAnsi="仿宋" w:eastAsia="仿宋" w:cs="仿宋"/>
                <w:color w:val="auto"/>
                <w:spacing w:val="-4"/>
                <w:sz w:val="24"/>
                <w:szCs w:val="24"/>
                <w:highlight w:val="none"/>
                <w:lang w:bidi="ar-SA"/>
              </w:rPr>
              <w:t>生虫</w:t>
            </w:r>
            <w:r>
              <w:rPr>
                <w:rFonts w:hint="eastAsia" w:ascii="仿宋" w:hAnsi="仿宋" w:eastAsia="仿宋" w:cs="仿宋"/>
                <w:color w:val="auto"/>
                <w:spacing w:val="-4"/>
                <w:sz w:val="24"/>
                <w:szCs w:val="24"/>
                <w:highlight w:val="none"/>
                <w:lang w:eastAsia="zh-CN" w:bidi="ar-SA"/>
              </w:rPr>
              <w:t>，</w:t>
            </w:r>
            <w:r>
              <w:rPr>
                <w:rFonts w:hint="eastAsia" w:ascii="仿宋" w:hAnsi="仿宋" w:eastAsia="仿宋" w:cs="仿宋"/>
                <w:color w:val="auto"/>
                <w:spacing w:val="-4"/>
                <w:sz w:val="24"/>
                <w:szCs w:val="24"/>
                <w:highlight w:val="none"/>
                <w:lang w:bidi="ar-SA"/>
              </w:rPr>
              <w:t>污秽不洁</w:t>
            </w:r>
            <w:r>
              <w:rPr>
                <w:rFonts w:hint="eastAsia" w:ascii="仿宋" w:hAnsi="仿宋" w:eastAsia="仿宋" w:cs="仿宋"/>
                <w:color w:val="auto"/>
                <w:spacing w:val="-4"/>
                <w:sz w:val="24"/>
                <w:szCs w:val="24"/>
                <w:highlight w:val="none"/>
                <w:lang w:eastAsia="zh-CN" w:bidi="ar-SA"/>
              </w:rPr>
              <w:t>，</w:t>
            </w:r>
            <w:r>
              <w:rPr>
                <w:rFonts w:hint="eastAsia" w:ascii="仿宋" w:hAnsi="仿宋" w:eastAsia="仿宋" w:cs="仿宋"/>
                <w:color w:val="auto"/>
                <w:spacing w:val="-4"/>
                <w:sz w:val="24"/>
                <w:szCs w:val="24"/>
                <w:highlight w:val="none"/>
                <w:lang w:bidi="ar-SA"/>
              </w:rPr>
              <w:t>混有异物或者其他感官性状异常</w:t>
            </w:r>
            <w:r>
              <w:rPr>
                <w:rFonts w:hint="eastAsia" w:ascii="仿宋" w:hAnsi="仿宋" w:eastAsia="仿宋" w:cs="仿宋"/>
                <w:color w:val="auto"/>
                <w:spacing w:val="-4"/>
                <w:sz w:val="24"/>
                <w:szCs w:val="24"/>
                <w:highlight w:val="none"/>
                <w:lang w:eastAsia="zh-CN" w:bidi="ar-SA"/>
              </w:rPr>
              <w:t>，</w:t>
            </w:r>
            <w:r>
              <w:rPr>
                <w:rFonts w:hint="eastAsia" w:ascii="仿宋" w:hAnsi="仿宋" w:eastAsia="仿宋" w:cs="仿宋"/>
                <w:color w:val="auto"/>
                <w:spacing w:val="-4"/>
                <w:sz w:val="24"/>
                <w:szCs w:val="24"/>
                <w:highlight w:val="none"/>
                <w:lang w:bidi="ar-SA"/>
              </w:rPr>
              <w:t>含有毒有害物质污染</w:t>
            </w:r>
            <w:r>
              <w:rPr>
                <w:rFonts w:hint="eastAsia" w:ascii="仿宋" w:hAnsi="仿宋" w:eastAsia="仿宋" w:cs="仿宋"/>
                <w:color w:val="auto"/>
                <w:spacing w:val="-4"/>
                <w:sz w:val="24"/>
                <w:szCs w:val="24"/>
                <w:highlight w:val="none"/>
                <w:lang w:eastAsia="zh-CN" w:bidi="ar-SA"/>
              </w:rPr>
              <w:t>，</w:t>
            </w:r>
            <w:r>
              <w:rPr>
                <w:rFonts w:hint="eastAsia" w:ascii="仿宋" w:hAnsi="仿宋" w:eastAsia="仿宋" w:cs="仿宋"/>
                <w:color w:val="auto"/>
                <w:spacing w:val="-4"/>
                <w:sz w:val="24"/>
                <w:szCs w:val="24"/>
                <w:highlight w:val="none"/>
                <w:lang w:bidi="ar-SA"/>
              </w:rPr>
              <w:t>可能对人体健康有害的</w:t>
            </w:r>
            <w:r>
              <w:rPr>
                <w:rFonts w:hint="eastAsia" w:ascii="仿宋" w:hAnsi="仿宋" w:eastAsia="仿宋" w:cs="仿宋"/>
                <w:color w:val="auto"/>
                <w:spacing w:val="-4"/>
                <w:sz w:val="24"/>
                <w:szCs w:val="24"/>
                <w:highlight w:val="none"/>
                <w:lang w:eastAsia="zh-CN" w:bidi="ar-SA"/>
              </w:rPr>
              <w:t>产品</w:t>
            </w:r>
            <w:r>
              <w:rPr>
                <w:rFonts w:hint="eastAsia" w:ascii="仿宋" w:hAnsi="仿宋" w:eastAsia="仿宋" w:cs="仿宋"/>
                <w:color w:val="auto"/>
                <w:spacing w:val="-4"/>
                <w:sz w:val="24"/>
                <w:szCs w:val="24"/>
                <w:highlight w:val="none"/>
                <w:lang w:bidi="ar-SA"/>
              </w:rPr>
              <w:t>。</w:t>
            </w:r>
          </w:p>
          <w:p>
            <w:pPr>
              <w:pStyle w:val="955"/>
              <w:keepNext w:val="0"/>
              <w:keepLines w:val="0"/>
              <w:pageBreakBefore w:val="0"/>
              <w:widowControl w:val="0"/>
              <w:shd w:val="clear"/>
              <w:kinsoku/>
              <w:wordWrap/>
              <w:overflowPunct/>
              <w:topLinePunct w:val="0"/>
              <w:autoSpaceDE w:val="0"/>
              <w:autoSpaceDN w:val="0"/>
              <w:bidi w:val="0"/>
              <w:adjustRightInd/>
              <w:snapToGrid/>
              <w:spacing w:line="240" w:lineRule="auto"/>
              <w:ind w:left="0" w:right="0" w:firstLine="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(3)</w:t>
            </w:r>
            <w:r>
              <w:rPr>
                <w:rFonts w:hint="eastAsia" w:ascii="仿宋" w:hAnsi="仿宋" w:eastAsia="仿宋" w:cs="仿宋"/>
                <w:color w:val="auto"/>
                <w:sz w:val="24"/>
                <w:szCs w:val="24"/>
                <w:highlight w:val="none"/>
                <w:lang w:eastAsia="zh-CN" w:bidi="ar-SA"/>
              </w:rPr>
              <w:t>到货抽查或在质保期内出现</w:t>
            </w:r>
            <w:r>
              <w:rPr>
                <w:rFonts w:hint="eastAsia" w:ascii="仿宋" w:hAnsi="仿宋" w:eastAsia="仿宋" w:cs="仿宋"/>
                <w:color w:val="auto"/>
                <w:spacing w:val="-4"/>
                <w:sz w:val="24"/>
                <w:szCs w:val="24"/>
                <w:highlight w:val="none"/>
                <w:lang w:eastAsia="zh-CN" w:bidi="ar-SA"/>
              </w:rPr>
              <w:t>破损、变形，影响正常使用的产品</w:t>
            </w:r>
            <w:r>
              <w:rPr>
                <w:rFonts w:hint="eastAsia" w:ascii="仿宋" w:hAnsi="仿宋" w:eastAsia="仿宋" w:cs="仿宋"/>
                <w:color w:val="auto"/>
                <w:spacing w:val="-4"/>
                <w:sz w:val="24"/>
                <w:szCs w:val="24"/>
                <w:highlight w:val="none"/>
                <w:lang w:bidi="ar-SA"/>
              </w:rPr>
              <w:t>。</w:t>
            </w:r>
          </w:p>
        </w:tc>
      </w:tr>
    </w:tbl>
    <w:p>
      <w:pPr>
        <w:shd w:val="clear"/>
        <w:spacing w:before="101" w:line="225" w:lineRule="auto"/>
        <w:outlineLvl w:val="6"/>
        <w:rPr>
          <w:rFonts w:hint="eastAsia" w:ascii="仿宋" w:hAnsi="仿宋" w:eastAsia="仿宋" w:cs="仿宋"/>
          <w:color w:val="auto"/>
          <w:sz w:val="24"/>
          <w:szCs w:val="24"/>
          <w:highlight w:val="none"/>
        </w:rPr>
      </w:pPr>
      <w:r>
        <w:rPr>
          <w:rFonts w:hint="eastAsia" w:ascii="仿宋" w:hAnsi="仿宋" w:eastAsia="仿宋" w:cs="仿宋"/>
          <w:b/>
          <w:bCs/>
          <w:color w:val="auto"/>
          <w:spacing w:val="4"/>
          <w:sz w:val="28"/>
          <w:szCs w:val="28"/>
          <w:highlight w:val="none"/>
          <w:lang w:val="en-US" w:eastAsia="zh-CN"/>
        </w:rPr>
        <w:t>2.</w:t>
      </w:r>
      <w:r>
        <w:rPr>
          <w:rFonts w:hint="eastAsia" w:ascii="仿宋" w:hAnsi="仿宋" w:eastAsia="仿宋" w:cs="仿宋"/>
          <w:b/>
          <w:bCs/>
          <w:color w:val="auto"/>
          <w:spacing w:val="4"/>
          <w:sz w:val="28"/>
          <w:szCs w:val="28"/>
          <w:highlight w:val="none"/>
        </w:rPr>
        <w:t>商务要求</w:t>
      </w:r>
    </w:p>
    <w:p>
      <w:pPr>
        <w:keepNext w:val="0"/>
        <w:keepLines w:val="0"/>
        <w:pageBreakBefore w:val="0"/>
        <w:widowControl w:val="0"/>
        <w:shd w:val="clear"/>
        <w:kinsoku/>
        <w:wordWrap/>
        <w:overflowPunct/>
        <w:topLinePunct w:val="0"/>
        <w:bidi w:val="0"/>
        <w:spacing w:line="420" w:lineRule="exact"/>
        <w:ind w:firstLine="0"/>
        <w:textAlignment w:val="auto"/>
        <w:rPr>
          <w:rFonts w:hint="eastAsia" w:ascii="仿宋" w:hAnsi="仿宋" w:eastAsia="仿宋" w:cs="仿宋"/>
          <w:b/>
          <w:color w:val="auto"/>
          <w:sz w:val="24"/>
          <w:szCs w:val="24"/>
          <w:highlight w:val="none"/>
          <w:lang w:bidi="ar-SA"/>
        </w:rPr>
      </w:pPr>
      <w:r>
        <w:rPr>
          <w:rFonts w:hint="eastAsia" w:ascii="仿宋" w:hAnsi="仿宋" w:eastAsia="仿宋" w:cs="仿宋"/>
          <w:b/>
          <w:color w:val="auto"/>
          <w:sz w:val="24"/>
          <w:szCs w:val="24"/>
          <w:highlight w:val="none"/>
          <w:lang w:val="en-US" w:eastAsia="zh-CN" w:bidi="ar-SA"/>
        </w:rPr>
        <w:t>2.1</w:t>
      </w:r>
      <w:r>
        <w:rPr>
          <w:rFonts w:hint="eastAsia" w:ascii="仿宋" w:hAnsi="仿宋" w:eastAsia="仿宋" w:cs="仿宋"/>
          <w:b/>
          <w:color w:val="auto"/>
          <w:sz w:val="24"/>
          <w:szCs w:val="24"/>
          <w:highlight w:val="none"/>
          <w:lang w:bidi="ar-SA"/>
        </w:rPr>
        <w:t>供应物品的定价方式</w:t>
      </w:r>
    </w:p>
    <w:p>
      <w:pPr>
        <w:keepNext w:val="0"/>
        <w:keepLines w:val="0"/>
        <w:pageBreakBefore w:val="0"/>
        <w:widowControl w:val="0"/>
        <w:shd w:val="clear"/>
        <w:kinsoku/>
        <w:wordWrap/>
        <w:overflowPunct/>
        <w:topLinePunct w:val="0"/>
        <w:bidi w:val="0"/>
        <w:spacing w:line="420" w:lineRule="exact"/>
        <w:ind w:firstLine="480" w:firstLineChars="200"/>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2.1.1</w:t>
      </w:r>
      <w:r>
        <w:rPr>
          <w:rFonts w:hint="eastAsia" w:ascii="仿宋" w:hAnsi="仿宋" w:eastAsia="仿宋" w:cs="仿宋"/>
          <w:color w:val="auto"/>
          <w:sz w:val="24"/>
          <w:szCs w:val="24"/>
          <w:highlight w:val="none"/>
          <w:lang w:bidi="ar-SA"/>
        </w:rPr>
        <w:t>投标报价（下浮率）的确定：</w:t>
      </w:r>
    </w:p>
    <w:p>
      <w:pPr>
        <w:keepNext w:val="0"/>
        <w:keepLines w:val="0"/>
        <w:pageBreakBefore w:val="0"/>
        <w:widowControl w:val="0"/>
        <w:shd w:val="clear"/>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val="en-US" w:eastAsia="zh-CN" w:bidi="ar-SA"/>
        </w:rPr>
        <w:t>2.1.1.1</w:t>
      </w:r>
      <w:r>
        <w:rPr>
          <w:rFonts w:hint="eastAsia" w:ascii="仿宋" w:hAnsi="仿宋" w:eastAsia="仿宋" w:cs="仿宋"/>
          <w:color w:val="auto"/>
          <w:kern w:val="0"/>
          <w:sz w:val="24"/>
          <w:szCs w:val="22"/>
          <w:highlight w:val="none"/>
          <w:lang w:val="en-US" w:eastAsia="zh-CN" w:bidi="ar-SA"/>
        </w:rPr>
        <w:t xml:space="preserve"> 标项一、二投标报价以绍兴市E价通（http://jgjg.sx.gov.cn/)公布的大江农贸市场的参考价及采购人公示的采购清单的基准价报下浮率。</w:t>
      </w:r>
    </w:p>
    <w:p>
      <w:pPr>
        <w:keepNext w:val="0"/>
        <w:keepLines w:val="0"/>
        <w:pageBreakBefore w:val="0"/>
        <w:widowControl w:val="0"/>
        <w:shd w:val="clear"/>
        <w:kinsoku/>
        <w:wordWrap/>
        <w:overflowPunct/>
        <w:topLinePunct w:val="0"/>
        <w:bidi w:val="0"/>
        <w:spacing w:line="420" w:lineRule="exact"/>
        <w:ind w:firstLine="482"/>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highlight w:val="none"/>
          <w:lang w:val="en-US" w:eastAsia="zh-CN" w:bidi="ar-SA"/>
        </w:rPr>
        <w:t xml:space="preserve">2.1.1.2 </w:t>
      </w:r>
      <w:r>
        <w:rPr>
          <w:rFonts w:hint="eastAsia" w:ascii="仿宋" w:hAnsi="仿宋" w:eastAsia="仿宋" w:cs="仿宋"/>
          <w:color w:val="auto"/>
          <w:sz w:val="24"/>
          <w:szCs w:val="24"/>
          <w:highlight w:val="none"/>
          <w:lang w:bidi="ar-SA"/>
        </w:rPr>
        <w:t>在服务期限内中标报价下浮率为固定不变,无论市场价格怎么变化,双方都不得以任何理由单方面进行变更。报价应包含</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color w:val="auto"/>
          <w:sz w:val="24"/>
          <w:szCs w:val="24"/>
          <w:highlight w:val="none"/>
          <w:lang w:bidi="ar-SA"/>
        </w:rPr>
        <w:t>提供货物价款、人员的劳务(劳动、社会、医疗、安全)、仓储费、装卸车费、途中运输费、途中损耗费、检测、验收费、保险费、税金等所有费用。如有漏项,视同已包含在其总价中合同总价不予调整。</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leftChars="0" w:firstLine="0" w:firstLineChars="0"/>
        <w:contextualSpacing/>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2.2付款方式</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firstLine="480" w:firstLineChars="200"/>
        <w:contextualSpacing/>
        <w:textAlignment w:val="auto"/>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bidi="ar-SA"/>
        </w:rPr>
        <w:t>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firstLine="480" w:firstLineChars="200"/>
        <w:contextualSpacing/>
        <w:textAlignment w:val="auto"/>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val="en-US" w:eastAsia="zh-CN" w:bidi="ar-SA"/>
        </w:rPr>
        <w:t>2.2.1</w:t>
      </w:r>
      <w:r>
        <w:rPr>
          <w:rFonts w:hint="eastAsia" w:ascii="仿宋" w:hAnsi="仿宋" w:eastAsia="仿宋" w:cs="仿宋"/>
          <w:color w:val="auto"/>
          <w:sz w:val="24"/>
          <w:highlight w:val="none"/>
          <w:lang w:bidi="ar-SA"/>
        </w:rPr>
        <w:t>每月结算一次。</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highlight w:val="none"/>
          <w:lang w:bidi="ar-SA"/>
        </w:rPr>
        <w:t>提供增值税发票和</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sz w:val="24"/>
          <w:highlight w:val="none"/>
          <w:lang w:bidi="ar-SA"/>
        </w:rPr>
        <w:t>签字确认的对账单在30天内付清。</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firstLine="480" w:firstLineChars="200"/>
        <w:contextualSpacing/>
        <w:jc w:val="both"/>
        <w:textAlignment w:val="auto"/>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2.2.2结算价格依据：蔬菜综合类（蔬菜、豆制品、面制品、干货）、鲜活畜类（禽蛋）、肉类、冷冻类、鲜活水产品类、调味品类等主要食材结算价根据绍兴市E价通（http://jgjg.sx.gov.cn/)每月5日、15日、25日公布的大江农贸市场的价格取算术平均数作为基准价*（1-分项下浮率）*供货数量进行结算；大米粮油等物资及厨房配套日用品结算价根据采购清单基准价*（1-分项下浮率）*供货数量进行结算。无基准价或网站没有及时更新报价，由</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color w:val="auto"/>
          <w:sz w:val="24"/>
          <w:highlight w:val="none"/>
          <w:lang w:val="en-US" w:eastAsia="zh-CN" w:bidi="ar-SA"/>
        </w:rPr>
        <w:t>在保证食材新鲜和质量安全的前提下就近采购原则自行选择大型农贸市场的产品，并在结算申请附件中注明具体农贸市场的名称及产品门市价、下浮后的价格等，作为</w:t>
      </w:r>
      <w:bookmarkStart w:id="52" w:name="OLE_LINK5"/>
      <w:r>
        <w:rPr>
          <w:rFonts w:hint="eastAsia" w:ascii="仿宋" w:hAnsi="仿宋" w:eastAsia="仿宋" w:cs="仿宋"/>
          <w:color w:val="auto"/>
          <w:sz w:val="24"/>
          <w:highlight w:val="none"/>
          <w:lang w:val="en-US" w:eastAsia="zh-CN" w:bidi="ar-SA"/>
        </w:rPr>
        <w:t>采购人</w:t>
      </w:r>
      <w:bookmarkEnd w:id="52"/>
      <w:r>
        <w:rPr>
          <w:rFonts w:hint="eastAsia" w:ascii="仿宋" w:hAnsi="仿宋" w:eastAsia="仿宋" w:cs="仿宋"/>
          <w:color w:val="auto"/>
          <w:sz w:val="24"/>
          <w:highlight w:val="none"/>
          <w:lang w:val="en-US" w:eastAsia="zh-CN" w:bidi="ar-SA"/>
        </w:rPr>
        <w:t>结算审核的资料，并经采购人审核通过后结算。</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firstLine="480" w:firstLineChars="200"/>
        <w:contextualSpacing/>
        <w:jc w:val="both"/>
        <w:textAlignment w:val="auto"/>
        <w:rPr>
          <w:rFonts w:hint="eastAsia"/>
          <w:color w:val="auto"/>
          <w:highlight w:val="none"/>
          <w:lang w:val="en-US" w:eastAsia="zh-CN"/>
        </w:rPr>
      </w:pPr>
      <w:r>
        <w:rPr>
          <w:rFonts w:hint="eastAsia" w:ascii="仿宋" w:hAnsi="仿宋" w:eastAsia="仿宋" w:cs="仿宋"/>
          <w:color w:val="auto"/>
          <w:sz w:val="24"/>
          <w:highlight w:val="none"/>
          <w:lang w:val="en-US" w:eastAsia="zh-CN" w:bidi="ar-SA"/>
        </w:rPr>
        <w:t>2.2.3清单内涉及的产品参考基准价合同期内不做调整。</w:t>
      </w:r>
    </w:p>
    <w:p>
      <w:pPr>
        <w:pStyle w:val="38"/>
        <w:keepNext w:val="0"/>
        <w:keepLines w:val="0"/>
        <w:pageBreakBefore w:val="0"/>
        <w:widowControl w:val="0"/>
        <w:shd w:val="clear"/>
        <w:kinsoku/>
        <w:wordWrap/>
        <w:overflowPunct/>
        <w:topLinePunct w:val="0"/>
        <w:bidi w:val="0"/>
        <w:spacing w:after="0" w:line="420" w:lineRule="exact"/>
        <w:ind w:left="0" w:leftChars="0" w:firstLine="0" w:firstLineChars="0"/>
        <w:textAlignment w:val="auto"/>
        <w:rPr>
          <w:rFonts w:hint="eastAsia" w:ascii="仿宋" w:hAnsi="仿宋" w:eastAsia="仿宋" w:cs="仿宋"/>
          <w:b/>
          <w:color w:val="auto"/>
          <w:sz w:val="24"/>
          <w:szCs w:val="24"/>
          <w:highlight w:val="none"/>
          <w:lang w:bidi="ar-SA"/>
        </w:rPr>
      </w:pPr>
      <w:r>
        <w:rPr>
          <w:rFonts w:hint="eastAsia" w:ascii="仿宋" w:hAnsi="仿宋" w:eastAsia="仿宋" w:cs="仿宋"/>
          <w:b/>
          <w:color w:val="auto"/>
          <w:sz w:val="24"/>
          <w:szCs w:val="24"/>
          <w:highlight w:val="none"/>
          <w:lang w:val="en-US" w:eastAsia="zh-CN" w:bidi="ar-SA"/>
        </w:rPr>
        <w:t>2.3</w:t>
      </w:r>
      <w:r>
        <w:rPr>
          <w:rFonts w:hint="eastAsia" w:ascii="仿宋" w:hAnsi="仿宋" w:eastAsia="仿宋" w:cs="仿宋"/>
          <w:b/>
          <w:color w:val="auto"/>
          <w:sz w:val="24"/>
          <w:szCs w:val="24"/>
          <w:highlight w:val="none"/>
          <w:lang w:val="en-US" w:eastAsia="en-US" w:bidi="ar-SA"/>
        </w:rPr>
        <w:t>履约保证金</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firstLine="480" w:firstLineChars="200"/>
        <w:contextualSpacing/>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采购人在签订合同时，向</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bCs/>
          <w:color w:val="auto"/>
          <w:sz w:val="24"/>
          <w:szCs w:val="24"/>
          <w:highlight w:val="none"/>
          <w:lang w:val="en-US" w:eastAsia="zh-CN" w:bidi="ar-SA"/>
        </w:rPr>
        <w:t>收取中标额的1%的履约保证金，采购人不得以</w:t>
      </w:r>
      <w:r>
        <w:rPr>
          <w:rFonts w:hint="eastAsia" w:ascii="仿宋" w:hAnsi="仿宋" w:eastAsia="仿宋" w:cs="仿宋"/>
          <w:color w:val="auto"/>
          <w:sz w:val="24"/>
          <w:szCs w:val="24"/>
          <w:highlight w:val="none"/>
          <w:lang w:val="en-US" w:eastAsia="zh-CN" w:bidi="ar-SA"/>
        </w:rPr>
        <w:t>供应商</w:t>
      </w:r>
      <w:r>
        <w:rPr>
          <w:rFonts w:hint="eastAsia" w:ascii="仿宋" w:hAnsi="仿宋" w:eastAsia="仿宋" w:cs="仿宋"/>
          <w:bCs/>
          <w:color w:val="auto"/>
          <w:sz w:val="24"/>
          <w:szCs w:val="24"/>
          <w:highlight w:val="none"/>
          <w:lang w:val="en-US" w:eastAsia="zh-CN" w:bidi="ar-SA"/>
        </w:rPr>
        <w:t>事先提交履约保证金作为签订合同的条件。项目结束后，采购人应及时退还履约保证金。</w:t>
      </w:r>
    </w:p>
    <w:p>
      <w:pPr>
        <w:pStyle w:val="38"/>
        <w:keepNext w:val="0"/>
        <w:keepLines w:val="0"/>
        <w:pageBreakBefore w:val="0"/>
        <w:widowControl w:val="0"/>
        <w:shd w:val="clear"/>
        <w:kinsoku/>
        <w:wordWrap/>
        <w:overflowPunct/>
        <w:topLinePunct w:val="0"/>
        <w:bidi w:val="0"/>
        <w:spacing w:after="0" w:line="420" w:lineRule="exact"/>
        <w:ind w:left="0" w:leftChars="0" w:firstLine="0" w:firstLineChars="0"/>
        <w:textAlignment w:val="auto"/>
        <w:rPr>
          <w:rFonts w:hint="eastAsia" w:ascii="仿宋" w:hAnsi="仿宋" w:eastAsia="仿宋" w:cs="仿宋"/>
          <w:b/>
          <w:color w:val="auto"/>
          <w:sz w:val="24"/>
          <w:szCs w:val="24"/>
          <w:highlight w:val="none"/>
          <w:lang w:val="en-US" w:eastAsia="zh-CN" w:bidi="ar-SA"/>
        </w:rPr>
      </w:pPr>
      <w:r>
        <w:rPr>
          <w:rFonts w:hint="eastAsia" w:ascii="仿宋" w:hAnsi="仿宋" w:eastAsia="仿宋" w:cs="仿宋"/>
          <w:b/>
          <w:color w:val="auto"/>
          <w:sz w:val="24"/>
          <w:szCs w:val="24"/>
          <w:highlight w:val="none"/>
          <w:lang w:val="en-US" w:eastAsia="zh-CN" w:bidi="ar-SA"/>
        </w:rPr>
        <w:t>2.4售后服务</w:t>
      </w:r>
    </w:p>
    <w:p>
      <w:pPr>
        <w:pStyle w:val="968"/>
        <w:keepNext w:val="0"/>
        <w:keepLines w:val="0"/>
        <w:pageBreakBefore w:val="0"/>
        <w:widowControl/>
        <w:shd w:val="clear"/>
        <w:kinsoku/>
        <w:wordWrap/>
        <w:overflowPunct/>
        <w:topLinePunct w:val="0"/>
        <w:autoSpaceDE/>
        <w:autoSpaceDN/>
        <w:bidi w:val="0"/>
        <w:adjustRightInd/>
        <w:snapToGrid/>
        <w:spacing w:after="0" w:line="420" w:lineRule="exact"/>
        <w:ind w:left="0" w:firstLine="480" w:firstLineChars="200"/>
        <w:contextualSpacing/>
        <w:textAlignment w:val="auto"/>
        <w:rPr>
          <w:rFonts w:hint="eastAsia" w:ascii="仿宋" w:hAnsi="仿宋" w:eastAsia="仿宋" w:cs="仿宋"/>
          <w:bCs/>
          <w:color w:val="auto"/>
          <w:sz w:val="24"/>
          <w:szCs w:val="24"/>
          <w:highlight w:val="none"/>
          <w:lang w:val="en-US" w:eastAsia="zh-CN" w:bidi="ar-SA"/>
        </w:rPr>
      </w:pPr>
      <w:r>
        <w:rPr>
          <w:rFonts w:hint="eastAsia" w:ascii="仿宋" w:hAnsi="仿宋" w:eastAsia="仿宋" w:cs="仿宋"/>
          <w:bCs/>
          <w:color w:val="auto"/>
          <w:sz w:val="24"/>
          <w:szCs w:val="24"/>
          <w:highlight w:val="none"/>
          <w:lang w:val="en-US" w:eastAsia="zh-CN" w:bidi="ar-SA"/>
        </w:rPr>
        <w:t>对食品质量问题在30分钟内响应，2小时以内到现场解决问题；不能当场解决的，必须采取更换等措施，以保证</w:t>
      </w:r>
      <w:r>
        <w:rPr>
          <w:rFonts w:hint="eastAsia" w:ascii="仿宋" w:hAnsi="仿宋" w:eastAsia="仿宋" w:cs="仿宋"/>
          <w:color w:val="auto"/>
          <w:sz w:val="24"/>
          <w:highlight w:val="none"/>
          <w:lang w:val="en-US" w:eastAsia="zh-CN" w:bidi="ar-SA"/>
        </w:rPr>
        <w:t>采购人</w:t>
      </w:r>
      <w:r>
        <w:rPr>
          <w:rFonts w:hint="eastAsia" w:ascii="仿宋" w:hAnsi="仿宋" w:eastAsia="仿宋" w:cs="仿宋"/>
          <w:bCs/>
          <w:color w:val="auto"/>
          <w:sz w:val="24"/>
          <w:szCs w:val="24"/>
          <w:highlight w:val="none"/>
          <w:lang w:val="en-US" w:eastAsia="zh-CN" w:bidi="ar-SA"/>
        </w:rPr>
        <w:t>的正常使用，如因食品质量问题造成食用人的不良反应，供应商需负全部责任。</w:t>
      </w:r>
    </w:p>
    <w:p>
      <w:pPr>
        <w:pStyle w:val="38"/>
        <w:keepNext w:val="0"/>
        <w:keepLines w:val="0"/>
        <w:pageBreakBefore w:val="0"/>
        <w:widowControl w:val="0"/>
        <w:shd w:val="clear"/>
        <w:kinsoku/>
        <w:wordWrap/>
        <w:overflowPunct/>
        <w:topLinePunct w:val="0"/>
        <w:bidi w:val="0"/>
        <w:spacing w:after="0" w:line="420" w:lineRule="exact"/>
        <w:ind w:left="0" w:leftChars="0" w:firstLine="0" w:firstLineChars="0"/>
        <w:textAlignment w:val="auto"/>
        <w:rPr>
          <w:rFonts w:hint="eastAsia" w:ascii="仿宋" w:hAnsi="仿宋" w:eastAsia="仿宋" w:cs="仿宋"/>
          <w:b/>
          <w:color w:val="auto"/>
          <w:sz w:val="24"/>
          <w:szCs w:val="24"/>
          <w:highlight w:val="none"/>
          <w:lang w:val="en-US" w:eastAsia="en-US" w:bidi="ar-SA"/>
        </w:rPr>
      </w:pPr>
      <w:r>
        <w:rPr>
          <w:rFonts w:hint="eastAsia" w:ascii="仿宋" w:hAnsi="仿宋" w:eastAsia="仿宋" w:cs="仿宋"/>
          <w:b/>
          <w:color w:val="auto"/>
          <w:sz w:val="24"/>
          <w:szCs w:val="24"/>
          <w:highlight w:val="none"/>
          <w:lang w:val="en-US" w:eastAsia="zh-CN" w:bidi="ar-SA"/>
        </w:rPr>
        <w:t>2.5</w:t>
      </w:r>
      <w:r>
        <w:rPr>
          <w:rFonts w:hint="eastAsia" w:ascii="仿宋" w:hAnsi="仿宋" w:eastAsia="仿宋" w:cs="仿宋"/>
          <w:b/>
          <w:color w:val="auto"/>
          <w:sz w:val="24"/>
          <w:szCs w:val="24"/>
          <w:highlight w:val="none"/>
          <w:lang w:val="en-US" w:eastAsia="en-US" w:bidi="ar-SA"/>
        </w:rPr>
        <w:t>违约责任</w:t>
      </w:r>
    </w:p>
    <w:p>
      <w:pPr>
        <w:shd w:val="clear"/>
        <w:snapToGrid w:val="0"/>
        <w:spacing w:line="500" w:lineRule="exact"/>
        <w:ind w:firstLine="480" w:firstLineChars="200"/>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2.5.1如</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的产品达不到国家食品卫生安全标准；质保过期、品牌“三无”、假冒伪劣等，经采购人检查发现，第一次扣除</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履约保证金的15%并调换产品；第二次扣除</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履约保证金的30%并调换产品；第三次采购人直接取消</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供货资格，双方合同自行终止。</w:t>
      </w:r>
    </w:p>
    <w:p>
      <w:pPr>
        <w:shd w:val="clear"/>
        <w:snapToGrid w:val="0"/>
        <w:spacing w:line="500" w:lineRule="exact"/>
        <w:ind w:firstLine="480" w:firstLineChars="200"/>
        <w:jc w:val="left"/>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val="en-US" w:eastAsia="zh-CN" w:bidi="ar-SA"/>
        </w:rPr>
        <w:t>2.5.2</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应按照采购人规定的时间内准时将食材保质保量送达指定地点。若</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未能按时送达，第一次予以警告；第二次采购人将以书面形式通知</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进行整改，并扣除</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履约保证金的20%。第三次采购人直接取消</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供货资格，双方合同自行终止。</w:t>
      </w:r>
    </w:p>
    <w:p>
      <w:pPr>
        <w:shd w:val="clear"/>
        <w:snapToGrid w:val="0"/>
        <w:spacing w:line="500" w:lineRule="exact"/>
        <w:ind w:firstLine="480" w:firstLineChars="200"/>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2.5.3如履约保证金扣除超过30%，则采购人直接取消</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sz w:val="24"/>
          <w:szCs w:val="24"/>
          <w:highlight w:val="none"/>
          <w:lang w:val="en-US" w:eastAsia="zh-CN" w:bidi="ar-SA"/>
        </w:rPr>
        <w:t>供货资格，双方合同自行终止。</w:t>
      </w:r>
    </w:p>
    <w:p>
      <w:pPr>
        <w:pStyle w:val="38"/>
        <w:keepNext w:val="0"/>
        <w:keepLines w:val="0"/>
        <w:pageBreakBefore w:val="0"/>
        <w:widowControl w:val="0"/>
        <w:shd w:val="clear"/>
        <w:kinsoku/>
        <w:wordWrap/>
        <w:overflowPunct/>
        <w:topLinePunct w:val="0"/>
        <w:bidi w:val="0"/>
        <w:spacing w:after="0" w:line="420" w:lineRule="exact"/>
        <w:ind w:left="0" w:leftChars="0" w:firstLine="0" w:firstLineChars="0"/>
        <w:textAlignment w:val="auto"/>
        <w:rPr>
          <w:rFonts w:hint="eastAsia" w:ascii="仿宋" w:hAnsi="仿宋" w:eastAsia="仿宋" w:cs="仿宋"/>
          <w:b/>
          <w:color w:val="auto"/>
          <w:sz w:val="24"/>
          <w:szCs w:val="24"/>
          <w:highlight w:val="none"/>
          <w:lang w:eastAsia="zh-CN" w:bidi="ar-SA"/>
        </w:rPr>
      </w:pPr>
      <w:r>
        <w:rPr>
          <w:rFonts w:hint="eastAsia" w:ascii="仿宋" w:hAnsi="仿宋" w:eastAsia="仿宋" w:cs="仿宋"/>
          <w:b/>
          <w:color w:val="auto"/>
          <w:sz w:val="24"/>
          <w:szCs w:val="24"/>
          <w:highlight w:val="none"/>
          <w:lang w:val="en-US" w:eastAsia="zh-CN" w:bidi="ar-SA"/>
        </w:rPr>
        <w:t>2.6</w:t>
      </w:r>
      <w:r>
        <w:rPr>
          <w:rFonts w:hint="eastAsia" w:ascii="仿宋" w:hAnsi="仿宋" w:eastAsia="仿宋" w:cs="仿宋"/>
          <w:b/>
          <w:color w:val="auto"/>
          <w:sz w:val="24"/>
          <w:szCs w:val="24"/>
          <w:highlight w:val="none"/>
          <w:lang w:eastAsia="zh-CN" w:bidi="ar-SA"/>
        </w:rPr>
        <w:t>其他要求</w:t>
      </w:r>
    </w:p>
    <w:p>
      <w:pPr>
        <w:shd w:val="clear"/>
        <w:snapToGrid w:val="0"/>
        <w:spacing w:line="50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2.6.1</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kern w:val="2"/>
          <w:sz w:val="24"/>
          <w:szCs w:val="24"/>
          <w:highlight w:val="none"/>
          <w:lang w:val="en-US" w:eastAsia="zh-CN" w:bidi="ar-SA"/>
        </w:rPr>
        <w:t>应按照</w:t>
      </w:r>
      <w:r>
        <w:rPr>
          <w:rFonts w:hint="eastAsia" w:ascii="仿宋" w:hAnsi="仿宋" w:eastAsia="仿宋" w:cs="仿宋"/>
          <w:color w:val="auto"/>
          <w:sz w:val="24"/>
          <w:szCs w:val="24"/>
          <w:highlight w:val="none"/>
          <w:lang w:val="en-US" w:eastAsia="zh-CN" w:bidi="ar-SA"/>
        </w:rPr>
        <w:t>采购人</w:t>
      </w:r>
      <w:r>
        <w:rPr>
          <w:rFonts w:hint="eastAsia" w:ascii="仿宋" w:hAnsi="仿宋" w:eastAsia="仿宋" w:cs="仿宋"/>
          <w:color w:val="auto"/>
          <w:kern w:val="2"/>
          <w:sz w:val="24"/>
          <w:szCs w:val="24"/>
          <w:highlight w:val="none"/>
          <w:lang w:val="en-US" w:eastAsia="zh-CN" w:bidi="ar-SA"/>
        </w:rPr>
        <w:t>的要求足额、及时将食堂物资配送至</w:t>
      </w:r>
      <w:r>
        <w:rPr>
          <w:rFonts w:hint="eastAsia" w:ascii="仿宋" w:hAnsi="仿宋" w:eastAsia="仿宋" w:cs="仿宋"/>
          <w:color w:val="auto"/>
          <w:sz w:val="24"/>
          <w:szCs w:val="24"/>
          <w:highlight w:val="none"/>
          <w:lang w:val="en-US" w:eastAsia="zh-CN" w:bidi="ar-SA"/>
        </w:rPr>
        <w:t>采购人</w:t>
      </w:r>
      <w:r>
        <w:rPr>
          <w:rFonts w:hint="eastAsia" w:ascii="仿宋" w:hAnsi="仿宋" w:eastAsia="仿宋" w:cs="仿宋"/>
          <w:color w:val="auto"/>
          <w:kern w:val="2"/>
          <w:sz w:val="24"/>
          <w:szCs w:val="24"/>
          <w:highlight w:val="none"/>
          <w:lang w:val="en-US" w:eastAsia="zh-CN" w:bidi="ar-SA"/>
        </w:rPr>
        <w:t>指定的各公交站食堂点，为确保食堂的正常运营，每天早上7:00前需配送到位，</w:t>
      </w:r>
      <w:r>
        <w:rPr>
          <w:rFonts w:hint="eastAsia" w:ascii="仿宋" w:hAnsi="仿宋" w:eastAsia="仿宋" w:cs="仿宋"/>
          <w:color w:val="auto"/>
          <w:sz w:val="24"/>
          <w:szCs w:val="24"/>
          <w:highlight w:val="none"/>
          <w:lang w:val="en-US" w:eastAsia="zh-CN" w:bidi="ar-SA"/>
        </w:rPr>
        <w:t>采购人</w:t>
      </w:r>
      <w:r>
        <w:rPr>
          <w:rFonts w:hint="eastAsia" w:ascii="仿宋" w:hAnsi="仿宋" w:eastAsia="仿宋" w:cs="仿宋"/>
          <w:color w:val="auto"/>
          <w:kern w:val="2"/>
          <w:sz w:val="24"/>
          <w:szCs w:val="24"/>
          <w:highlight w:val="none"/>
          <w:lang w:val="en-US" w:eastAsia="zh-CN" w:bidi="ar-SA"/>
        </w:rPr>
        <w:t>最迟在要提前一天向配送企业提交订货计划。如遇采购人食堂配送点增减，</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kern w:val="2"/>
          <w:sz w:val="24"/>
          <w:szCs w:val="24"/>
          <w:highlight w:val="none"/>
          <w:lang w:val="en-US" w:eastAsia="zh-CN" w:bidi="ar-SA"/>
        </w:rPr>
        <w:t>应无条件配合采购人相关工作。涉及到目录以外的食品，由</w:t>
      </w:r>
      <w:bookmarkStart w:id="53" w:name="OLE_LINK2"/>
      <w:r>
        <w:rPr>
          <w:rFonts w:hint="eastAsia" w:ascii="仿宋" w:hAnsi="仿宋" w:eastAsia="仿宋" w:cs="仿宋"/>
          <w:color w:val="auto"/>
          <w:kern w:val="2"/>
          <w:sz w:val="24"/>
          <w:szCs w:val="24"/>
          <w:highlight w:val="none"/>
          <w:lang w:val="en-US" w:eastAsia="zh-CN" w:bidi="ar-SA"/>
        </w:rPr>
        <w:t>采购人</w:t>
      </w:r>
      <w:bookmarkEnd w:id="53"/>
      <w:r>
        <w:rPr>
          <w:rFonts w:hint="eastAsia" w:ascii="仿宋" w:hAnsi="仿宋" w:eastAsia="仿宋" w:cs="仿宋"/>
          <w:color w:val="auto"/>
          <w:kern w:val="2"/>
          <w:sz w:val="24"/>
          <w:szCs w:val="24"/>
          <w:highlight w:val="none"/>
          <w:lang w:val="en-US" w:eastAsia="zh-CN" w:bidi="ar-SA"/>
        </w:rPr>
        <w:t>认可后方可供货。基准价不能高于零售价。</w:t>
      </w:r>
    </w:p>
    <w:p>
      <w:pPr>
        <w:shd w:val="clear"/>
        <w:snapToGrid w:val="0"/>
        <w:spacing w:line="50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2.6.2</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kern w:val="2"/>
          <w:sz w:val="24"/>
          <w:szCs w:val="24"/>
          <w:highlight w:val="none"/>
          <w:lang w:val="en-US" w:eastAsia="zh-CN" w:bidi="ar-SA"/>
        </w:rPr>
        <w:t>所供产品必须按中标价供货，如发现高于中标价的除退还差价外，按违约责任处理。部分货品如未能查询到价格的，则以大江农贸市场内相关食材的市场一般零售价格作为基准结合合同约定的优惠折扣率确定成交价。如采购人发现</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kern w:val="2"/>
          <w:sz w:val="24"/>
          <w:szCs w:val="24"/>
          <w:highlight w:val="none"/>
          <w:lang w:val="en-US" w:eastAsia="zh-CN" w:bidi="ar-SA"/>
        </w:rPr>
        <w:t>所供货物存在虚报价格(指价格上浮)或市场价格下浮时</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kern w:val="2"/>
          <w:sz w:val="24"/>
          <w:szCs w:val="24"/>
          <w:highlight w:val="none"/>
          <w:lang w:val="en-US" w:eastAsia="zh-CN" w:bidi="ar-SA"/>
        </w:rPr>
        <w:t>未能及时下调供应价格的，按违约责任处理。</w:t>
      </w:r>
    </w:p>
    <w:p>
      <w:pPr>
        <w:shd w:val="clear"/>
        <w:snapToGrid w:val="0"/>
        <w:spacing w:line="50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2.6.3供货期间，</w:t>
      </w:r>
      <w:r>
        <w:rPr>
          <w:rFonts w:hint="eastAsia" w:ascii="仿宋" w:hAnsi="仿宋" w:eastAsia="仿宋" w:cs="仿宋"/>
          <w:color w:val="auto"/>
          <w:sz w:val="24"/>
          <w:szCs w:val="24"/>
          <w:highlight w:val="none"/>
          <w:lang w:val="en-US" w:eastAsia="zh-CN" w:bidi="ar-SA"/>
        </w:rPr>
        <w:t>采购人将按月对供货商提供的货品进行检查及评分，评分细则及惩罚措施详见附件。</w:t>
      </w:r>
    </w:p>
    <w:p>
      <w:pPr>
        <w:shd w:val="clear"/>
        <w:snapToGrid w:val="0"/>
        <w:spacing w:line="500" w:lineRule="exact"/>
        <w:ind w:firstLine="480" w:firstLineChars="200"/>
        <w:jc w:val="left"/>
        <w:rPr>
          <w:rFonts w:hint="eastAsia" w:ascii="仿宋" w:hAnsi="仿宋" w:eastAsia="仿宋" w:cs="仿宋"/>
          <w:color w:val="auto"/>
          <w:kern w:val="2"/>
          <w:sz w:val="24"/>
          <w:szCs w:val="24"/>
          <w:highlight w:val="none"/>
          <w:lang w:val="en-US" w:eastAsia="en-US" w:bidi="ar-SA"/>
        </w:rPr>
      </w:pPr>
      <w:r>
        <w:rPr>
          <w:rFonts w:hint="eastAsia" w:ascii="仿宋" w:hAnsi="仿宋" w:eastAsia="仿宋" w:cs="仿宋"/>
          <w:color w:val="auto"/>
          <w:kern w:val="2"/>
          <w:sz w:val="24"/>
          <w:szCs w:val="24"/>
          <w:highlight w:val="none"/>
          <w:lang w:val="en-US" w:eastAsia="zh-CN" w:bidi="ar-SA"/>
        </w:rPr>
        <w:t>2.6.4供应商在供货期间须达到标书中承诺的所有事项，如检查中有一项没达到，</w:t>
      </w:r>
      <w:r>
        <w:rPr>
          <w:rFonts w:hint="eastAsia" w:ascii="仿宋" w:hAnsi="仿宋" w:eastAsia="仿宋" w:cs="仿宋"/>
          <w:color w:val="auto"/>
          <w:sz w:val="24"/>
          <w:szCs w:val="24"/>
          <w:highlight w:val="none"/>
          <w:lang w:val="en-US" w:eastAsia="zh-CN" w:bidi="ar-SA"/>
        </w:rPr>
        <w:t>采购人</w:t>
      </w:r>
      <w:r>
        <w:rPr>
          <w:rFonts w:hint="eastAsia" w:ascii="仿宋" w:hAnsi="仿宋" w:eastAsia="仿宋" w:cs="仿宋"/>
          <w:color w:val="auto"/>
          <w:kern w:val="2"/>
          <w:sz w:val="24"/>
          <w:szCs w:val="24"/>
          <w:highlight w:val="none"/>
          <w:lang w:val="en-US" w:eastAsia="zh-CN" w:bidi="ar-SA"/>
        </w:rPr>
        <w:t>有权中止合同。</w:t>
      </w:r>
    </w:p>
    <w:p>
      <w:pPr>
        <w:keepNext w:val="0"/>
        <w:keepLines w:val="0"/>
        <w:pageBreakBefore w:val="0"/>
        <w:widowControl w:val="0"/>
        <w:shd w:val="clear"/>
        <w:kinsoku/>
        <w:wordWrap/>
        <w:overflowPunct/>
        <w:topLinePunct w:val="0"/>
        <w:bidi w:val="0"/>
        <w:spacing w:line="420" w:lineRule="exact"/>
        <w:ind w:firstLine="0" w:firstLineChars="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2.7服务期限</w:t>
      </w:r>
    </w:p>
    <w:p>
      <w:pPr>
        <w:keepNext w:val="0"/>
        <w:keepLines w:val="0"/>
        <w:pageBreakBefore w:val="0"/>
        <w:widowControl w:val="0"/>
        <w:shd w:val="clear" w:color="auto"/>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供货期限为合同签订之日起2年，合同一年一签。</w:t>
      </w:r>
      <w:r>
        <w:rPr>
          <w:rFonts w:hint="eastAsia" w:ascii="仿宋" w:hAnsi="仿宋" w:eastAsia="仿宋" w:cs="仿宋"/>
          <w:color w:val="auto"/>
          <w:sz w:val="24"/>
          <w:highlight w:val="none"/>
          <w:lang w:val="en-US" w:eastAsia="zh-CN" w:bidi="ar-SA"/>
        </w:rPr>
        <w:t>采购人</w:t>
      </w:r>
      <w:r>
        <w:rPr>
          <w:rFonts w:hint="eastAsia" w:ascii="仿宋" w:hAnsi="仿宋" w:eastAsia="仿宋" w:cs="仿宋"/>
          <w:color w:val="auto"/>
          <w:kern w:val="2"/>
          <w:sz w:val="24"/>
          <w:szCs w:val="24"/>
          <w:highlight w:val="none"/>
          <w:lang w:val="en-US" w:eastAsia="zh-CN" w:bidi="ar-SA"/>
        </w:rPr>
        <w:t>每月对</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kern w:val="2"/>
          <w:sz w:val="24"/>
          <w:szCs w:val="24"/>
          <w:highlight w:val="none"/>
          <w:lang w:val="en-US" w:eastAsia="zh-CN" w:bidi="ar-SA"/>
        </w:rPr>
        <w:t>的服务及供货质量进行综合考评，</w:t>
      </w:r>
      <w:r>
        <w:rPr>
          <w:rFonts w:hint="default" w:ascii="仿宋" w:hAnsi="仿宋" w:eastAsia="仿宋" w:cs="仿宋"/>
          <w:color w:val="auto"/>
          <w:kern w:val="2"/>
          <w:sz w:val="24"/>
          <w:szCs w:val="24"/>
          <w:highlight w:val="none"/>
          <w:lang w:val="en-US" w:eastAsia="zh-CN" w:bidi="ar-SA"/>
        </w:rPr>
        <w:t>年平均考核达到</w:t>
      </w:r>
      <w:r>
        <w:rPr>
          <w:rFonts w:hint="eastAsia" w:ascii="仿宋" w:hAnsi="仿宋" w:eastAsia="仿宋" w:cs="仿宋"/>
          <w:color w:val="auto"/>
          <w:kern w:val="2"/>
          <w:sz w:val="24"/>
          <w:szCs w:val="24"/>
          <w:highlight w:val="none"/>
          <w:lang w:val="en-US" w:eastAsia="zh-CN" w:bidi="ar-SA"/>
        </w:rPr>
        <w:t>95分以上续签第二年合同。</w:t>
      </w:r>
    </w:p>
    <w:p>
      <w:pPr>
        <w:keepNext w:val="0"/>
        <w:keepLines w:val="0"/>
        <w:pageBreakBefore w:val="0"/>
        <w:widowControl w:val="0"/>
        <w:shd w:val="clear"/>
        <w:kinsoku/>
        <w:wordWrap/>
        <w:overflowPunct/>
        <w:topLinePunct w:val="0"/>
        <w:bidi w:val="0"/>
        <w:adjustRightInd w:val="0"/>
        <w:snapToGrid/>
        <w:spacing w:line="440" w:lineRule="exact"/>
        <w:ind w:left="42"/>
        <w:jc w:val="both"/>
        <w:textAlignment w:val="auto"/>
        <w:rPr>
          <w:rFonts w:hint="eastAsia" w:ascii="仿宋" w:hAnsi="仿宋" w:eastAsia="仿宋" w:cs="仿宋"/>
          <w:b/>
          <w:bCs/>
          <w:color w:val="auto"/>
          <w:sz w:val="24"/>
          <w:highlight w:val="none"/>
          <w:lang w:val="en-US" w:eastAsia="zh-CN" w:bidi="ar-SA"/>
        </w:rPr>
      </w:pPr>
      <w:r>
        <w:rPr>
          <w:rFonts w:hint="eastAsia" w:ascii="仿宋" w:hAnsi="仿宋" w:eastAsia="仿宋" w:cs="仿宋"/>
          <w:b/>
          <w:bCs/>
          <w:color w:val="auto"/>
          <w:sz w:val="24"/>
          <w:highlight w:val="none"/>
          <w:lang w:val="en-US" w:eastAsia="zh-CN" w:bidi="ar-SA"/>
        </w:rPr>
        <w:t>2.8安全责任</w:t>
      </w:r>
    </w:p>
    <w:p>
      <w:pPr>
        <w:keepNext w:val="0"/>
        <w:keepLines w:val="0"/>
        <w:pageBreakBefore w:val="0"/>
        <w:widowControl w:val="0"/>
        <w:shd w:val="clear" w:color="auto"/>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1.因质量问题造成人员食物中毒或其它安全责任事故的，</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kern w:val="2"/>
          <w:sz w:val="24"/>
          <w:szCs w:val="24"/>
          <w:highlight w:val="none"/>
          <w:lang w:val="en-US" w:eastAsia="zh-CN" w:bidi="ar-SA"/>
        </w:rPr>
        <w:t>独立承担一切法律责任和经济责任，</w:t>
      </w:r>
      <w:r>
        <w:rPr>
          <w:rFonts w:hint="eastAsia" w:ascii="仿宋" w:hAnsi="仿宋" w:eastAsia="仿宋" w:cs="仿宋"/>
          <w:color w:val="auto"/>
          <w:sz w:val="24"/>
          <w:szCs w:val="24"/>
          <w:highlight w:val="none"/>
          <w:lang w:val="en-US" w:eastAsia="zh-CN" w:bidi="ar-SA"/>
        </w:rPr>
        <w:t>采购人</w:t>
      </w:r>
      <w:r>
        <w:rPr>
          <w:rFonts w:hint="eastAsia" w:ascii="仿宋" w:hAnsi="仿宋" w:eastAsia="仿宋" w:cs="仿宋"/>
          <w:color w:val="auto"/>
          <w:kern w:val="2"/>
          <w:sz w:val="24"/>
          <w:szCs w:val="24"/>
          <w:highlight w:val="none"/>
          <w:lang w:val="en-US" w:eastAsia="zh-CN" w:bidi="ar-SA"/>
        </w:rPr>
        <w:t>有权没收履约保证金，</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kern w:val="2"/>
          <w:sz w:val="24"/>
          <w:szCs w:val="24"/>
          <w:highlight w:val="none"/>
          <w:lang w:val="en-US" w:eastAsia="zh-CN" w:bidi="ar-SA"/>
        </w:rPr>
        <w:t>将承担由此造成-的一切损失，双方合同自行终止。</w:t>
      </w:r>
    </w:p>
    <w:p>
      <w:pPr>
        <w:keepNext w:val="0"/>
        <w:keepLines w:val="0"/>
        <w:pageBreakBefore w:val="0"/>
        <w:widowControl w:val="0"/>
        <w:shd w:val="clear" w:color="auto"/>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2.配送过程中发生的任何安全事故等均由</w:t>
      </w:r>
      <w:r>
        <w:rPr>
          <w:rFonts w:hint="eastAsia" w:ascii="仿宋" w:hAnsi="仿宋" w:eastAsia="仿宋" w:cs="仿宋"/>
          <w:snapToGrid w:val="0"/>
          <w:color w:val="auto"/>
          <w:kern w:val="28"/>
          <w:sz w:val="24"/>
          <w:szCs w:val="20"/>
          <w:highlight w:val="none"/>
          <w:lang w:val="en-US" w:eastAsia="zh-CN" w:bidi="ar-SA"/>
        </w:rPr>
        <w:t>供应商</w:t>
      </w:r>
      <w:r>
        <w:rPr>
          <w:rFonts w:hint="eastAsia" w:ascii="仿宋" w:hAnsi="仿宋" w:eastAsia="仿宋" w:cs="仿宋"/>
          <w:color w:val="auto"/>
          <w:kern w:val="2"/>
          <w:sz w:val="24"/>
          <w:szCs w:val="24"/>
          <w:highlight w:val="none"/>
          <w:lang w:val="en-US" w:eastAsia="zh-CN" w:bidi="ar-SA"/>
        </w:rPr>
        <w:t>独立承担责任。</w:t>
      </w:r>
    </w:p>
    <w:p>
      <w:pPr>
        <w:keepNext w:val="0"/>
        <w:keepLines w:val="0"/>
        <w:pageBreakBefore w:val="0"/>
        <w:widowControl w:val="0"/>
        <w:shd w:val="clear" w:color="auto"/>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b/>
          <w:bCs/>
          <w:color w:val="auto"/>
          <w:sz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3.中标供应商在</w:t>
      </w:r>
      <w:r>
        <w:rPr>
          <w:rFonts w:hint="eastAsia" w:ascii="仿宋" w:hAnsi="仿宋" w:eastAsia="仿宋" w:cs="仿宋"/>
          <w:color w:val="auto"/>
          <w:sz w:val="24"/>
          <w:szCs w:val="24"/>
          <w:highlight w:val="none"/>
          <w:lang w:val="en-US" w:eastAsia="zh-CN" w:bidi="ar-SA"/>
        </w:rPr>
        <w:t>采购人</w:t>
      </w:r>
      <w:r>
        <w:rPr>
          <w:rFonts w:hint="eastAsia" w:ascii="仿宋" w:hAnsi="仿宋" w:eastAsia="仿宋" w:cs="仿宋"/>
          <w:color w:val="auto"/>
          <w:kern w:val="2"/>
          <w:sz w:val="24"/>
          <w:szCs w:val="24"/>
          <w:highlight w:val="none"/>
          <w:lang w:val="en-US" w:eastAsia="zh-CN" w:bidi="ar-SA"/>
        </w:rPr>
        <w:t>场地内运输食材，应遵循</w:t>
      </w:r>
      <w:r>
        <w:rPr>
          <w:rFonts w:hint="eastAsia" w:ascii="仿宋" w:hAnsi="仿宋" w:eastAsia="仿宋" w:cs="仿宋"/>
          <w:color w:val="auto"/>
          <w:sz w:val="24"/>
          <w:szCs w:val="24"/>
          <w:highlight w:val="none"/>
          <w:lang w:val="en-US" w:eastAsia="zh-CN" w:bidi="ar-SA"/>
        </w:rPr>
        <w:t>采购人</w:t>
      </w:r>
      <w:r>
        <w:rPr>
          <w:rFonts w:hint="eastAsia" w:ascii="仿宋" w:hAnsi="仿宋" w:eastAsia="仿宋" w:cs="仿宋"/>
          <w:color w:val="auto"/>
          <w:kern w:val="2"/>
          <w:sz w:val="24"/>
          <w:szCs w:val="24"/>
          <w:highlight w:val="none"/>
          <w:lang w:val="en-US" w:eastAsia="zh-CN" w:bidi="ar-SA"/>
        </w:rPr>
        <w:t>规章制度，服从指挥，在确保安全前提下方可进行运输和搬运。由此造成的安全事故，中标供应商独立承担一切刑事、民事责任。</w:t>
      </w:r>
    </w:p>
    <w:p>
      <w:pPr>
        <w:keepNext w:val="0"/>
        <w:keepLines w:val="0"/>
        <w:pageBreakBefore w:val="0"/>
        <w:widowControl w:val="0"/>
        <w:shd w:val="clear"/>
        <w:kinsoku/>
        <w:wordWrap/>
        <w:overflowPunct/>
        <w:topLinePunct w:val="0"/>
        <w:bidi w:val="0"/>
        <w:adjustRightInd w:val="0"/>
        <w:snapToGrid/>
        <w:spacing w:line="440" w:lineRule="exact"/>
        <w:jc w:val="both"/>
        <w:textAlignment w:val="auto"/>
        <w:rPr>
          <w:rFonts w:hint="eastAsia" w:ascii="仿宋" w:hAnsi="仿宋" w:eastAsia="仿宋" w:cs="仿宋"/>
          <w:b/>
          <w:bCs/>
          <w:color w:val="auto"/>
          <w:sz w:val="24"/>
          <w:highlight w:val="none"/>
          <w:lang w:val="en-US" w:eastAsia="zh-CN" w:bidi="ar-SA"/>
        </w:rPr>
      </w:pPr>
      <w:r>
        <w:rPr>
          <w:rFonts w:hint="eastAsia" w:ascii="仿宋" w:hAnsi="仿宋" w:eastAsia="仿宋" w:cs="仿宋"/>
          <w:b/>
          <w:bCs/>
          <w:color w:val="auto"/>
          <w:sz w:val="24"/>
          <w:highlight w:val="none"/>
          <w:lang w:val="en-US" w:eastAsia="zh-CN" w:bidi="ar-SA"/>
        </w:rPr>
        <w:t>注：</w:t>
      </w:r>
    </w:p>
    <w:p>
      <w:pPr>
        <w:keepNext w:val="0"/>
        <w:keepLines w:val="0"/>
        <w:pageBreakBefore w:val="0"/>
        <w:widowControl w:val="0"/>
        <w:shd w:val="clear"/>
        <w:kinsoku/>
        <w:wordWrap/>
        <w:overflowPunct/>
        <w:topLinePunct w:val="0"/>
        <w:bidi w:val="0"/>
        <w:adjustRightInd w:val="0"/>
        <w:snapToGrid/>
        <w:spacing w:line="440" w:lineRule="exact"/>
        <w:ind w:left="42" w:firstLine="482" w:firstLineChars="200"/>
        <w:jc w:val="both"/>
        <w:textAlignment w:val="auto"/>
        <w:rPr>
          <w:rFonts w:hint="eastAsia" w:ascii="仿宋" w:hAnsi="仿宋" w:eastAsia="仿宋" w:cs="仿宋"/>
          <w:b/>
          <w:bCs/>
          <w:color w:val="auto"/>
          <w:sz w:val="24"/>
          <w:highlight w:val="none"/>
          <w:lang w:bidi="ar-SA"/>
        </w:rPr>
      </w:pPr>
      <w:r>
        <w:rPr>
          <w:rFonts w:hint="eastAsia" w:ascii="仿宋" w:hAnsi="仿宋" w:eastAsia="仿宋" w:cs="仿宋"/>
          <w:b/>
          <w:bCs/>
          <w:color w:val="auto"/>
          <w:sz w:val="24"/>
          <w:highlight w:val="none"/>
          <w:lang w:eastAsia="zh-CN" w:bidi="ar-SA"/>
        </w:rPr>
        <w:t>标项一</w:t>
      </w:r>
      <w:r>
        <w:rPr>
          <w:rFonts w:hint="eastAsia" w:ascii="仿宋" w:hAnsi="仿宋" w:eastAsia="仿宋" w:cs="仿宋"/>
          <w:b/>
          <w:bCs/>
          <w:color w:val="auto"/>
          <w:sz w:val="24"/>
          <w:highlight w:val="none"/>
          <w:lang w:bidi="ar-SA"/>
        </w:rPr>
        <w:t>所属各公交站食堂点目前暂为</w:t>
      </w:r>
      <w:r>
        <w:rPr>
          <w:rFonts w:hint="eastAsia" w:ascii="仿宋" w:hAnsi="仿宋" w:eastAsia="仿宋" w:cs="仿宋"/>
          <w:b/>
          <w:bCs/>
          <w:color w:val="auto"/>
          <w:sz w:val="24"/>
          <w:highlight w:val="none"/>
          <w:lang w:val="en-US" w:eastAsia="zh-CN" w:bidi="ar-SA"/>
        </w:rPr>
        <w:t>4</w:t>
      </w:r>
      <w:r>
        <w:rPr>
          <w:rFonts w:hint="eastAsia" w:ascii="仿宋" w:hAnsi="仿宋" w:eastAsia="仿宋" w:cs="仿宋"/>
          <w:b/>
          <w:bCs/>
          <w:color w:val="auto"/>
          <w:sz w:val="24"/>
          <w:highlight w:val="none"/>
          <w:lang w:bidi="ar-SA"/>
        </w:rPr>
        <w:t>处，分别为：后墅停车场（润沁路19号）、镜湖停车场（</w:t>
      </w:r>
      <w:r>
        <w:rPr>
          <w:rFonts w:hint="eastAsia" w:ascii="仿宋" w:hAnsi="仿宋" w:eastAsia="仿宋" w:cs="仿宋"/>
          <w:b/>
          <w:bCs/>
          <w:color w:val="auto"/>
          <w:sz w:val="24"/>
          <w:highlight w:val="none"/>
          <w:lang w:eastAsia="zh-CN" w:bidi="ar-SA"/>
        </w:rPr>
        <w:t>于越中路</w:t>
      </w:r>
      <w:r>
        <w:rPr>
          <w:rFonts w:hint="eastAsia" w:ascii="仿宋" w:hAnsi="仿宋" w:eastAsia="仿宋" w:cs="仿宋"/>
          <w:b/>
          <w:bCs/>
          <w:color w:val="auto"/>
          <w:sz w:val="24"/>
          <w:highlight w:val="none"/>
          <w:lang w:val="en-US" w:eastAsia="zh-CN" w:bidi="ar-SA"/>
        </w:rPr>
        <w:t>388号</w:t>
      </w:r>
      <w:r>
        <w:rPr>
          <w:rFonts w:hint="eastAsia" w:ascii="仿宋" w:hAnsi="仿宋" w:eastAsia="仿宋" w:cs="仿宋"/>
          <w:b/>
          <w:bCs/>
          <w:color w:val="auto"/>
          <w:sz w:val="24"/>
          <w:highlight w:val="none"/>
          <w:lang w:bidi="ar-SA"/>
        </w:rPr>
        <w:t>）、清水闸停车场（胜利西路</w:t>
      </w:r>
      <w:r>
        <w:rPr>
          <w:rFonts w:hint="eastAsia" w:ascii="仿宋" w:hAnsi="仿宋" w:eastAsia="仿宋" w:cs="仿宋"/>
          <w:b/>
          <w:bCs/>
          <w:color w:val="auto"/>
          <w:sz w:val="24"/>
          <w:highlight w:val="none"/>
          <w:lang w:val="en-US" w:eastAsia="zh-CN" w:bidi="ar-SA"/>
        </w:rPr>
        <w:t>1951号</w:t>
      </w:r>
      <w:r>
        <w:rPr>
          <w:rFonts w:hint="eastAsia" w:ascii="仿宋" w:hAnsi="仿宋" w:eastAsia="仿宋" w:cs="仿宋"/>
          <w:b/>
          <w:bCs/>
          <w:color w:val="auto"/>
          <w:sz w:val="24"/>
          <w:highlight w:val="none"/>
          <w:lang w:bidi="ar-SA"/>
        </w:rPr>
        <w:t>）、劳家葑停车场（解放南路1818号）</w:t>
      </w:r>
      <w:r>
        <w:rPr>
          <w:rFonts w:hint="eastAsia" w:ascii="仿宋" w:hAnsi="仿宋" w:eastAsia="仿宋" w:cs="仿宋"/>
          <w:b/>
          <w:bCs/>
          <w:color w:val="auto"/>
          <w:sz w:val="24"/>
          <w:highlight w:val="none"/>
          <w:lang w:eastAsia="zh-CN" w:bidi="ar-SA"/>
        </w:rPr>
        <w:t>。采购人</w:t>
      </w:r>
      <w:r>
        <w:rPr>
          <w:rFonts w:hint="eastAsia" w:ascii="仿宋" w:hAnsi="仿宋" w:eastAsia="仿宋" w:cs="仿宋"/>
          <w:b/>
          <w:bCs/>
          <w:color w:val="auto"/>
          <w:sz w:val="24"/>
          <w:highlight w:val="none"/>
          <w:lang w:bidi="ar-SA"/>
        </w:rPr>
        <w:t>可根据实际情况调整（包括配送点的增加、减少）</w:t>
      </w:r>
      <w:r>
        <w:rPr>
          <w:rFonts w:hint="eastAsia" w:ascii="仿宋" w:hAnsi="仿宋" w:eastAsia="仿宋" w:cs="仿宋"/>
          <w:b/>
          <w:bCs/>
          <w:color w:val="auto"/>
          <w:sz w:val="24"/>
          <w:highlight w:val="none"/>
          <w:lang w:eastAsia="zh-CN" w:bidi="ar-SA"/>
        </w:rPr>
        <w:t>。</w:t>
      </w:r>
    </w:p>
    <w:p>
      <w:pPr>
        <w:keepNext w:val="0"/>
        <w:keepLines w:val="0"/>
        <w:pageBreakBefore w:val="0"/>
        <w:widowControl w:val="0"/>
        <w:shd w:val="clear"/>
        <w:kinsoku/>
        <w:wordWrap/>
        <w:overflowPunct/>
        <w:topLinePunct w:val="0"/>
        <w:bidi w:val="0"/>
        <w:adjustRightInd w:val="0"/>
        <w:snapToGrid/>
        <w:spacing w:line="440" w:lineRule="exact"/>
        <w:ind w:left="42" w:firstLine="482" w:firstLineChars="200"/>
        <w:jc w:val="both"/>
        <w:textAlignment w:val="auto"/>
        <w:rPr>
          <w:rFonts w:hint="eastAsia" w:ascii="仿宋" w:hAnsi="仿宋" w:eastAsia="仿宋" w:cs="仿宋"/>
          <w:b/>
          <w:bCs/>
          <w:color w:val="auto"/>
          <w:sz w:val="24"/>
          <w:highlight w:val="none"/>
          <w:lang w:bidi="ar-SA"/>
        </w:rPr>
      </w:pPr>
      <w:r>
        <w:rPr>
          <w:rFonts w:hint="eastAsia" w:ascii="仿宋" w:hAnsi="仿宋" w:eastAsia="仿宋" w:cs="仿宋"/>
          <w:b/>
          <w:bCs/>
          <w:color w:val="auto"/>
          <w:sz w:val="24"/>
          <w:highlight w:val="none"/>
          <w:lang w:eastAsia="zh-CN" w:bidi="ar-SA"/>
        </w:rPr>
        <w:t>标项二</w:t>
      </w:r>
      <w:r>
        <w:rPr>
          <w:rFonts w:hint="eastAsia" w:ascii="仿宋" w:hAnsi="仿宋" w:eastAsia="仿宋" w:cs="仿宋"/>
          <w:b/>
          <w:bCs/>
          <w:color w:val="auto"/>
          <w:sz w:val="24"/>
          <w:highlight w:val="none"/>
          <w:lang w:bidi="ar-SA"/>
        </w:rPr>
        <w:t>所属各公交站食堂点目前暂为</w:t>
      </w:r>
      <w:r>
        <w:rPr>
          <w:rFonts w:hint="eastAsia" w:ascii="仿宋" w:hAnsi="仿宋" w:eastAsia="仿宋" w:cs="仿宋"/>
          <w:b/>
          <w:bCs/>
          <w:color w:val="auto"/>
          <w:sz w:val="24"/>
          <w:highlight w:val="none"/>
          <w:lang w:val="en-US" w:eastAsia="zh-CN" w:bidi="ar-SA"/>
        </w:rPr>
        <w:t>3</w:t>
      </w:r>
      <w:r>
        <w:rPr>
          <w:rFonts w:hint="eastAsia" w:ascii="仿宋" w:hAnsi="仿宋" w:eastAsia="仿宋" w:cs="仿宋"/>
          <w:b/>
          <w:bCs/>
          <w:color w:val="auto"/>
          <w:sz w:val="24"/>
          <w:highlight w:val="none"/>
          <w:lang w:bidi="ar-SA"/>
        </w:rPr>
        <w:t>处，分别为:柯东公交站（柯桥区裕民路467号）、钱清公交站（钱清镇钱门大道与104国道南复线交叉口）、平水公交站（平水十二量红绿灯旁）。</w:t>
      </w:r>
      <w:r>
        <w:rPr>
          <w:rFonts w:hint="eastAsia" w:ascii="仿宋" w:hAnsi="仿宋" w:eastAsia="仿宋" w:cs="仿宋"/>
          <w:b/>
          <w:bCs/>
          <w:color w:val="auto"/>
          <w:sz w:val="24"/>
          <w:highlight w:val="none"/>
          <w:lang w:eastAsia="zh-CN" w:bidi="ar-SA"/>
        </w:rPr>
        <w:t>采购人</w:t>
      </w:r>
      <w:r>
        <w:rPr>
          <w:rFonts w:hint="eastAsia" w:ascii="仿宋" w:hAnsi="仿宋" w:eastAsia="仿宋" w:cs="仿宋"/>
          <w:b/>
          <w:bCs/>
          <w:color w:val="auto"/>
          <w:sz w:val="24"/>
          <w:highlight w:val="none"/>
          <w:lang w:bidi="ar-SA"/>
        </w:rPr>
        <w:t>可根据实际情况调整（包括配送点的增加、减少）。</w:t>
      </w:r>
    </w:p>
    <w:p>
      <w:pPr>
        <w:keepNext w:val="0"/>
        <w:keepLines w:val="0"/>
        <w:pageBreakBefore w:val="0"/>
        <w:widowControl w:val="0"/>
        <w:shd w:val="clear"/>
        <w:kinsoku/>
        <w:wordWrap/>
        <w:overflowPunct/>
        <w:topLinePunct w:val="0"/>
        <w:bidi w:val="0"/>
        <w:adjustRightInd w:val="0"/>
        <w:snapToGrid/>
        <w:spacing w:line="440" w:lineRule="exact"/>
        <w:ind w:left="42" w:firstLine="482" w:firstLineChars="200"/>
        <w:jc w:val="both"/>
        <w:textAlignment w:val="auto"/>
        <w:rPr>
          <w:rFonts w:hint="eastAsia" w:ascii="仿宋" w:hAnsi="仿宋" w:eastAsia="仿宋" w:cs="仿宋"/>
          <w:b/>
          <w:bCs/>
          <w:color w:val="auto"/>
          <w:sz w:val="24"/>
          <w:highlight w:val="none"/>
          <w:lang w:eastAsia="zh-CN" w:bidi="ar-SA"/>
        </w:rPr>
      </w:pPr>
      <w:r>
        <w:rPr>
          <w:rFonts w:hint="eastAsia" w:ascii="仿宋" w:hAnsi="仿宋" w:eastAsia="仿宋" w:cs="仿宋"/>
          <w:b/>
          <w:bCs/>
          <w:color w:val="auto"/>
          <w:sz w:val="24"/>
          <w:highlight w:val="none"/>
          <w:lang w:bidi="ar-SA"/>
        </w:rPr>
        <w:t>本项目以绍兴市公共交通集团有限公司名义进行公开招标，合同签订单位为第一、第二有限公司，费用由各营运公司支付。</w:t>
      </w:r>
    </w:p>
    <w:p>
      <w:pPr>
        <w:keepNext w:val="0"/>
        <w:keepLines w:val="0"/>
        <w:pageBreakBefore w:val="0"/>
        <w:widowControl w:val="0"/>
        <w:shd w:val="clear"/>
        <w:kinsoku/>
        <w:wordWrap/>
        <w:overflowPunct/>
        <w:topLinePunct w:val="0"/>
        <w:bidi w:val="0"/>
        <w:adjustRightInd w:val="0"/>
        <w:snapToGrid/>
        <w:spacing w:line="440" w:lineRule="exact"/>
        <w:ind w:left="42" w:firstLine="482" w:firstLineChars="200"/>
        <w:jc w:val="both"/>
        <w:textAlignment w:val="auto"/>
        <w:rPr>
          <w:rFonts w:hint="eastAsia" w:ascii="仿宋" w:hAnsi="仿宋" w:eastAsia="仿宋" w:cs="仿宋"/>
          <w:b/>
          <w:bCs/>
          <w:color w:val="auto"/>
          <w:sz w:val="24"/>
          <w:highlight w:val="none"/>
          <w:lang w:eastAsia="zh-CN" w:bidi="ar-SA"/>
        </w:rPr>
      </w:pPr>
      <w:r>
        <w:rPr>
          <w:rFonts w:hint="eastAsia" w:ascii="仿宋" w:hAnsi="仿宋" w:eastAsia="仿宋" w:cs="仿宋"/>
          <w:b/>
          <w:bCs/>
          <w:color w:val="auto"/>
          <w:sz w:val="24"/>
          <w:highlight w:val="none"/>
          <w:lang w:eastAsia="zh-CN" w:bidi="ar-SA"/>
        </w:rPr>
        <w:br w:type="page"/>
      </w:r>
    </w:p>
    <w:p>
      <w:pPr>
        <w:shd w:val="clear"/>
        <w:rPr>
          <w:rFonts w:hint="eastAsia"/>
          <w:b/>
          <w:bCs/>
          <w:color w:val="auto"/>
          <w:sz w:val="28"/>
          <w:szCs w:val="28"/>
          <w:highlight w:val="none"/>
          <w:lang w:val="en-US" w:eastAsia="zh-CN"/>
        </w:rPr>
      </w:pPr>
      <w:r>
        <w:rPr>
          <w:rFonts w:hint="eastAsia"/>
          <w:b/>
          <w:bCs/>
          <w:color w:val="auto"/>
          <w:sz w:val="28"/>
          <w:szCs w:val="28"/>
          <w:highlight w:val="none"/>
          <w:lang w:val="en-US" w:eastAsia="zh-CN"/>
        </w:rPr>
        <w:t>附件：</w:t>
      </w:r>
    </w:p>
    <w:p>
      <w:pPr>
        <w:shd w:val="clear"/>
        <w:jc w:val="center"/>
        <w:rPr>
          <w:rFonts w:hint="eastAsia"/>
          <w:b/>
          <w:bCs/>
          <w:color w:val="auto"/>
          <w:sz w:val="28"/>
          <w:szCs w:val="28"/>
          <w:highlight w:val="none"/>
          <w:lang w:val="en-US" w:eastAsia="zh-CN"/>
        </w:rPr>
      </w:pPr>
      <w:r>
        <w:rPr>
          <w:rFonts w:hint="eastAsia"/>
          <w:b/>
          <w:bCs/>
          <w:color w:val="auto"/>
          <w:sz w:val="28"/>
          <w:szCs w:val="28"/>
          <w:highlight w:val="none"/>
          <w:lang w:val="en-US" w:eastAsia="zh-CN"/>
        </w:rPr>
        <w:t>食堂食材及物资供应商月度考核表</w:t>
      </w:r>
    </w:p>
    <w:p>
      <w:pPr>
        <w:shd w:val="clear"/>
        <w:jc w:val="center"/>
        <w:rPr>
          <w:rFonts w:hint="eastAsia"/>
          <w:b/>
          <w:bCs/>
          <w:color w:val="auto"/>
          <w:sz w:val="24"/>
          <w:szCs w:val="24"/>
          <w:highlight w:val="none"/>
          <w:lang w:val="en-US" w:eastAsia="zh-CN"/>
        </w:rPr>
      </w:pPr>
    </w:p>
    <w:tbl>
      <w:tblPr>
        <w:tblStyle w:val="73"/>
        <w:tblW w:w="90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772"/>
        <w:gridCol w:w="8"/>
        <w:gridCol w:w="772"/>
        <w:gridCol w:w="8"/>
        <w:gridCol w:w="5140"/>
        <w:gridCol w:w="5"/>
        <w:gridCol w:w="99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452" w:hRule="atLeast"/>
          <w:jc w:val="center"/>
        </w:trPr>
        <w:tc>
          <w:tcPr>
            <w:tcW w:w="780" w:type="dxa"/>
            <w:gridSpan w:val="2"/>
          </w:tcPr>
          <w:p>
            <w:pPr>
              <w:shd w:val="clear"/>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内容</w:t>
            </w:r>
          </w:p>
        </w:tc>
        <w:tc>
          <w:tcPr>
            <w:tcW w:w="780" w:type="dxa"/>
            <w:gridSpan w:val="2"/>
          </w:tcPr>
          <w:p>
            <w:pPr>
              <w:shd w:val="clear"/>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序号</w:t>
            </w:r>
          </w:p>
        </w:tc>
        <w:tc>
          <w:tcPr>
            <w:tcW w:w="5145" w:type="dxa"/>
            <w:gridSpan w:val="2"/>
          </w:tcPr>
          <w:p>
            <w:pPr>
              <w:shd w:val="clear"/>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考核事项</w:t>
            </w:r>
          </w:p>
        </w:tc>
        <w:tc>
          <w:tcPr>
            <w:tcW w:w="990" w:type="dxa"/>
          </w:tcPr>
          <w:p>
            <w:pPr>
              <w:shd w:val="clear"/>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得分</w:t>
            </w:r>
          </w:p>
        </w:tc>
        <w:tc>
          <w:tcPr>
            <w:tcW w:w="1305" w:type="dxa"/>
          </w:tcPr>
          <w:p>
            <w:pPr>
              <w:shd w:val="clear"/>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restart"/>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产</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品</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质</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量</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与</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安</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全</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55分</w:t>
            </w: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w:t>
            </w:r>
          </w:p>
        </w:tc>
        <w:tc>
          <w:tcPr>
            <w:tcW w:w="5145" w:type="dxa"/>
            <w:gridSpan w:val="2"/>
          </w:tcPr>
          <w:p>
            <w:pPr>
              <w:shd w:val="clear"/>
              <w:jc w:val="left"/>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供应食材</w:t>
            </w:r>
            <w:r>
              <w:rPr>
                <w:rFonts w:hint="eastAsia" w:ascii="仿宋" w:hAnsi="仿宋" w:eastAsia="仿宋" w:cs="仿宋"/>
                <w:color w:val="auto"/>
                <w:sz w:val="21"/>
                <w:highlight w:val="none"/>
                <w:lang w:val="en-US" w:bidi="zh-CN"/>
              </w:rPr>
              <w:t>需提供但</w:t>
            </w:r>
            <w:r>
              <w:rPr>
                <w:rFonts w:hint="eastAsia" w:ascii="仿宋" w:hAnsi="仿宋" w:eastAsia="仿宋" w:cs="仿宋"/>
                <w:color w:val="auto"/>
                <w:sz w:val="21"/>
                <w:highlight w:val="none"/>
                <w:lang w:val="zh-CN" w:bidi="zh-CN"/>
              </w:rPr>
              <w:t>未</w:t>
            </w:r>
            <w:r>
              <w:rPr>
                <w:rFonts w:hint="eastAsia" w:ascii="仿宋" w:hAnsi="仿宋" w:eastAsia="仿宋" w:cs="仿宋"/>
                <w:color w:val="auto"/>
                <w:sz w:val="21"/>
                <w:highlight w:val="none"/>
                <w:lang w:val="en-US" w:bidi="zh-CN"/>
              </w:rPr>
              <w:t>能</w:t>
            </w:r>
            <w:r>
              <w:rPr>
                <w:rFonts w:hint="eastAsia" w:ascii="仿宋" w:hAnsi="仿宋" w:eastAsia="仿宋" w:cs="仿宋"/>
                <w:color w:val="auto"/>
                <w:sz w:val="21"/>
                <w:highlight w:val="none"/>
                <w:lang w:val="zh-CN" w:bidi="zh-CN"/>
              </w:rPr>
              <w:t>提供或不能完整提供索证索票和溯源资料的。</w:t>
            </w:r>
            <w:r>
              <w:rPr>
                <w:rFonts w:hint="eastAsia" w:ascii="仿宋" w:hAnsi="仿宋" w:eastAsia="仿宋" w:cs="仿宋"/>
                <w:color w:val="auto"/>
                <w:sz w:val="21"/>
                <w:highlight w:val="none"/>
                <w:lang w:val="en-US" w:bidi="zh-CN"/>
              </w:rPr>
              <w:t>扣1-2分</w:t>
            </w:r>
          </w:p>
        </w:tc>
        <w:tc>
          <w:tcPr>
            <w:tcW w:w="990" w:type="dxa"/>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w:t>
            </w:r>
          </w:p>
        </w:tc>
        <w:tc>
          <w:tcPr>
            <w:tcW w:w="514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食材物资的包装不符合要求及包装厂标签标识内容不完整、不清晰的(各类货物包装须符合国家GB7718《预包装食品标签通则》、GBT17374《食用植物油销售包装》、GB18406《农产品安全质量》的规定和卫生要求，有注册商标和QS标志等，散装产品有质量合格证明或检验检疫证明等)。</w:t>
            </w:r>
            <w:r>
              <w:rPr>
                <w:rFonts w:hint="eastAsia" w:ascii="仿宋" w:hAnsi="仿宋" w:eastAsia="仿宋" w:cs="仿宋"/>
                <w:color w:val="auto"/>
                <w:sz w:val="21"/>
                <w:highlight w:val="none"/>
                <w:lang w:val="en-US" w:bidi="zh-CN"/>
              </w:rPr>
              <w:t>扣1-5分</w:t>
            </w:r>
          </w:p>
        </w:tc>
        <w:tc>
          <w:tcPr>
            <w:tcW w:w="990" w:type="dxa"/>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3</w:t>
            </w:r>
          </w:p>
        </w:tc>
        <w:tc>
          <w:tcPr>
            <w:tcW w:w="5145" w:type="dxa"/>
            <w:gridSpan w:val="2"/>
          </w:tcPr>
          <w:p>
            <w:pPr>
              <w:shd w:val="clear"/>
              <w:jc w:val="left"/>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与中标食材</w:t>
            </w:r>
            <w:r>
              <w:rPr>
                <w:rFonts w:hint="eastAsia" w:ascii="仿宋" w:hAnsi="仿宋" w:eastAsia="仿宋" w:cs="仿宋"/>
                <w:color w:val="auto"/>
                <w:sz w:val="21"/>
                <w:highlight w:val="none"/>
                <w:lang w:val="en-US" w:bidi="zh-CN"/>
              </w:rPr>
              <w:t>物资</w:t>
            </w:r>
            <w:r>
              <w:rPr>
                <w:rFonts w:hint="eastAsia" w:ascii="仿宋" w:hAnsi="仿宋" w:eastAsia="仿宋" w:cs="仿宋"/>
                <w:color w:val="auto"/>
                <w:sz w:val="21"/>
                <w:highlight w:val="none"/>
                <w:lang w:val="zh-CN" w:bidi="zh-CN"/>
              </w:rPr>
              <w:t>的品名、品牌、规格、产地、包装不一致的。</w:t>
            </w:r>
            <w:r>
              <w:rPr>
                <w:rFonts w:hint="eastAsia" w:ascii="仿宋" w:hAnsi="仿宋" w:eastAsia="仿宋" w:cs="仿宋"/>
                <w:color w:val="auto"/>
                <w:sz w:val="21"/>
                <w:highlight w:val="none"/>
                <w:lang w:val="en-US" w:bidi="zh-CN"/>
              </w:rPr>
              <w:t>扣1-2分</w:t>
            </w:r>
          </w:p>
        </w:tc>
        <w:tc>
          <w:tcPr>
            <w:tcW w:w="990" w:type="dxa"/>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4</w:t>
            </w:r>
          </w:p>
        </w:tc>
        <w:tc>
          <w:tcPr>
            <w:tcW w:w="5145" w:type="dxa"/>
            <w:gridSpan w:val="2"/>
          </w:tcPr>
          <w:p>
            <w:pPr>
              <w:shd w:val="clear"/>
              <w:jc w:val="left"/>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供应的食材</w:t>
            </w:r>
            <w:r>
              <w:rPr>
                <w:rFonts w:hint="eastAsia" w:ascii="仿宋" w:hAnsi="仿宋" w:eastAsia="仿宋" w:cs="仿宋"/>
                <w:color w:val="auto"/>
                <w:sz w:val="21"/>
                <w:highlight w:val="none"/>
                <w:lang w:val="en-US" w:bidi="zh-CN"/>
              </w:rPr>
              <w:t>物资</w:t>
            </w:r>
            <w:r>
              <w:rPr>
                <w:rFonts w:hint="eastAsia" w:ascii="仿宋" w:hAnsi="仿宋" w:eastAsia="仿宋" w:cs="仿宋"/>
                <w:color w:val="auto"/>
                <w:sz w:val="21"/>
                <w:highlight w:val="none"/>
                <w:lang w:val="zh-CN" w:bidi="zh-CN"/>
              </w:rPr>
              <w:t>剩余有效期低于保质期时限三分之一的。</w:t>
            </w:r>
            <w:r>
              <w:rPr>
                <w:rFonts w:hint="eastAsia" w:ascii="仿宋" w:hAnsi="仿宋" w:eastAsia="仿宋" w:cs="仿宋"/>
                <w:color w:val="auto"/>
                <w:sz w:val="21"/>
                <w:highlight w:val="none"/>
                <w:lang w:val="en-US" w:bidi="zh-CN"/>
              </w:rPr>
              <w:t>扣1分</w:t>
            </w:r>
          </w:p>
        </w:tc>
        <w:tc>
          <w:tcPr>
            <w:tcW w:w="990" w:type="dxa"/>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5</w:t>
            </w:r>
          </w:p>
        </w:tc>
        <w:tc>
          <w:tcPr>
            <w:tcW w:w="5145" w:type="dxa"/>
            <w:gridSpan w:val="2"/>
          </w:tcPr>
          <w:p>
            <w:pPr>
              <w:shd w:val="clear"/>
              <w:jc w:val="left"/>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配送的单个食材</w:t>
            </w:r>
            <w:r>
              <w:rPr>
                <w:rFonts w:hint="eastAsia" w:ascii="仿宋" w:hAnsi="仿宋" w:eastAsia="仿宋" w:cs="仿宋"/>
                <w:color w:val="auto"/>
                <w:sz w:val="21"/>
                <w:highlight w:val="none"/>
                <w:lang w:val="en-US" w:bidi="zh-CN"/>
              </w:rPr>
              <w:t>物资</w:t>
            </w:r>
            <w:r>
              <w:rPr>
                <w:rFonts w:hint="eastAsia" w:ascii="仿宋" w:hAnsi="仿宋" w:eastAsia="仿宋" w:cs="仿宋"/>
                <w:color w:val="auto"/>
                <w:sz w:val="21"/>
                <w:highlight w:val="none"/>
                <w:lang w:val="zh-CN" w:bidi="zh-CN"/>
              </w:rPr>
              <w:t>质量合格率低于95%的。</w:t>
            </w:r>
            <w:r>
              <w:rPr>
                <w:rFonts w:hint="eastAsia" w:ascii="仿宋" w:hAnsi="仿宋" w:eastAsia="仿宋" w:cs="仿宋"/>
                <w:color w:val="auto"/>
                <w:sz w:val="21"/>
                <w:highlight w:val="none"/>
                <w:lang w:val="en-US" w:bidi="zh-CN"/>
              </w:rPr>
              <w:t>扣1分</w:t>
            </w:r>
          </w:p>
        </w:tc>
        <w:tc>
          <w:tcPr>
            <w:tcW w:w="990" w:type="dxa"/>
          </w:tcPr>
          <w:p>
            <w:pPr>
              <w:shd w:val="clear"/>
              <w:jc w:val="center"/>
              <w:rPr>
                <w:rFonts w:hint="eastAsia" w:ascii="仿宋" w:hAnsi="仿宋" w:eastAsia="仿宋" w:cs="仿宋"/>
                <w:b w:val="0"/>
                <w:bCs w:val="0"/>
                <w:color w:val="auto"/>
                <w:sz w:val="18"/>
                <w:szCs w:val="18"/>
                <w:highlight w:val="none"/>
                <w:vertAlign w:val="baseline"/>
                <w:lang w:val="en-US" w:eastAsia="zh-CN"/>
              </w:rPr>
            </w:pPr>
          </w:p>
        </w:tc>
        <w:tc>
          <w:tcPr>
            <w:tcW w:w="1305" w:type="dxa"/>
          </w:tcPr>
          <w:p>
            <w:pPr>
              <w:keepNext w:val="0"/>
              <w:keepLines w:val="0"/>
              <w:pageBreakBefore w:val="0"/>
              <w:widowControl w:val="0"/>
              <w:shd w:val="clear"/>
              <w:kinsoku/>
              <w:wordWrap/>
              <w:overflowPunct/>
              <w:topLinePunct w:val="0"/>
              <w:autoSpaceDE/>
              <w:autoSpaceDN/>
              <w:bidi w:val="0"/>
              <w:adjustRightInd/>
              <w:snapToGrid/>
              <w:spacing w:line="240" w:lineRule="exact"/>
              <w:jc w:val="both"/>
              <w:textAlignment w:val="auto"/>
              <w:rPr>
                <w:rFonts w:hint="eastAsia" w:ascii="仿宋" w:hAnsi="仿宋" w:eastAsia="仿宋" w:cs="仿宋"/>
                <w:b w:val="0"/>
                <w:bCs w:val="0"/>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143"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keepNext w:val="0"/>
              <w:keepLines w:val="0"/>
              <w:pageBreakBefore w:val="0"/>
              <w:widowControl w:val="0"/>
              <w:shd w:val="clear"/>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6</w:t>
            </w:r>
          </w:p>
        </w:tc>
        <w:tc>
          <w:tcPr>
            <w:tcW w:w="5145" w:type="dxa"/>
            <w:gridSpan w:val="2"/>
          </w:tcPr>
          <w:p>
            <w:pPr>
              <w:keepNext w:val="0"/>
              <w:keepLines w:val="0"/>
              <w:pageBreakBefore w:val="0"/>
              <w:widowControl w:val="0"/>
              <w:shd w:val="clear"/>
              <w:kinsoku/>
              <w:wordWrap/>
              <w:overflowPunct/>
              <w:topLinePunct w:val="0"/>
              <w:autoSpaceDE/>
              <w:autoSpaceDN/>
              <w:bidi w:val="0"/>
              <w:adjustRightInd w:val="0"/>
              <w:snapToGrid/>
              <w:spacing w:line="240" w:lineRule="auto"/>
              <w:ind w:left="0" w:leftChars="0" w:right="0" w:rightChars="0" w:firstLine="0" w:firstLineChars="0"/>
              <w:jc w:val="left"/>
              <w:textAlignment w:val="auto"/>
              <w:outlineLvl w:val="9"/>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私自更换物资包装的。</w:t>
            </w:r>
            <w:r>
              <w:rPr>
                <w:rFonts w:hint="eastAsia" w:ascii="仿宋" w:hAnsi="仿宋" w:eastAsia="仿宋" w:cs="仿宋"/>
                <w:color w:val="auto"/>
                <w:sz w:val="21"/>
                <w:highlight w:val="none"/>
                <w:lang w:val="en-US" w:bidi="zh-CN"/>
              </w:rPr>
              <w:t>扣1-2分</w:t>
            </w:r>
          </w:p>
        </w:tc>
        <w:tc>
          <w:tcPr>
            <w:tcW w:w="990" w:type="dxa"/>
          </w:tcPr>
          <w:p>
            <w:pPr>
              <w:keepNext w:val="0"/>
              <w:keepLines w:val="0"/>
              <w:pageBreakBefore w:val="0"/>
              <w:widowControl w:val="0"/>
              <w:shd w:val="clear"/>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8"/>
                <w:szCs w:val="28"/>
                <w:highlight w:val="none"/>
                <w:vertAlign w:val="baseline"/>
                <w:lang w:val="en-US" w:eastAsia="zh-CN"/>
              </w:rPr>
            </w:pPr>
          </w:p>
        </w:tc>
        <w:tc>
          <w:tcPr>
            <w:tcW w:w="1305" w:type="dxa"/>
          </w:tcPr>
          <w:p>
            <w:pPr>
              <w:keepNext w:val="0"/>
              <w:keepLines w:val="0"/>
              <w:pageBreakBefore w:val="0"/>
              <w:widowControl w:val="0"/>
              <w:shd w:val="clear"/>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hint="eastAsia" w:ascii="仿宋" w:hAnsi="仿宋" w:eastAsia="仿宋" w:cs="仿宋"/>
                <w:b w:val="0"/>
                <w:bCs w:val="0"/>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7</w:t>
            </w:r>
          </w:p>
        </w:tc>
        <w:tc>
          <w:tcPr>
            <w:tcW w:w="5145" w:type="dxa"/>
            <w:gridSpan w:val="2"/>
          </w:tcPr>
          <w:p>
            <w:pPr>
              <w:shd w:val="clear"/>
              <w:jc w:val="left"/>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预包装破损、变形、渗漏、污秽、异味的。</w:t>
            </w:r>
            <w:r>
              <w:rPr>
                <w:rFonts w:hint="eastAsia" w:ascii="仿宋" w:hAnsi="仿宋" w:eastAsia="仿宋" w:cs="仿宋"/>
                <w:color w:val="auto"/>
                <w:sz w:val="21"/>
                <w:highlight w:val="none"/>
                <w:lang w:val="en-US" w:bidi="zh-CN"/>
              </w:rPr>
              <w:t>扣1-5分</w:t>
            </w:r>
          </w:p>
        </w:tc>
        <w:tc>
          <w:tcPr>
            <w:tcW w:w="990" w:type="dxa"/>
          </w:tcPr>
          <w:p>
            <w:pPr>
              <w:shd w:val="clear"/>
              <w:jc w:val="center"/>
              <w:rPr>
                <w:rFonts w:hint="eastAsia" w:ascii="仿宋" w:hAnsi="仿宋" w:eastAsia="仿宋" w:cs="仿宋"/>
                <w:b w:val="0"/>
                <w:bCs w:val="0"/>
                <w:color w:val="auto"/>
                <w:sz w:val="28"/>
                <w:szCs w:val="28"/>
                <w:highlight w:val="none"/>
                <w:vertAlign w:val="baseline"/>
                <w:lang w:val="en-US" w:eastAsia="zh-CN"/>
              </w:rPr>
            </w:pPr>
          </w:p>
        </w:tc>
        <w:tc>
          <w:tcPr>
            <w:tcW w:w="1305" w:type="dxa"/>
          </w:tcPr>
          <w:p>
            <w:pPr>
              <w:keepNext w:val="0"/>
              <w:keepLines w:val="0"/>
              <w:pageBreakBefore w:val="0"/>
              <w:widowControl w:val="0"/>
              <w:shd w:val="clear"/>
              <w:kinsoku/>
              <w:wordWrap/>
              <w:overflowPunct/>
              <w:topLinePunct w:val="0"/>
              <w:autoSpaceDE/>
              <w:autoSpaceDN/>
              <w:bidi w:val="0"/>
              <w:adjustRightInd/>
              <w:snapToGrid/>
              <w:spacing w:line="200" w:lineRule="exact"/>
              <w:jc w:val="both"/>
              <w:textAlignment w:val="auto"/>
              <w:rPr>
                <w:rFonts w:hint="eastAsia" w:ascii="仿宋" w:hAnsi="仿宋" w:eastAsia="仿宋" w:cs="仿宋"/>
                <w:b w:val="0"/>
                <w:bCs w:val="0"/>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8</w:t>
            </w:r>
          </w:p>
        </w:tc>
        <w:tc>
          <w:tcPr>
            <w:tcW w:w="5145" w:type="dxa"/>
            <w:gridSpan w:val="2"/>
          </w:tcPr>
          <w:p>
            <w:pPr>
              <w:shd w:val="clear"/>
              <w:jc w:val="left"/>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非定型包装的容器破损、变形、渗漏、污秽、异味或未按要求盛装的，如使用有色塑料袋。</w:t>
            </w:r>
            <w:r>
              <w:rPr>
                <w:rFonts w:hint="eastAsia" w:ascii="仿宋" w:hAnsi="仿宋" w:eastAsia="仿宋" w:cs="仿宋"/>
                <w:color w:val="auto"/>
                <w:sz w:val="21"/>
                <w:highlight w:val="none"/>
                <w:lang w:val="en-US" w:bidi="zh-CN"/>
              </w:rPr>
              <w:t>扣1-5分</w:t>
            </w:r>
          </w:p>
        </w:tc>
        <w:tc>
          <w:tcPr>
            <w:tcW w:w="990" w:type="dxa"/>
          </w:tcPr>
          <w:p>
            <w:pPr>
              <w:shd w:val="clear"/>
              <w:jc w:val="center"/>
              <w:rPr>
                <w:rFonts w:hint="eastAsia" w:ascii="仿宋" w:hAnsi="仿宋" w:eastAsia="仿宋" w:cs="仿宋"/>
                <w:b w:val="0"/>
                <w:bCs w:val="0"/>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val="0"/>
                <w:bCs w:val="0"/>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9</w:t>
            </w:r>
          </w:p>
        </w:tc>
        <w:tc>
          <w:tcPr>
            <w:tcW w:w="5145"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生鲜食材不新鲜有腐败变质的。</w:t>
            </w:r>
            <w:r>
              <w:rPr>
                <w:rFonts w:hint="eastAsia" w:ascii="仿宋" w:hAnsi="仿宋" w:eastAsia="仿宋" w:cs="仿宋"/>
                <w:color w:val="auto"/>
                <w:sz w:val="21"/>
                <w:highlight w:val="none"/>
                <w:lang w:val="en-US" w:bidi="zh-CN"/>
              </w:rPr>
              <w:t>扣1-5分</w:t>
            </w:r>
          </w:p>
        </w:tc>
        <w:tc>
          <w:tcPr>
            <w:tcW w:w="990" w:type="dxa"/>
          </w:tcPr>
          <w:p>
            <w:pPr>
              <w:shd w:val="clear"/>
              <w:jc w:val="both"/>
              <w:rPr>
                <w:rFonts w:hint="eastAsia" w:ascii="仿宋" w:hAnsi="仿宋" w:eastAsia="仿宋" w:cs="仿宋"/>
                <w:b w:val="0"/>
                <w:bCs w:val="0"/>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val="0"/>
                <w:bCs w:val="0"/>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90"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10</w:t>
            </w:r>
          </w:p>
        </w:tc>
        <w:tc>
          <w:tcPr>
            <w:tcW w:w="5145"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肉类有异味的。</w:t>
            </w:r>
            <w:r>
              <w:rPr>
                <w:rFonts w:hint="eastAsia" w:ascii="仿宋" w:hAnsi="仿宋" w:eastAsia="仿宋" w:cs="仿宋"/>
                <w:color w:val="auto"/>
                <w:sz w:val="21"/>
                <w:highlight w:val="none"/>
                <w:lang w:val="en-US" w:bidi="zh-CN"/>
              </w:rPr>
              <w:t>扣1-4分</w:t>
            </w:r>
          </w:p>
        </w:tc>
        <w:tc>
          <w:tcPr>
            <w:tcW w:w="990" w:type="dxa"/>
          </w:tcPr>
          <w:p>
            <w:pPr>
              <w:shd w:val="clear"/>
              <w:ind w:firstLine="280" w:firstLineChars="100"/>
              <w:jc w:val="both"/>
              <w:rPr>
                <w:rFonts w:hint="eastAsia" w:ascii="仿宋" w:hAnsi="仿宋" w:eastAsia="仿宋" w:cs="仿宋"/>
                <w:b w:val="0"/>
                <w:bCs w:val="0"/>
                <w:color w:val="auto"/>
                <w:sz w:val="28"/>
                <w:szCs w:val="28"/>
                <w:highlight w:val="none"/>
                <w:vertAlign w:val="baseline"/>
                <w:lang w:val="en-US" w:eastAsia="zh-CN"/>
              </w:rPr>
            </w:pPr>
          </w:p>
        </w:tc>
        <w:tc>
          <w:tcPr>
            <w:tcW w:w="1305" w:type="dxa"/>
          </w:tcPr>
          <w:p>
            <w:pPr>
              <w:keepNext w:val="0"/>
              <w:keepLines w:val="0"/>
              <w:pageBreakBefore w:val="0"/>
              <w:widowControl w:val="0"/>
              <w:shd w:val="clear"/>
              <w:kinsoku/>
              <w:wordWrap/>
              <w:overflowPunct/>
              <w:topLinePunct w:val="0"/>
              <w:autoSpaceDE/>
              <w:autoSpaceDN/>
              <w:bidi w:val="0"/>
              <w:adjustRightInd/>
              <w:snapToGrid/>
              <w:spacing w:line="240" w:lineRule="exact"/>
              <w:jc w:val="both"/>
              <w:textAlignment w:val="auto"/>
              <w:rPr>
                <w:rFonts w:hint="eastAsia" w:ascii="仿宋" w:hAnsi="仿宋" w:eastAsia="仿宋" w:cs="仿宋"/>
                <w:b w:val="0"/>
                <w:bCs w:val="0"/>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11</w:t>
            </w:r>
          </w:p>
        </w:tc>
        <w:tc>
          <w:tcPr>
            <w:tcW w:w="5145"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供应的食材出现注水或浸水现象的。</w:t>
            </w:r>
            <w:r>
              <w:rPr>
                <w:rFonts w:hint="eastAsia" w:ascii="仿宋" w:hAnsi="仿宋" w:eastAsia="仿宋" w:cs="仿宋"/>
                <w:color w:val="auto"/>
                <w:sz w:val="21"/>
                <w:highlight w:val="none"/>
                <w:lang w:val="en-US" w:bidi="zh-CN"/>
              </w:rPr>
              <w:t>扣1-4分</w:t>
            </w:r>
          </w:p>
        </w:tc>
        <w:tc>
          <w:tcPr>
            <w:tcW w:w="990" w:type="dxa"/>
          </w:tcPr>
          <w:p>
            <w:pPr>
              <w:shd w:val="clear"/>
              <w:jc w:val="center"/>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159"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12</w:t>
            </w:r>
          </w:p>
        </w:tc>
        <w:tc>
          <w:tcPr>
            <w:tcW w:w="5145"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食材中有</w:t>
            </w:r>
            <w:r>
              <w:rPr>
                <w:rFonts w:hint="eastAsia" w:ascii="仿宋" w:hAnsi="仿宋" w:eastAsia="仿宋" w:cs="仿宋"/>
                <w:color w:val="auto"/>
                <w:sz w:val="21"/>
                <w:highlight w:val="none"/>
                <w:lang w:val="en-US" w:bidi="zh-CN"/>
              </w:rPr>
              <w:t>不相干</w:t>
            </w:r>
            <w:r>
              <w:rPr>
                <w:rFonts w:hint="eastAsia" w:ascii="仿宋" w:hAnsi="仿宋" w:eastAsia="仿宋" w:cs="仿宋"/>
                <w:color w:val="auto"/>
                <w:sz w:val="21"/>
                <w:highlight w:val="none"/>
                <w:lang w:val="zh-CN" w:bidi="zh-CN"/>
              </w:rPr>
              <w:t>异物的。</w:t>
            </w:r>
            <w:r>
              <w:rPr>
                <w:rFonts w:hint="eastAsia" w:ascii="仿宋" w:hAnsi="仿宋" w:eastAsia="仿宋" w:cs="仿宋"/>
                <w:color w:val="auto"/>
                <w:sz w:val="21"/>
                <w:highlight w:val="none"/>
                <w:lang w:val="en-US" w:bidi="zh-CN"/>
              </w:rPr>
              <w:t>扣1-5分</w:t>
            </w:r>
          </w:p>
        </w:tc>
        <w:tc>
          <w:tcPr>
            <w:tcW w:w="990" w:type="dxa"/>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90"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13</w:t>
            </w:r>
          </w:p>
        </w:tc>
        <w:tc>
          <w:tcPr>
            <w:tcW w:w="514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散装食材有受潮</w:t>
            </w:r>
            <w:r>
              <w:rPr>
                <w:rFonts w:hint="eastAsia" w:ascii="仿宋" w:hAnsi="仿宋" w:eastAsia="仿宋" w:cs="仿宋"/>
                <w:color w:val="auto"/>
                <w:sz w:val="21"/>
                <w:highlight w:val="none"/>
                <w:lang w:val="en-US" w:bidi="zh-CN"/>
              </w:rPr>
              <w:t>或</w:t>
            </w:r>
            <w:r>
              <w:rPr>
                <w:rFonts w:hint="eastAsia" w:ascii="仿宋" w:hAnsi="仿宋" w:eastAsia="仿宋" w:cs="仿宋"/>
                <w:color w:val="auto"/>
                <w:sz w:val="21"/>
                <w:highlight w:val="none"/>
                <w:lang w:val="zh-CN" w:bidi="zh-CN"/>
              </w:rPr>
              <w:t>霉变现象的。</w:t>
            </w:r>
            <w:r>
              <w:rPr>
                <w:rFonts w:hint="eastAsia" w:ascii="仿宋" w:hAnsi="仿宋" w:eastAsia="仿宋" w:cs="仿宋"/>
                <w:color w:val="auto"/>
                <w:sz w:val="21"/>
                <w:highlight w:val="none"/>
                <w:lang w:val="en-US" w:bidi="zh-CN"/>
              </w:rPr>
              <w:t>扣1-5分</w:t>
            </w:r>
          </w:p>
        </w:tc>
        <w:tc>
          <w:tcPr>
            <w:tcW w:w="990" w:type="dxa"/>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14</w:t>
            </w:r>
          </w:p>
        </w:tc>
        <w:tc>
          <w:tcPr>
            <w:tcW w:w="514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禽蛋外壳有明显的鸡粪、污物或有霉点的情况。</w:t>
            </w:r>
            <w:r>
              <w:rPr>
                <w:rFonts w:hint="eastAsia" w:ascii="仿宋" w:hAnsi="仿宋" w:eastAsia="仿宋" w:cs="仿宋"/>
                <w:color w:val="auto"/>
                <w:sz w:val="21"/>
                <w:highlight w:val="none"/>
                <w:lang w:val="en-US" w:bidi="zh-CN"/>
              </w:rPr>
              <w:t>扣1-2分</w:t>
            </w:r>
          </w:p>
        </w:tc>
        <w:tc>
          <w:tcPr>
            <w:tcW w:w="990" w:type="dxa"/>
          </w:tcPr>
          <w:p>
            <w:pPr>
              <w:shd w:val="clear"/>
              <w:jc w:val="center"/>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15</w:t>
            </w:r>
          </w:p>
        </w:tc>
        <w:tc>
          <w:tcPr>
            <w:tcW w:w="5145" w:type="dxa"/>
            <w:gridSpan w:val="2"/>
          </w:tcPr>
          <w:p>
            <w:pPr>
              <w:shd w:val="clear"/>
              <w:jc w:val="both"/>
              <w:rPr>
                <w:rFonts w:hint="eastAsia" w:ascii="仿宋" w:hAnsi="仿宋" w:eastAsia="仿宋" w:cs="仿宋"/>
                <w:color w:val="auto"/>
                <w:sz w:val="21"/>
                <w:highlight w:val="none"/>
                <w:lang w:val="en-US" w:eastAsia="zh-CN" w:bidi="zh-CN"/>
              </w:rPr>
            </w:pPr>
            <w:r>
              <w:rPr>
                <w:rFonts w:hint="eastAsia" w:ascii="仿宋" w:hAnsi="仿宋" w:eastAsia="仿宋" w:cs="仿宋"/>
                <w:color w:val="auto"/>
                <w:sz w:val="21"/>
                <w:highlight w:val="none"/>
                <w:lang w:val="zh-CN" w:bidi="zh-CN"/>
              </w:rPr>
              <w:t>冷冻制品出现严重化冰的(未变质)。</w:t>
            </w:r>
            <w:r>
              <w:rPr>
                <w:rFonts w:hint="eastAsia" w:ascii="仿宋" w:hAnsi="仿宋" w:eastAsia="仿宋" w:cs="仿宋"/>
                <w:color w:val="auto"/>
                <w:sz w:val="21"/>
                <w:highlight w:val="none"/>
                <w:lang w:val="en-US" w:bidi="zh-CN"/>
              </w:rPr>
              <w:t>扣1-5分</w:t>
            </w:r>
          </w:p>
        </w:tc>
        <w:tc>
          <w:tcPr>
            <w:tcW w:w="990" w:type="dxa"/>
          </w:tcPr>
          <w:p>
            <w:pPr>
              <w:shd w:val="clear"/>
              <w:jc w:val="center"/>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16</w:t>
            </w:r>
          </w:p>
        </w:tc>
        <w:tc>
          <w:tcPr>
            <w:tcW w:w="514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猪肉和牛肉分割产品的分割标准未达到国家规定的相关分割标准的。</w:t>
            </w:r>
            <w:r>
              <w:rPr>
                <w:rFonts w:hint="eastAsia" w:ascii="仿宋" w:hAnsi="仿宋" w:eastAsia="仿宋" w:cs="仿宋"/>
                <w:color w:val="auto"/>
                <w:sz w:val="21"/>
                <w:highlight w:val="none"/>
                <w:lang w:val="en-US" w:bidi="zh-CN"/>
              </w:rPr>
              <w:t>扣1-2分</w:t>
            </w:r>
          </w:p>
        </w:tc>
        <w:tc>
          <w:tcPr>
            <w:tcW w:w="990" w:type="dxa"/>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80" w:type="dxa"/>
            <w:gridSpan w:val="2"/>
            <w:vMerge w:val="restart"/>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服</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务</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质</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量</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45</w:t>
            </w:r>
          </w:p>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分</w:t>
            </w: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17</w:t>
            </w:r>
          </w:p>
        </w:tc>
        <w:tc>
          <w:tcPr>
            <w:tcW w:w="5148" w:type="dxa"/>
            <w:gridSpan w:val="2"/>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配送车辆和配送人员违反</w:t>
            </w:r>
            <w:r>
              <w:rPr>
                <w:rFonts w:hint="eastAsia" w:ascii="仿宋" w:hAnsi="仿宋" w:eastAsia="仿宋" w:cs="仿宋"/>
                <w:color w:val="auto"/>
                <w:sz w:val="21"/>
                <w:highlight w:val="none"/>
                <w:lang w:val="en-US" w:eastAsia="zh-CN" w:bidi="zh-CN"/>
              </w:rPr>
              <w:t>采购人</w:t>
            </w:r>
            <w:r>
              <w:rPr>
                <w:rFonts w:hint="eastAsia" w:ascii="仿宋" w:hAnsi="仿宋" w:eastAsia="仿宋" w:cs="仿宋"/>
                <w:color w:val="auto"/>
                <w:sz w:val="21"/>
                <w:highlight w:val="none"/>
                <w:lang w:val="en-US" w:bidi="zh-CN"/>
              </w:rPr>
              <w:t>内</w:t>
            </w:r>
            <w:r>
              <w:rPr>
                <w:rFonts w:hint="eastAsia" w:ascii="仿宋" w:hAnsi="仿宋" w:eastAsia="仿宋" w:cs="仿宋"/>
                <w:color w:val="auto"/>
                <w:sz w:val="21"/>
                <w:highlight w:val="none"/>
                <w:lang w:val="zh-CN" w:bidi="zh-CN"/>
              </w:rPr>
              <w:t>有关交通、安全等方面要求不听</w:t>
            </w:r>
            <w:r>
              <w:rPr>
                <w:rFonts w:hint="eastAsia" w:ascii="仿宋" w:hAnsi="仿宋" w:eastAsia="仿宋" w:cs="仿宋"/>
                <w:color w:val="auto"/>
                <w:sz w:val="21"/>
                <w:highlight w:val="none"/>
                <w:lang w:val="en-US" w:bidi="zh-CN"/>
              </w:rPr>
              <w:t>劝阻</w:t>
            </w:r>
            <w:r>
              <w:rPr>
                <w:rFonts w:hint="eastAsia" w:ascii="仿宋" w:hAnsi="仿宋" w:eastAsia="仿宋" w:cs="仿宋"/>
                <w:color w:val="auto"/>
                <w:sz w:val="21"/>
                <w:highlight w:val="none"/>
                <w:lang w:val="zh-CN" w:bidi="zh-CN"/>
              </w:rPr>
              <w:t>的。</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18</w:t>
            </w:r>
          </w:p>
        </w:tc>
        <w:tc>
          <w:tcPr>
            <w:tcW w:w="5148" w:type="dxa"/>
            <w:gridSpan w:val="2"/>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en-US" w:bidi="zh-CN"/>
              </w:rPr>
              <w:t>未</w:t>
            </w:r>
            <w:r>
              <w:rPr>
                <w:rFonts w:hint="eastAsia" w:ascii="仿宋" w:hAnsi="仿宋" w:eastAsia="仿宋" w:cs="仿宋"/>
                <w:color w:val="auto"/>
                <w:sz w:val="21"/>
                <w:highlight w:val="none"/>
                <w:lang w:val="zh-CN" w:bidi="zh-CN"/>
              </w:rPr>
              <w:t>按约定送货时间送货(特殊原因且告知采购主管的除外)。</w:t>
            </w:r>
            <w:r>
              <w:rPr>
                <w:rFonts w:hint="eastAsia" w:ascii="仿宋" w:hAnsi="仿宋" w:eastAsia="仿宋" w:cs="仿宋"/>
                <w:color w:val="auto"/>
                <w:sz w:val="21"/>
                <w:highlight w:val="none"/>
                <w:lang w:val="en-US" w:bidi="zh-CN"/>
              </w:rPr>
              <w:t>扣1-3分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keepNext w:val="0"/>
              <w:keepLines w:val="0"/>
              <w:pageBreakBefore w:val="0"/>
              <w:widowControl w:val="0"/>
              <w:shd w:val="clear"/>
              <w:kinsoku/>
              <w:wordWrap/>
              <w:overflowPunct/>
              <w:topLinePunct w:val="0"/>
              <w:autoSpaceDE/>
              <w:autoSpaceDN/>
              <w:bidi w:val="0"/>
              <w:adjustRightInd/>
              <w:snapToGrid/>
              <w:spacing w:line="200" w:lineRule="exact"/>
              <w:jc w:val="both"/>
              <w:textAlignment w:val="auto"/>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19</w:t>
            </w:r>
          </w:p>
        </w:tc>
        <w:tc>
          <w:tcPr>
            <w:tcW w:w="5148" w:type="dxa"/>
            <w:gridSpan w:val="2"/>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配送现场不履行验收义务(不卸货、不参与验收、阻扰甲方验收人员正常行使验收职责、无故不签字确认相关票据、表格等)。</w:t>
            </w:r>
            <w:r>
              <w:rPr>
                <w:rFonts w:hint="eastAsia" w:ascii="仿宋" w:hAnsi="仿宋" w:eastAsia="仿宋" w:cs="仿宋"/>
                <w:color w:val="auto"/>
                <w:sz w:val="21"/>
                <w:highlight w:val="none"/>
                <w:lang w:val="en-US" w:bidi="zh-CN"/>
              </w:rPr>
              <w:t>扣1-3分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20</w:t>
            </w:r>
          </w:p>
        </w:tc>
        <w:tc>
          <w:tcPr>
            <w:tcW w:w="5148" w:type="dxa"/>
            <w:gridSpan w:val="2"/>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单个品种配送数量不足需求量的90%的(特殊原因且告知采购主管的除外)。</w:t>
            </w:r>
            <w:r>
              <w:rPr>
                <w:rFonts w:hint="eastAsia" w:ascii="仿宋" w:hAnsi="仿宋" w:eastAsia="仿宋" w:cs="仿宋"/>
                <w:color w:val="auto"/>
                <w:sz w:val="21"/>
                <w:highlight w:val="none"/>
                <w:lang w:val="en-US" w:bidi="zh-CN"/>
              </w:rPr>
              <w:t>扣1-2分</w:t>
            </w:r>
          </w:p>
        </w:tc>
        <w:tc>
          <w:tcPr>
            <w:tcW w:w="995" w:type="dxa"/>
            <w:gridSpan w:val="2"/>
          </w:tcPr>
          <w:p>
            <w:pPr>
              <w:shd w:val="clear"/>
              <w:jc w:val="center"/>
              <w:rPr>
                <w:rFonts w:hint="eastAsia" w:ascii="仿宋" w:hAnsi="仿宋" w:eastAsia="仿宋" w:cs="仿宋"/>
                <w:color w:val="auto"/>
                <w:sz w:val="21"/>
                <w:highlight w:val="none"/>
                <w:lang w:val="en-US" w:eastAsia="zh-CN" w:bidi="zh-CN"/>
              </w:rPr>
            </w:pPr>
          </w:p>
        </w:tc>
        <w:tc>
          <w:tcPr>
            <w:tcW w:w="1305" w:type="dxa"/>
          </w:tcPr>
          <w:p>
            <w:pPr>
              <w:shd w:val="clear"/>
              <w:jc w:val="center"/>
              <w:rPr>
                <w:rFonts w:hint="eastAsia" w:ascii="仿宋" w:hAnsi="仿宋" w:eastAsia="仿宋" w:cs="仿宋"/>
                <w:b w:val="0"/>
                <w:bCs w:val="0"/>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21</w:t>
            </w:r>
          </w:p>
        </w:tc>
        <w:tc>
          <w:tcPr>
            <w:tcW w:w="5148" w:type="dxa"/>
            <w:gridSpan w:val="2"/>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配送品种每少于需求食材品种1个的(特殊原因且告知采购主管的除外)，以此叠加。</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color w:val="auto"/>
                <w:sz w:val="21"/>
                <w:highlight w:val="none"/>
                <w:lang w:val="en-US" w:eastAsia="zh-CN" w:bidi="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22</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配送车辆未按规定使用冷藏冷冻车辆或箱式货车的。</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23</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配送车辆及人员卫生较差的。</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24</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食材原料与有毒有害物资共同配送的。</w:t>
            </w:r>
            <w:r>
              <w:rPr>
                <w:rFonts w:hint="eastAsia" w:ascii="仿宋" w:hAnsi="仿宋" w:eastAsia="仿宋" w:cs="仿宋"/>
                <w:color w:val="auto"/>
                <w:sz w:val="21"/>
                <w:highlight w:val="none"/>
                <w:lang w:val="en-US" w:bidi="zh-CN"/>
              </w:rPr>
              <w:t>扣5分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25</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配送时未按要求码放、装卸，未正确使用业主装卸工具的(电梯、平板车等)。</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26</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未按规定履行换、补食材义务的。</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27</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未按要求提供食品配送人员健康证的。</w:t>
            </w:r>
            <w:r>
              <w:rPr>
                <w:rFonts w:hint="eastAsia" w:ascii="仿宋" w:hAnsi="仿宋" w:eastAsia="仿宋" w:cs="仿宋"/>
                <w:color w:val="auto"/>
                <w:sz w:val="21"/>
                <w:highlight w:val="none"/>
                <w:lang w:val="en-US" w:bidi="zh-CN"/>
              </w:rPr>
              <w:t>扣1分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28</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企业或其相关雇员资质到期、变更未提交最新证照或相应补办证明材料的。</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29</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产品质量检验报告到期前内未提供最新的质量检验报告的。</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30</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未按时提供报价、定价等文档资料的，未按时领取相关考核资料的。</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31</w:t>
            </w:r>
          </w:p>
        </w:tc>
        <w:tc>
          <w:tcPr>
            <w:tcW w:w="5148" w:type="dxa"/>
            <w:gridSpan w:val="2"/>
            <w:vAlign w:val="center"/>
          </w:tcPr>
          <w:p>
            <w:pPr>
              <w:shd w:val="clear"/>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color w:val="auto"/>
                <w:sz w:val="21"/>
                <w:highlight w:val="none"/>
                <w:lang w:val="zh-CN" w:bidi="zh-CN"/>
              </w:rPr>
              <w:t>提供不符合要求结算票据的。</w:t>
            </w:r>
            <w:r>
              <w:rPr>
                <w:rFonts w:hint="eastAsia" w:ascii="仿宋" w:hAnsi="仿宋" w:eastAsia="仿宋" w:cs="仿宋"/>
                <w:color w:val="auto"/>
                <w:sz w:val="21"/>
                <w:highlight w:val="none"/>
                <w:lang w:val="en-US" w:bidi="zh-CN"/>
              </w:rPr>
              <w:t>扣1-2分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32</w:t>
            </w:r>
          </w:p>
        </w:tc>
        <w:tc>
          <w:tcPr>
            <w:tcW w:w="5148" w:type="dxa"/>
            <w:gridSpan w:val="2"/>
            <w:vAlign w:val="center"/>
          </w:tcPr>
          <w:p>
            <w:pPr>
              <w:shd w:val="clear"/>
              <w:jc w:val="both"/>
              <w:rPr>
                <w:rFonts w:hint="eastAsia" w:ascii="仿宋" w:hAnsi="仿宋" w:eastAsia="仿宋" w:cs="仿宋"/>
                <w:color w:val="auto"/>
                <w:sz w:val="21"/>
                <w:highlight w:val="none"/>
                <w:lang w:val="zh-CN" w:bidi="zh-CN"/>
              </w:rPr>
            </w:pPr>
            <w:r>
              <w:rPr>
                <w:rFonts w:hint="eastAsia" w:ascii="仿宋" w:hAnsi="仿宋" w:eastAsia="仿宋" w:cs="仿宋"/>
                <w:color w:val="auto"/>
                <w:sz w:val="21"/>
                <w:highlight w:val="none"/>
                <w:lang w:val="zh-CN" w:bidi="zh-CN"/>
              </w:rPr>
              <w:t>未制定相应供货应急预案或不能实施，扣1-5分。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33</w:t>
            </w:r>
          </w:p>
        </w:tc>
        <w:tc>
          <w:tcPr>
            <w:tcW w:w="5148" w:type="dxa"/>
            <w:gridSpan w:val="2"/>
            <w:vAlign w:val="center"/>
          </w:tcPr>
          <w:p>
            <w:pPr>
              <w:shd w:val="clear"/>
              <w:jc w:val="both"/>
              <w:rPr>
                <w:rFonts w:hint="eastAsia" w:ascii="仿宋" w:hAnsi="仿宋" w:eastAsia="仿宋" w:cs="仿宋"/>
                <w:color w:val="auto"/>
                <w:sz w:val="21"/>
                <w:highlight w:val="none"/>
                <w:lang w:val="zh-CN" w:bidi="zh-CN"/>
              </w:rPr>
            </w:pPr>
            <w:r>
              <w:rPr>
                <w:rFonts w:hint="eastAsia" w:ascii="仿宋" w:hAnsi="仿宋" w:eastAsia="仿宋" w:cs="仿宋"/>
                <w:color w:val="auto"/>
                <w:sz w:val="21"/>
                <w:highlight w:val="none"/>
                <w:lang w:val="zh-CN" w:bidi="zh-CN"/>
              </w:rPr>
              <w:t>供应商须提供48小时视频留样记录台账，以供采购人不定期抽查。如发现台账记录不全，每次扣</w:t>
            </w:r>
            <w:r>
              <w:rPr>
                <w:rFonts w:hint="eastAsia" w:ascii="仿宋" w:hAnsi="仿宋" w:eastAsia="仿宋" w:cs="仿宋"/>
                <w:color w:val="auto"/>
                <w:sz w:val="21"/>
                <w:highlight w:val="none"/>
                <w:lang w:val="en-US" w:bidi="zh-CN"/>
              </w:rPr>
              <w:t>3</w:t>
            </w:r>
            <w:r>
              <w:rPr>
                <w:rFonts w:hint="eastAsia" w:ascii="仿宋" w:hAnsi="仿宋" w:eastAsia="仿宋" w:cs="仿宋"/>
                <w:color w:val="auto"/>
                <w:sz w:val="21"/>
                <w:highlight w:val="none"/>
                <w:lang w:val="zh-CN" w:bidi="zh-CN"/>
              </w:rPr>
              <w:t>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0" w:type="dxa"/>
            <w:gridSpan w:val="2"/>
            <w:vMerge w:val="continue"/>
          </w:tcPr>
          <w:p>
            <w:pPr>
              <w:shd w:val="clear"/>
              <w:jc w:val="both"/>
              <w:rPr>
                <w:rFonts w:hint="eastAsia" w:ascii="仿宋" w:hAnsi="仿宋" w:eastAsia="仿宋" w:cs="仿宋"/>
                <w:b/>
                <w:bCs/>
                <w:color w:val="auto"/>
                <w:sz w:val="28"/>
                <w:szCs w:val="28"/>
                <w:highlight w:val="none"/>
                <w:vertAlign w:val="baseline"/>
                <w:lang w:val="en-US" w:eastAsia="zh-CN"/>
              </w:rPr>
            </w:pPr>
          </w:p>
        </w:tc>
        <w:tc>
          <w:tcPr>
            <w:tcW w:w="780" w:type="dxa"/>
            <w:gridSpan w:val="2"/>
            <w:vAlign w:val="center"/>
          </w:tcPr>
          <w:p>
            <w:pPr>
              <w:shd w:val="clear"/>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34</w:t>
            </w:r>
          </w:p>
        </w:tc>
        <w:tc>
          <w:tcPr>
            <w:tcW w:w="5148" w:type="dxa"/>
            <w:gridSpan w:val="2"/>
            <w:vAlign w:val="center"/>
          </w:tcPr>
          <w:p>
            <w:pPr>
              <w:shd w:val="clear"/>
              <w:jc w:val="both"/>
              <w:rPr>
                <w:rFonts w:hint="eastAsia" w:ascii="仿宋" w:hAnsi="仿宋" w:eastAsia="仿宋" w:cs="仿宋"/>
                <w:color w:val="auto"/>
                <w:sz w:val="21"/>
                <w:highlight w:val="none"/>
                <w:lang w:val="zh-CN" w:bidi="zh-CN"/>
              </w:rPr>
            </w:pPr>
            <w:r>
              <w:rPr>
                <w:rFonts w:hint="eastAsia" w:ascii="仿宋" w:hAnsi="仿宋" w:eastAsia="仿宋" w:cs="仿宋"/>
                <w:color w:val="auto"/>
                <w:sz w:val="21"/>
                <w:highlight w:val="none"/>
                <w:lang w:val="zh-CN" w:bidi="zh-CN"/>
              </w:rPr>
              <w:t>供应商因部分货物价格因素，不提供部分或全部货物的。</w:t>
            </w:r>
            <w:r>
              <w:rPr>
                <w:rFonts w:hint="eastAsia" w:ascii="仿宋" w:hAnsi="仿宋" w:eastAsia="仿宋" w:cs="仿宋"/>
                <w:color w:val="auto"/>
                <w:sz w:val="21"/>
                <w:highlight w:val="none"/>
                <w:lang w:val="en-US" w:bidi="zh-CN"/>
              </w:rPr>
              <w:t>扣1-3分</w:t>
            </w:r>
          </w:p>
        </w:tc>
        <w:tc>
          <w:tcPr>
            <w:tcW w:w="995" w:type="dxa"/>
            <w:gridSpan w:val="2"/>
          </w:tcPr>
          <w:p>
            <w:pPr>
              <w:shd w:val="clear"/>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jc w:val="center"/>
        </w:trPr>
        <w:tc>
          <w:tcPr>
            <w:tcW w:w="6708" w:type="dxa"/>
            <w:gridSpan w:val="6"/>
            <w:vAlign w:val="center"/>
          </w:tcPr>
          <w:p>
            <w:pPr>
              <w:shd w:val="clear"/>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考核得分</w:t>
            </w:r>
          </w:p>
        </w:tc>
        <w:tc>
          <w:tcPr>
            <w:tcW w:w="995" w:type="dxa"/>
            <w:gridSpan w:val="2"/>
          </w:tcPr>
          <w:p>
            <w:pPr>
              <w:shd w:val="clear"/>
              <w:ind w:firstLine="281" w:firstLineChars="100"/>
              <w:jc w:val="both"/>
              <w:rPr>
                <w:rFonts w:hint="eastAsia" w:ascii="仿宋" w:hAnsi="仿宋" w:eastAsia="仿宋" w:cs="仿宋"/>
                <w:b/>
                <w:bCs/>
                <w:color w:val="auto"/>
                <w:sz w:val="28"/>
                <w:szCs w:val="28"/>
                <w:highlight w:val="none"/>
                <w:vertAlign w:val="baseline"/>
                <w:lang w:val="en-US" w:eastAsia="zh-CN"/>
              </w:rPr>
            </w:pPr>
          </w:p>
        </w:tc>
        <w:tc>
          <w:tcPr>
            <w:tcW w:w="1305" w:type="dxa"/>
          </w:tcPr>
          <w:p>
            <w:pPr>
              <w:shd w:val="clear"/>
              <w:jc w:val="both"/>
              <w:rPr>
                <w:rFonts w:hint="eastAsia" w:ascii="仿宋" w:hAnsi="仿宋" w:eastAsia="仿宋" w:cs="仿宋"/>
                <w:b/>
                <w:bCs/>
                <w:color w:val="auto"/>
                <w:sz w:val="28"/>
                <w:szCs w:val="28"/>
                <w:highlight w:val="none"/>
                <w:vertAlign w:val="baseline"/>
                <w:lang w:val="en-US" w:eastAsia="zh-CN"/>
              </w:rPr>
            </w:pPr>
          </w:p>
        </w:tc>
      </w:tr>
    </w:tbl>
    <w:p>
      <w:pPr>
        <w:pStyle w:val="3"/>
        <w:numPr>
          <w:ilvl w:val="0"/>
          <w:numId w:val="0"/>
        </w:numPr>
        <w:shd w:val="clear"/>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考核人：                                       考核日期：</w:t>
      </w:r>
    </w:p>
    <w:p>
      <w:pPr>
        <w:shd w:val="clear"/>
        <w:jc w:val="both"/>
        <w:rPr>
          <w:rFonts w:hint="eastAsia" w:ascii="仿宋" w:hAnsi="仿宋" w:eastAsia="仿宋" w:cs="仿宋"/>
          <w:b/>
          <w:bCs/>
          <w:color w:val="auto"/>
          <w:sz w:val="24"/>
          <w:szCs w:val="24"/>
          <w:highlight w:val="none"/>
          <w:lang w:val="en-US" w:eastAsia="zh-CN"/>
        </w:rPr>
      </w:pPr>
    </w:p>
    <w:p>
      <w:pPr>
        <w:pStyle w:val="3"/>
        <w:numPr>
          <w:ilvl w:val="0"/>
          <w:numId w:val="0"/>
        </w:numPr>
        <w:shd w:val="clear"/>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注：</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每月进行检查考评，检查人员需两人以上并签名，考评分达到90分及以上的为合格，95分以上为良好，98以上为优秀</w:t>
      </w:r>
      <w:r>
        <w:rPr>
          <w:rFonts w:hint="eastAsia" w:ascii="仿宋" w:hAnsi="仿宋" w:eastAsia="仿宋" w:cs="仿宋"/>
          <w:color w:val="auto"/>
          <w:highlight w:val="none"/>
          <w:lang w:eastAsia="zh-CN"/>
        </w:rPr>
        <w:t>；</w:t>
      </w:r>
    </w:p>
    <w:p>
      <w:pPr>
        <w:pStyle w:val="3"/>
        <w:numPr>
          <w:ilvl w:val="0"/>
          <w:numId w:val="0"/>
        </w:numPr>
        <w:shd w:val="clear"/>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考评分</w:t>
      </w:r>
      <w:r>
        <w:rPr>
          <w:rFonts w:hint="eastAsia" w:ascii="仿宋" w:hAnsi="仿宋" w:eastAsia="仿宋" w:cs="仿宋"/>
          <w:color w:val="auto"/>
          <w:highlight w:val="none"/>
          <w:lang w:val="en-US" w:eastAsia="zh-CN"/>
        </w:rPr>
        <w:t>89</w:t>
      </w:r>
      <w:r>
        <w:rPr>
          <w:rFonts w:hint="eastAsia" w:ascii="仿宋" w:hAnsi="仿宋" w:eastAsia="仿宋" w:cs="仿宋"/>
          <w:color w:val="auto"/>
          <w:highlight w:val="none"/>
        </w:rPr>
        <w:t>分及以</w:t>
      </w:r>
      <w:r>
        <w:rPr>
          <w:rFonts w:hint="eastAsia" w:ascii="仿宋" w:hAnsi="仿宋" w:eastAsia="仿宋" w:cs="仿宋"/>
          <w:color w:val="auto"/>
          <w:highlight w:val="none"/>
          <w:lang w:eastAsia="zh-CN"/>
        </w:rPr>
        <w:t>下</w:t>
      </w:r>
      <w:r>
        <w:rPr>
          <w:rFonts w:hint="eastAsia" w:ascii="仿宋" w:hAnsi="仿宋" w:eastAsia="仿宋" w:cs="仿宋"/>
          <w:color w:val="auto"/>
          <w:highlight w:val="none"/>
        </w:rPr>
        <w:t>的按100元/分进行扣款</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扣款可在月支付货款中直接扣除；</w:t>
      </w:r>
    </w:p>
    <w:p>
      <w:pPr>
        <w:pStyle w:val="3"/>
        <w:numPr>
          <w:ilvl w:val="0"/>
          <w:numId w:val="0"/>
        </w:numPr>
        <w:shd w:val="clear"/>
        <w:ind w:firstLine="480" w:firstLineChars="200"/>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highlight w:val="none"/>
          <w:lang w:val="en-US" w:eastAsia="zh-CN"/>
        </w:rPr>
        <w:t>3、累计</w:t>
      </w:r>
      <w:r>
        <w:rPr>
          <w:rFonts w:hint="eastAsia" w:ascii="仿宋" w:hAnsi="仿宋" w:eastAsia="仿宋" w:cs="仿宋"/>
          <w:color w:val="auto"/>
          <w:highlight w:val="none"/>
        </w:rPr>
        <w:t>考评分8</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rPr>
        <w:t>分以下达到3次及以上</w:t>
      </w:r>
      <w:r>
        <w:rPr>
          <w:rFonts w:hint="eastAsia" w:ascii="仿宋" w:hAnsi="仿宋" w:eastAsia="仿宋" w:cs="仿宋"/>
          <w:color w:val="auto"/>
          <w:highlight w:val="none"/>
          <w:lang w:val="en-US" w:eastAsia="zh-CN"/>
        </w:rPr>
        <w:t>仍未有相关整改措施</w:t>
      </w:r>
      <w:r>
        <w:rPr>
          <w:rFonts w:hint="eastAsia" w:ascii="仿宋" w:hAnsi="仿宋" w:eastAsia="仿宋" w:cs="仿宋"/>
          <w:color w:val="auto"/>
          <w:highlight w:val="none"/>
        </w:rPr>
        <w:t>的</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甲方可</w:t>
      </w:r>
      <w:r>
        <w:rPr>
          <w:rFonts w:hint="eastAsia" w:ascii="仿宋" w:hAnsi="仿宋" w:eastAsia="仿宋" w:cs="仿宋"/>
          <w:color w:val="auto"/>
          <w:highlight w:val="none"/>
        </w:rPr>
        <w:t>取消</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rPr>
        <w:t>供货资格</w:t>
      </w:r>
      <w:r>
        <w:rPr>
          <w:rFonts w:hint="eastAsia" w:ascii="仿宋" w:hAnsi="仿宋" w:eastAsia="仿宋" w:cs="仿宋"/>
          <w:color w:val="auto"/>
          <w:highlight w:val="none"/>
          <w:lang w:val="en-US" w:eastAsia="zh-CN"/>
        </w:rPr>
        <w:t>直至终止合同</w:t>
      </w:r>
      <w:r>
        <w:rPr>
          <w:rFonts w:hint="eastAsia" w:ascii="仿宋" w:hAnsi="仿宋" w:eastAsia="仿宋" w:cs="仿宋"/>
          <w:color w:val="auto"/>
          <w:highlight w:val="none"/>
          <w:lang w:eastAsia="zh-CN"/>
        </w:rPr>
        <w:t>。</w:t>
      </w:r>
    </w:p>
    <w:p>
      <w:pPr>
        <w:shd w:val="clear"/>
        <w:spacing w:line="360" w:lineRule="auto"/>
        <w:jc w:val="center"/>
        <w:outlineLvl w:val="0"/>
        <w:rPr>
          <w:rFonts w:ascii="仿宋" w:hAnsi="仿宋" w:eastAsia="仿宋" w:cs="仿宋"/>
          <w:b/>
          <w:color w:val="auto"/>
          <w:sz w:val="36"/>
          <w:szCs w:val="36"/>
          <w:highlight w:val="none"/>
        </w:rPr>
      </w:pPr>
    </w:p>
    <w:p>
      <w:pPr>
        <w:shd w:val="clear"/>
        <w:spacing w:line="360" w:lineRule="auto"/>
        <w:jc w:val="center"/>
        <w:outlineLvl w:val="0"/>
        <w:rPr>
          <w:rFonts w:ascii="仿宋" w:hAnsi="仿宋" w:eastAsia="仿宋" w:cs="仿宋"/>
          <w:b/>
          <w:color w:val="auto"/>
          <w:sz w:val="36"/>
          <w:szCs w:val="36"/>
          <w:highlight w:val="none"/>
        </w:rPr>
      </w:pPr>
    </w:p>
    <w:p>
      <w:pPr>
        <w:shd w:val="clear"/>
        <w:spacing w:line="360" w:lineRule="auto"/>
        <w:jc w:val="center"/>
        <w:outlineLvl w:val="0"/>
        <w:rPr>
          <w:rFonts w:ascii="仿宋" w:hAnsi="仿宋" w:eastAsia="仿宋" w:cs="仿宋"/>
          <w:b/>
          <w:color w:val="auto"/>
          <w:sz w:val="36"/>
          <w:szCs w:val="36"/>
          <w:highlight w:val="none"/>
        </w:rPr>
      </w:pPr>
    </w:p>
    <w:p>
      <w:pPr>
        <w:shd w:val="clear"/>
        <w:spacing w:line="360" w:lineRule="auto"/>
        <w:jc w:val="center"/>
        <w:outlineLvl w:val="0"/>
        <w:rPr>
          <w:rFonts w:ascii="仿宋" w:hAnsi="仿宋" w:eastAsia="仿宋" w:cs="仿宋"/>
          <w:b/>
          <w:color w:val="auto"/>
          <w:sz w:val="36"/>
          <w:szCs w:val="36"/>
          <w:highlight w:val="none"/>
        </w:rPr>
      </w:pPr>
    </w:p>
    <w:p>
      <w:pPr>
        <w:shd w:val="clear"/>
        <w:spacing w:line="360" w:lineRule="auto"/>
        <w:jc w:val="center"/>
        <w:outlineLvl w:val="0"/>
        <w:rPr>
          <w:rFonts w:ascii="仿宋" w:hAnsi="仿宋" w:eastAsia="仿宋" w:cs="仿宋"/>
          <w:b/>
          <w:color w:val="auto"/>
          <w:sz w:val="36"/>
          <w:szCs w:val="36"/>
          <w:highlight w:val="none"/>
        </w:rPr>
      </w:pPr>
    </w:p>
    <w:p>
      <w:pPr>
        <w:shd w:val="clea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hd w:val="clea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snapToGrid/>
          <w:color w:val="auto"/>
          <w:kern w:val="0"/>
          <w:sz w:val="36"/>
          <w:szCs w:val="36"/>
          <w:highlight w:val="none"/>
        </w:rPr>
        <w:t>第四部分</w:t>
      </w:r>
      <w:r>
        <w:rPr>
          <w:rFonts w:ascii="仿宋" w:hAnsi="仿宋" w:eastAsia="仿宋" w:cs="仿宋"/>
          <w:b/>
          <w:snapToGrid/>
          <w:color w:val="auto"/>
          <w:kern w:val="0"/>
          <w:sz w:val="36"/>
          <w:szCs w:val="36"/>
          <w:highlight w:val="none"/>
        </w:rPr>
        <w:t xml:space="preserve"> </w:t>
      </w:r>
      <w:r>
        <w:rPr>
          <w:rFonts w:hint="eastAsia" w:ascii="仿宋" w:hAnsi="仿宋" w:eastAsia="仿宋" w:cs="仿宋"/>
          <w:b/>
          <w:snapToGrid/>
          <w:color w:val="auto"/>
          <w:kern w:val="0"/>
          <w:sz w:val="36"/>
          <w:szCs w:val="36"/>
          <w:highlight w:val="none"/>
        </w:rPr>
        <w:t>拟签订的合同文本</w:t>
      </w:r>
    </w:p>
    <w:p>
      <w:pPr>
        <w:shd w:val="clear"/>
        <w:adjustRightInd/>
        <w:snapToGrid w:val="0"/>
        <w:spacing w:line="440" w:lineRule="exact"/>
        <w:outlineLvl w:val="0"/>
        <w:rPr>
          <w:rFonts w:ascii="仿宋" w:hAnsi="仿宋" w:eastAsia="仿宋" w:cs="仿宋"/>
          <w:b/>
          <w:color w:val="auto"/>
          <w:kern w:val="0"/>
          <w:sz w:val="36"/>
          <w:szCs w:val="36"/>
          <w:highlight w:val="none"/>
        </w:rPr>
      </w:pPr>
    </w:p>
    <w:p>
      <w:pPr>
        <w:shd w:val="clear"/>
        <w:adjustRightInd/>
        <w:spacing w:line="440" w:lineRule="exact"/>
        <w:jc w:val="center"/>
        <w:rPr>
          <w:rFonts w:ascii="仿宋" w:hAnsi="仿宋" w:eastAsia="仿宋" w:cs="仿宋"/>
          <w:b/>
          <w:color w:val="auto"/>
          <w:kern w:val="0"/>
          <w:sz w:val="28"/>
          <w:szCs w:val="28"/>
          <w:highlight w:val="none"/>
        </w:rPr>
      </w:pPr>
    </w:p>
    <w:p>
      <w:pPr>
        <w:pStyle w:val="5"/>
        <w:shd w:val="clear"/>
        <w:rPr>
          <w:rFonts w:ascii="仿宋_GB2312" w:eastAsia="仿宋_GB2312" w:cs="Times New Roman"/>
          <w:color w:val="auto"/>
          <w:kern w:val="2"/>
          <w:sz w:val="32"/>
          <w:szCs w:val="32"/>
          <w:highlight w:val="none"/>
        </w:rPr>
      </w:pPr>
    </w:p>
    <w:p>
      <w:pPr>
        <w:shd w:val="clear"/>
        <w:adjustRightInd/>
        <w:spacing w:line="440" w:lineRule="exact"/>
        <w:rPr>
          <w:rFonts w:ascii="仿宋" w:hAnsi="仿宋" w:eastAsia="仿宋" w:cs="仿宋"/>
          <w:b/>
          <w:color w:val="auto"/>
          <w:kern w:val="0"/>
          <w:sz w:val="24"/>
          <w:szCs w:val="20"/>
          <w:highlight w:val="none"/>
        </w:rPr>
      </w:pPr>
    </w:p>
    <w:p>
      <w:pPr>
        <w:shd w:val="clea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snapToGrid/>
          <w:color w:val="auto"/>
          <w:kern w:val="0"/>
          <w:sz w:val="36"/>
          <w:szCs w:val="36"/>
          <w:highlight w:val="none"/>
        </w:rPr>
        <w:t>采购合同参考范本</w:t>
      </w:r>
    </w:p>
    <w:p>
      <w:pPr>
        <w:shd w:val="clea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snapToGrid/>
          <w:color w:val="auto"/>
          <w:kern w:val="0"/>
          <w:sz w:val="36"/>
          <w:szCs w:val="36"/>
          <w:highlight w:val="none"/>
        </w:rPr>
        <w:t>（货物类）</w:t>
      </w:r>
    </w:p>
    <w:p>
      <w:pPr>
        <w:shd w:val="clea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shd w:val="clea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shd w:val="clea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snapToGrid/>
          <w:color w:val="auto"/>
          <w:kern w:val="0"/>
          <w:sz w:val="24"/>
          <w:szCs w:val="20"/>
          <w:highlight w:val="none"/>
          <w:u w:val="single"/>
          <w:lang w:val="zh-CN"/>
        </w:rPr>
        <w:t>项目名称：</w:t>
      </w:r>
      <w:r>
        <w:rPr>
          <w:rFonts w:ascii="仿宋" w:hAnsi="仿宋" w:eastAsia="仿宋" w:cs="仿宋"/>
          <w:snapToGrid/>
          <w:color w:val="auto"/>
          <w:kern w:val="0"/>
          <w:sz w:val="24"/>
          <w:szCs w:val="20"/>
          <w:highlight w:val="none"/>
          <w:u w:val="single"/>
          <w:lang w:val="zh-CN"/>
        </w:rPr>
        <w:t xml:space="preserve">                             </w:t>
      </w:r>
    </w:p>
    <w:p>
      <w:pPr>
        <w:shd w:val="clea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snapToGrid/>
          <w:color w:val="auto"/>
          <w:kern w:val="0"/>
          <w:sz w:val="24"/>
          <w:szCs w:val="20"/>
          <w:highlight w:val="none"/>
          <w:u w:val="single"/>
          <w:lang w:val="zh-CN"/>
        </w:rPr>
        <w:t>合同编号：</w:t>
      </w:r>
      <w:r>
        <w:rPr>
          <w:rFonts w:ascii="仿宋" w:hAnsi="仿宋" w:eastAsia="仿宋" w:cs="仿宋"/>
          <w:snapToGrid/>
          <w:color w:val="auto"/>
          <w:kern w:val="0"/>
          <w:sz w:val="24"/>
          <w:szCs w:val="20"/>
          <w:highlight w:val="none"/>
          <w:u w:val="single"/>
          <w:lang w:val="zh-CN"/>
        </w:rPr>
        <w:t xml:space="preserve">                             </w:t>
      </w:r>
    </w:p>
    <w:p>
      <w:pPr>
        <w:shd w:val="clea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snapToGrid/>
          <w:color w:val="auto"/>
          <w:kern w:val="0"/>
          <w:sz w:val="24"/>
          <w:szCs w:val="20"/>
          <w:highlight w:val="none"/>
          <w:u w:val="single"/>
          <w:lang w:val="zh-CN"/>
        </w:rPr>
        <w:t>甲</w:t>
      </w:r>
      <w:r>
        <w:rPr>
          <w:rFonts w:ascii="仿宋" w:hAnsi="仿宋" w:eastAsia="仿宋" w:cs="仿宋"/>
          <w:snapToGrid/>
          <w:color w:val="auto"/>
          <w:kern w:val="0"/>
          <w:sz w:val="24"/>
          <w:szCs w:val="20"/>
          <w:highlight w:val="none"/>
          <w:u w:val="single"/>
          <w:lang w:val="zh-CN"/>
        </w:rPr>
        <w:t xml:space="preserve">    方：                             </w:t>
      </w:r>
    </w:p>
    <w:p>
      <w:pPr>
        <w:shd w:val="clea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snapToGrid/>
          <w:color w:val="auto"/>
          <w:kern w:val="0"/>
          <w:sz w:val="24"/>
          <w:szCs w:val="20"/>
          <w:highlight w:val="none"/>
          <w:u w:val="single"/>
          <w:lang w:val="zh-CN"/>
        </w:rPr>
        <w:t>乙</w:t>
      </w:r>
      <w:r>
        <w:rPr>
          <w:rFonts w:ascii="仿宋" w:hAnsi="仿宋" w:eastAsia="仿宋" w:cs="仿宋"/>
          <w:snapToGrid/>
          <w:color w:val="auto"/>
          <w:kern w:val="0"/>
          <w:sz w:val="24"/>
          <w:szCs w:val="20"/>
          <w:highlight w:val="none"/>
          <w:u w:val="single"/>
          <w:lang w:val="zh-CN"/>
        </w:rPr>
        <w:t xml:space="preserve">    方：                             </w:t>
      </w:r>
    </w:p>
    <w:p>
      <w:pPr>
        <w:shd w:val="clea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snapToGrid/>
          <w:color w:val="auto"/>
          <w:kern w:val="0"/>
          <w:sz w:val="24"/>
          <w:szCs w:val="20"/>
          <w:highlight w:val="none"/>
          <w:u w:val="single"/>
          <w:lang w:val="zh-CN"/>
        </w:rPr>
        <w:t>签订时间：</w:t>
      </w:r>
      <w:r>
        <w:rPr>
          <w:rFonts w:ascii="仿宋" w:hAnsi="仿宋" w:eastAsia="仿宋" w:cs="仿宋"/>
          <w:snapToGrid/>
          <w:color w:val="auto"/>
          <w:kern w:val="0"/>
          <w:sz w:val="24"/>
          <w:szCs w:val="20"/>
          <w:highlight w:val="none"/>
          <w:u w:val="single"/>
          <w:lang w:val="zh-CN"/>
        </w:rPr>
        <w:t xml:space="preserve">                             </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shd w:val="clea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snapToGrid/>
          <w:color w:val="auto"/>
          <w:kern w:val="0"/>
          <w:sz w:val="24"/>
          <w:szCs w:val="20"/>
          <w:highlight w:val="none"/>
        </w:rPr>
        <w:t>使用说明</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numPr>
          <w:ilvl w:val="255"/>
          <w:numId w:val="0"/>
        </w:numPr>
        <w:shd w:val="clea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1.</w:t>
      </w:r>
      <w:r>
        <w:rPr>
          <w:rFonts w:hint="eastAsia" w:ascii="仿宋" w:hAnsi="仿宋" w:eastAsia="仿宋" w:cs="仿宋"/>
          <w:snapToGrid/>
          <w:color w:val="auto"/>
          <w:kern w:val="0"/>
          <w:sz w:val="24"/>
          <w:szCs w:val="20"/>
          <w:highlight w:val="none"/>
        </w:rPr>
        <w:t>本合同标准文本适用于购买现成货物的采购项目，不包括需要供应商定制开发、创新研发的货物采购项目。</w:t>
      </w:r>
    </w:p>
    <w:p>
      <w:pPr>
        <w:numPr>
          <w:ilvl w:val="255"/>
          <w:numId w:val="0"/>
        </w:numPr>
        <w:shd w:val="clea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2.</w:t>
      </w:r>
      <w:r>
        <w:rPr>
          <w:rFonts w:hint="eastAsia" w:ascii="仿宋" w:hAnsi="仿宋" w:eastAsia="仿宋" w:cs="仿宋"/>
          <w:snapToGrid/>
          <w:color w:val="auto"/>
          <w:kern w:val="0"/>
          <w:sz w:val="24"/>
          <w:szCs w:val="20"/>
          <w:highlight w:val="none"/>
        </w:rPr>
        <w:t>本合同标准文本为采购货物买卖合同编制提供参考，可以结合采购项目具体情况，对文本作必要的调整修订后使用。</w:t>
      </w:r>
    </w:p>
    <w:p>
      <w:pPr>
        <w:shd w:val="clea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3.本合同标准文本各条款中，如涉及填写多家供应商、制造商，多种采购标的、分包主要内容等信息的，可根据采购项目具体情况添加信息项。</w:t>
      </w:r>
    </w:p>
    <w:p>
      <w:pPr>
        <w:shd w:val="clear"/>
        <w:spacing w:line="440" w:lineRule="exact"/>
        <w:ind w:left="-420" w:leftChars="-200" w:right="-420" w:rightChars="-200" w:firstLine="480" w:firstLineChars="200"/>
        <w:rPr>
          <w:rFonts w:ascii="仿宋" w:hAnsi="仿宋" w:eastAsia="仿宋" w:cs="仿宋"/>
          <w:color w:val="auto"/>
          <w:sz w:val="24"/>
          <w:highlight w:val="none"/>
        </w:rPr>
        <w:sectPr>
          <w:headerReference r:id="rId10" w:type="default"/>
          <w:footerReference r:id="rId11" w:type="default"/>
          <w:pgSz w:w="11906" w:h="16838"/>
          <w:pgMar w:top="1440" w:right="1800" w:bottom="1440" w:left="1800" w:header="851" w:footer="992" w:gutter="0"/>
          <w:cols w:space="720" w:num="1"/>
          <w:docGrid w:type="lines" w:linePitch="312" w:charSpace="0"/>
        </w:sectPr>
      </w:pP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bookmarkStart w:id="54" w:name="_Toc22209"/>
    </w:p>
    <w:p>
      <w:pPr>
        <w:shd w:val="clea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snapToGrid/>
          <w:color w:val="auto"/>
          <w:kern w:val="0"/>
          <w:sz w:val="24"/>
          <w:szCs w:val="20"/>
          <w:highlight w:val="none"/>
        </w:rPr>
        <w:t>第一节</w:t>
      </w:r>
      <w:r>
        <w:rPr>
          <w:rFonts w:ascii="仿宋" w:hAnsi="仿宋" w:eastAsia="仿宋" w:cs="仿宋"/>
          <w:b/>
          <w:bCs/>
          <w:snapToGrid/>
          <w:color w:val="auto"/>
          <w:kern w:val="0"/>
          <w:sz w:val="24"/>
          <w:szCs w:val="20"/>
          <w:highlight w:val="none"/>
        </w:rPr>
        <w:t xml:space="preserve"> </w:t>
      </w:r>
      <w:r>
        <w:rPr>
          <w:rFonts w:hint="eastAsia" w:ascii="仿宋" w:hAnsi="仿宋" w:eastAsia="仿宋" w:cs="仿宋"/>
          <w:b/>
          <w:bCs/>
          <w:snapToGrid/>
          <w:color w:val="auto"/>
          <w:kern w:val="0"/>
          <w:sz w:val="24"/>
          <w:szCs w:val="20"/>
          <w:highlight w:val="none"/>
        </w:rPr>
        <w:t>采购合同协议书</w:t>
      </w:r>
      <w:bookmarkEnd w:id="54"/>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shd w:val="clear"/>
        <w:adjustRightInd/>
        <w:spacing w:line="440" w:lineRule="exact"/>
        <w:ind w:left="0" w:leftChars="0" w:right="-346" w:rightChars="-165"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甲方（全称）：</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（采购人、受采购人委托签订合同的单位或采购</w:t>
      </w:r>
    </w:p>
    <w:p>
      <w:pPr>
        <w:shd w:val="clea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文件约定的合同甲方）</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乙方</w:t>
      </w:r>
      <w:r>
        <w:rPr>
          <w:rFonts w:ascii="仿宋" w:hAnsi="仿宋" w:eastAsia="仿宋" w:cs="仿宋"/>
          <w:snapToGrid/>
          <w:color w:val="auto"/>
          <w:kern w:val="0"/>
          <w:sz w:val="24"/>
          <w:szCs w:val="20"/>
          <w:highlight w:val="none"/>
        </w:rPr>
        <w:t xml:space="preserve">1（全称）：                 </w:t>
      </w:r>
      <w:r>
        <w:rPr>
          <w:rFonts w:hint="eastAsia" w:ascii="仿宋" w:hAnsi="仿宋" w:eastAsia="仿宋" w:cs="仿宋"/>
          <w:snapToGrid/>
          <w:color w:val="auto"/>
          <w:kern w:val="0"/>
          <w:sz w:val="24"/>
          <w:szCs w:val="20"/>
          <w:highlight w:val="none"/>
        </w:rPr>
        <w:t>（供应商）</w:t>
      </w:r>
    </w:p>
    <w:p>
      <w:pPr>
        <w:shd w:val="clea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乙方</w:t>
      </w:r>
      <w:r>
        <w:rPr>
          <w:rFonts w:ascii="仿宋" w:hAnsi="仿宋" w:eastAsia="仿宋" w:cs="仿宋"/>
          <w:snapToGrid/>
          <w:color w:val="auto"/>
          <w:kern w:val="0"/>
          <w:sz w:val="24"/>
          <w:szCs w:val="20"/>
          <w:highlight w:val="none"/>
        </w:rPr>
        <w:t xml:space="preserve">2（全称）：                  </w:t>
      </w:r>
      <w:r>
        <w:rPr>
          <w:rFonts w:hint="eastAsia" w:ascii="仿宋" w:hAnsi="仿宋" w:eastAsia="仿宋" w:cs="仿宋"/>
          <w:snapToGrid/>
          <w:color w:val="auto"/>
          <w:kern w:val="0"/>
          <w:sz w:val="24"/>
          <w:szCs w:val="20"/>
          <w:highlight w:val="none"/>
        </w:rPr>
        <w:t>（联合体成员供应商或其他合同主体）（如有）</w:t>
      </w:r>
    </w:p>
    <w:p>
      <w:pPr>
        <w:shd w:val="clea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乙方</w:t>
      </w:r>
      <w:r>
        <w:rPr>
          <w:rFonts w:ascii="仿宋" w:hAnsi="仿宋" w:eastAsia="仿宋" w:cs="仿宋"/>
          <w:snapToGrid/>
          <w:color w:val="auto"/>
          <w:kern w:val="0"/>
          <w:sz w:val="24"/>
          <w:szCs w:val="20"/>
          <w:highlight w:val="none"/>
        </w:rPr>
        <w:t>3（全称）</w:t>
      </w: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 xml:space="preserve">                  （联合体成员供应商或其他合同主体）（如有）</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p>
    <w:p>
      <w:pPr>
        <w:shd w:val="clea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依据《中华人民共和国民法典》、《中华人民共和国政府采购法》等有关的法律法规，以及本采购项目的招标</w:t>
      </w:r>
      <w:r>
        <w:rPr>
          <w:rFonts w:ascii="仿宋" w:hAnsi="仿宋" w:eastAsia="仿宋" w:cs="仿宋"/>
          <w:snapToGrid/>
          <w:color w:val="auto"/>
          <w:kern w:val="0"/>
          <w:sz w:val="24"/>
          <w:szCs w:val="20"/>
          <w:highlight w:val="none"/>
        </w:rPr>
        <w:t xml:space="preserve">/谈判文件等采购文件、乙方的《投标（响应）文件》及《中标（成交）通知书》，甲乙双方同意签订本合同。具体情况及要求如下：     </w:t>
      </w:r>
    </w:p>
    <w:p>
      <w:pPr>
        <w:numPr>
          <w:ilvl w:val="0"/>
          <w:numId w:val="2"/>
        </w:numPr>
        <w:shd w:val="clea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snapToGrid/>
          <w:color w:val="auto"/>
          <w:kern w:val="0"/>
          <w:sz w:val="24"/>
          <w:szCs w:val="20"/>
          <w:highlight w:val="none"/>
        </w:rPr>
        <w:t>项目信息</w:t>
      </w:r>
    </w:p>
    <w:p>
      <w:pPr>
        <w:numPr>
          <w:ilvl w:val="255"/>
          <w:numId w:val="0"/>
        </w:numPr>
        <w:shd w:val="clear"/>
        <w:adjustRightInd/>
        <w:spacing w:line="440" w:lineRule="exact"/>
        <w:ind w:left="420" w:leftChars="20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w:t>
      </w:r>
      <w:r>
        <w:rPr>
          <w:rFonts w:hint="eastAsia" w:ascii="仿宋" w:hAnsi="仿宋" w:eastAsia="仿宋" w:cs="仿宋"/>
          <w:snapToGrid/>
          <w:color w:val="auto"/>
          <w:kern w:val="0"/>
          <w:sz w:val="24"/>
          <w:szCs w:val="20"/>
          <w:highlight w:val="none"/>
        </w:rPr>
        <w:t>）采购项目名称：</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采购项目编号：</w:t>
      </w:r>
    </w:p>
    <w:p>
      <w:pPr>
        <w:numPr>
          <w:ilvl w:val="0"/>
          <w:numId w:val="3"/>
        </w:num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采购计划编号：</w:t>
      </w:r>
    </w:p>
    <w:p>
      <w:pPr>
        <w:numPr>
          <w:ilvl w:val="0"/>
          <w:numId w:val="3"/>
        </w:num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项目内容：</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采购标的及数量（台</w:t>
      </w:r>
      <w:r>
        <w:rPr>
          <w:rFonts w:ascii="仿宋" w:hAnsi="仿宋" w:eastAsia="仿宋" w:cs="仿宋"/>
          <w:snapToGrid/>
          <w:color w:val="auto"/>
          <w:kern w:val="0"/>
          <w:sz w:val="24"/>
          <w:szCs w:val="20"/>
          <w:highlight w:val="none"/>
        </w:rPr>
        <w:t>/套/个/架/组等）：</w:t>
      </w:r>
    </w:p>
    <w:p>
      <w:pPr>
        <w:shd w:val="clea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snapToGrid/>
          <w:color w:val="auto"/>
          <w:kern w:val="0"/>
          <w:sz w:val="24"/>
          <w:szCs w:val="20"/>
          <w:highlight w:val="none"/>
        </w:rPr>
        <w:t>品牌：规格型号：</w:t>
      </w:r>
    </w:p>
    <w:p>
      <w:pPr>
        <w:shd w:val="clea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采购标的的技术要求、商务要求具体见附件。</w:t>
      </w:r>
    </w:p>
    <w:p>
      <w:pPr>
        <w:shd w:val="clea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①涉及信息类产品，请填写该产品关键部件的品牌、型号：</w:t>
      </w:r>
    </w:p>
    <w:p>
      <w:pPr>
        <w:shd w:val="clea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标的名称：</w:t>
      </w:r>
    </w:p>
    <w:p>
      <w:pPr>
        <w:shd w:val="clea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snapToGrid/>
          <w:color w:val="auto"/>
          <w:kern w:val="0"/>
          <w:sz w:val="24"/>
          <w:szCs w:val="20"/>
          <w:highlight w:val="none"/>
        </w:rPr>
        <w:t>关键部件：</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品牌：</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型号：</w:t>
      </w:r>
    </w:p>
    <w:p>
      <w:pPr>
        <w:shd w:val="clea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snapToGrid/>
          <w:color w:val="auto"/>
          <w:kern w:val="0"/>
          <w:sz w:val="24"/>
          <w:szCs w:val="20"/>
          <w:highlight w:val="none"/>
        </w:rPr>
        <w:t>关键部件：</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品牌：</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型号：</w:t>
      </w:r>
    </w:p>
    <w:p>
      <w:pPr>
        <w:shd w:val="clea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关键部件：</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品牌：</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型号：</w:t>
      </w:r>
    </w:p>
    <w:p>
      <w:pPr>
        <w:shd w:val="clear"/>
        <w:adjustRightInd/>
        <w:spacing w:line="440" w:lineRule="exact"/>
        <w:ind w:left="-10" w:leftChars="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（注：关键部件是指财政部会同有关部门发布的政府采购需求标准规定的需要通过国家有关部门指定的测评机构开展的安全可靠测评的软硬件，如</w:t>
      </w:r>
      <w:r>
        <w:rPr>
          <w:rFonts w:ascii="仿宋" w:hAnsi="仿宋" w:eastAsia="仿宋" w:cs="仿宋"/>
          <w:snapToGrid/>
          <w:color w:val="auto"/>
          <w:kern w:val="0"/>
          <w:sz w:val="24"/>
          <w:szCs w:val="20"/>
          <w:highlight w:val="none"/>
        </w:rPr>
        <w:t>CPU芯片、操作系统、数据库等。）</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②涉及车辆采购，请填写是否属于新能源汽车：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是，《政府采购品目分类目录》底级品目名称：数量：金额：</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4）采购组织形式：</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集中采购</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部门集中采购</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分散采购</w:t>
      </w:r>
    </w:p>
    <w:p>
      <w:pPr>
        <w:shd w:val="clear"/>
        <w:adjustRightInd/>
        <w:spacing w:line="440" w:lineRule="exact"/>
        <w:ind w:left="0" w:leftChars="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5）采购方式：</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公开招标</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邀请招标</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竞争性谈判</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竞争性磋商</w:t>
      </w:r>
    </w:p>
    <w:p>
      <w:pPr>
        <w:shd w:val="clear"/>
        <w:adjustRightInd/>
        <w:spacing w:line="440" w:lineRule="exact"/>
        <w:ind w:left="0" w:leftChars="0" w:right="-420" w:rightChars="-200" w:firstLine="2760" w:firstLineChars="115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询价</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单一来源</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框架协议</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其他：</w:t>
      </w:r>
    </w:p>
    <w:p>
      <w:pPr>
        <w:shd w:val="clear"/>
        <w:adjustRightInd/>
        <w:spacing w:line="440" w:lineRule="exact"/>
        <w:ind w:left="0" w:leftChars="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（注：在框架协议采购的第二阶段，可选择使用该合同文本）</w:t>
      </w:r>
    </w:p>
    <w:p>
      <w:pPr>
        <w:shd w:val="clear"/>
        <w:adjustRightInd/>
        <w:spacing w:line="440" w:lineRule="exact"/>
        <w:ind w:left="0" w:leftChars="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6）中标（成交）采购标的制造商是否为中小企业：</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本合同是否为专门面向中小企业的采购合同（中小企业预留合同）：</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若本项目不专门面向中小企业采购，是否给予小微企业评审优惠：</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中标（成交）采购标的制造商是否为残疾人福利性单位：</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中标（成交）采购标的制造商是否为监狱企业：</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0" w:leftChars="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7）合同是否分包：</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分包主要内容：</w:t>
      </w:r>
      <w:r>
        <w:rPr>
          <w:rFonts w:ascii="仿宋" w:hAnsi="仿宋" w:eastAsia="仿宋" w:cs="仿宋"/>
          <w:snapToGrid/>
          <w:color w:val="auto"/>
          <w:kern w:val="0"/>
          <w:sz w:val="24"/>
          <w:szCs w:val="20"/>
          <w:highlight w:val="none"/>
        </w:rPr>
        <w:t xml:space="preserve">                                        </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分包供应商</w:t>
      </w:r>
      <w:r>
        <w:rPr>
          <w:rFonts w:ascii="仿宋" w:hAnsi="仿宋" w:eastAsia="仿宋" w:cs="仿宋"/>
          <w:snapToGrid/>
          <w:color w:val="auto"/>
          <w:kern w:val="0"/>
          <w:sz w:val="24"/>
          <w:szCs w:val="20"/>
          <w:highlight w:val="none"/>
        </w:rPr>
        <w:t>/制造商名称（如供应商和制造商不同，请分别填写）：</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分包供应商</w:t>
      </w:r>
      <w:r>
        <w:rPr>
          <w:rFonts w:ascii="仿宋" w:hAnsi="仿宋" w:eastAsia="仿宋" w:cs="仿宋"/>
          <w:snapToGrid/>
          <w:color w:val="auto"/>
          <w:kern w:val="0"/>
          <w:sz w:val="24"/>
          <w:szCs w:val="20"/>
          <w:highlight w:val="none"/>
        </w:rPr>
        <w:t>/制造商类型（如果供应商和制造商不同，只填写制造商类型）：</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大型企业</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中型企业</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小微型企业</w:t>
      </w:r>
    </w:p>
    <w:p>
      <w:pPr>
        <w:shd w:val="clear"/>
        <w:adjustRightInd/>
        <w:spacing w:line="440" w:lineRule="exact"/>
        <w:ind w:right="-420" w:right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残疾人福利性单位</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监狱企业</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其他</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（8）中标（成交）供应商是否为外商投资企业：</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外商投资企业类型：</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全部由外国投资者投资</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部分由外国投资者投资</w:t>
      </w:r>
    </w:p>
    <w:p>
      <w:pPr>
        <w:shd w:val="clea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9）是否涉及进口产品：</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是，《政府采购品目分类目录》底级品目名称：</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金额：</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国别：品牌： 规格型号：</w:t>
      </w:r>
    </w:p>
    <w:p>
      <w:pPr>
        <w:shd w:val="clear"/>
        <w:adjustRightInd/>
        <w:spacing w:line="440" w:lineRule="exact"/>
        <w:ind w:right="-420" w:right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（10）是否涉及节能产品：</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是，《节能产品政府采购品目清单》的底级品目名称：</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强制采购</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优先采购</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是否涉及环境标志产品：</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是，《环境标志产品政府采购品目清单》的底级品目名称：</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强制采购</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优先采购</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是否涉及绿色产品： </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是，绿色产品政府采购相关政策确定的底级品目名称：</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强制采购</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优先采购</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pPr>
        <w:shd w:val="clear"/>
        <w:adjustRightInd/>
        <w:spacing w:line="440" w:lineRule="exact"/>
        <w:ind w:right="-420" w:right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不涉及</w:t>
      </w:r>
    </w:p>
    <w:p>
      <w:pPr>
        <w:shd w:val="clea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2.</w:t>
      </w:r>
      <w:r>
        <w:rPr>
          <w:rFonts w:hint="eastAsia" w:ascii="仿宋" w:hAnsi="仿宋" w:eastAsia="仿宋" w:cs="仿宋"/>
          <w:b/>
          <w:bCs/>
          <w:snapToGrid/>
          <w:color w:val="auto"/>
          <w:kern w:val="0"/>
          <w:sz w:val="24"/>
          <w:szCs w:val="20"/>
          <w:highlight w:val="none"/>
        </w:rPr>
        <w:t>合同金额</w:t>
      </w:r>
    </w:p>
    <w:p>
      <w:pPr>
        <w:shd w:val="clea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1）合同金额小写：</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大写：</w:t>
      </w:r>
    </w:p>
    <w:p>
      <w:pPr>
        <w:shd w:val="clea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snapToGrid/>
          <w:color w:val="auto"/>
          <w:kern w:val="0"/>
          <w:sz w:val="24"/>
          <w:szCs w:val="20"/>
          <w:highlight w:val="none"/>
        </w:rPr>
        <w:t>分包金额（如有）小写：</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大写：</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（注：固定单价合同应填写单价和最高限价）</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2）合同定价方式（采用组合定价方式的，可以勾选多项）：</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固定总价</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固定单价</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固定费率</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成本补偿</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绩效激励</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其他</w:t>
      </w:r>
    </w:p>
    <w:p>
      <w:pPr>
        <w:shd w:val="clea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3）付款方式（按项目实际勾选填写）：</w:t>
      </w:r>
    </w:p>
    <w:p>
      <w:pPr>
        <w:shd w:val="clea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全额付款：</w:t>
      </w:r>
      <w:r>
        <w:rPr>
          <w:rFonts w:hint="eastAsia" w:ascii="仿宋" w:hAnsi="仿宋" w:eastAsia="仿宋" w:cs="仿宋"/>
          <w:snapToGrid/>
          <w:color w:val="auto"/>
          <w:kern w:val="0"/>
          <w:sz w:val="24"/>
          <w:szCs w:val="24"/>
          <w:highlight w:val="none"/>
          <w:u w:val="single"/>
        </w:rPr>
        <w:t>（应明确一次性支付合同款项的条件）</w:t>
      </w:r>
    </w:p>
    <w:p>
      <w:pPr>
        <w:shd w:val="clea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分期付款：</w:t>
      </w:r>
      <w:r>
        <w:rPr>
          <w:rFonts w:ascii="仿宋" w:hAnsi="仿宋" w:eastAsia="仿宋" w:cs="仿宋"/>
          <w:snapToGrid/>
          <w:color w:val="auto"/>
          <w:kern w:val="0"/>
          <w:sz w:val="24"/>
          <w:szCs w:val="24"/>
          <w:highlight w:val="none"/>
          <w:u w:val="single"/>
        </w:rPr>
        <w:t xml:space="preserve">  （应明确分期支付合同款项的各期比例和支付条件，各期支付条件</w:t>
      </w:r>
    </w:p>
    <w:p>
      <w:pPr>
        <w:shd w:val="clear"/>
        <w:adjustRightInd/>
        <w:spacing w:line="440" w:lineRule="exact"/>
        <w:ind w:right="-420" w:rightChars="-200" w:firstLine="0" w:firstLineChars="0"/>
        <w:rPr>
          <w:rFonts w:ascii="仿宋" w:hAnsi="仿宋" w:eastAsia="仿宋" w:cs="仿宋"/>
          <w:color w:val="auto"/>
          <w:kern w:val="0"/>
          <w:sz w:val="24"/>
          <w:highlight w:val="none"/>
          <w:u w:val="single"/>
        </w:rPr>
      </w:pPr>
      <w:r>
        <w:rPr>
          <w:rFonts w:hint="eastAsia" w:ascii="仿宋" w:hAnsi="仿宋" w:eastAsia="仿宋" w:cs="仿宋"/>
          <w:snapToGrid/>
          <w:color w:val="auto"/>
          <w:kern w:val="0"/>
          <w:sz w:val="24"/>
          <w:szCs w:val="24"/>
          <w:highlight w:val="none"/>
          <w:u w:val="single"/>
        </w:rPr>
        <w:t>应与分期履约验收情况挂钩）</w:t>
      </w:r>
      <w:r>
        <w:rPr>
          <w:rFonts w:ascii="仿宋" w:hAnsi="仿宋" w:eastAsia="仿宋" w:cs="仿宋"/>
          <w:snapToGrid/>
          <w:color w:val="auto"/>
          <w:kern w:val="0"/>
          <w:sz w:val="24"/>
          <w:szCs w:val="24"/>
          <w:highlight w:val="none"/>
          <w:u w:val="single"/>
        </w:rPr>
        <w:t xml:space="preserve"> </w:t>
      </w:r>
      <w:r>
        <w:rPr>
          <w:rFonts w:hint="eastAsia" w:ascii="仿宋" w:hAnsi="仿宋" w:eastAsia="仿宋" w:cs="仿宋"/>
          <w:snapToGrid/>
          <w:color w:val="auto"/>
          <w:kern w:val="0"/>
          <w:sz w:val="24"/>
          <w:szCs w:val="20"/>
          <w:highlight w:val="none"/>
        </w:rPr>
        <w:t>，其中涉及预付款的：</w:t>
      </w:r>
      <w:r>
        <w:rPr>
          <w:rFonts w:ascii="仿宋" w:hAnsi="仿宋" w:eastAsia="仿宋" w:cs="仿宋"/>
          <w:snapToGrid/>
          <w:color w:val="auto"/>
          <w:kern w:val="0"/>
          <w:sz w:val="24"/>
          <w:szCs w:val="24"/>
          <w:highlight w:val="none"/>
          <w:u w:val="single"/>
        </w:rPr>
        <w:t xml:space="preserve"> （应明确预付款的支付比例和支付条件）</w:t>
      </w:r>
    </w:p>
    <w:p>
      <w:pPr>
        <w:shd w:val="clea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成本补偿：</w:t>
      </w:r>
      <w:r>
        <w:rPr>
          <w:rFonts w:ascii="仿宋" w:hAnsi="仿宋" w:eastAsia="仿宋" w:cs="仿宋"/>
          <w:snapToGrid/>
          <w:color w:val="auto"/>
          <w:kern w:val="0"/>
          <w:sz w:val="24"/>
          <w:szCs w:val="20"/>
          <w:highlight w:val="none"/>
        </w:rPr>
        <w:t xml:space="preserve">      （应明确按照成本补偿方式的支付方式和支付条件）   </w:t>
      </w:r>
    </w:p>
    <w:p>
      <w:pPr>
        <w:shd w:val="clea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绩效激励：</w:t>
      </w:r>
      <w:r>
        <w:rPr>
          <w:rFonts w:ascii="仿宋" w:hAnsi="仿宋" w:eastAsia="仿宋" w:cs="仿宋"/>
          <w:snapToGrid/>
          <w:color w:val="auto"/>
          <w:kern w:val="0"/>
          <w:sz w:val="24"/>
          <w:szCs w:val="20"/>
          <w:highlight w:val="none"/>
        </w:rPr>
        <w:t xml:space="preserve">      （应明确按照绩效激励方式的支付方式和支付条件）   </w:t>
      </w:r>
    </w:p>
    <w:p>
      <w:pPr>
        <w:shd w:val="clea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3.</w:t>
      </w:r>
      <w:r>
        <w:rPr>
          <w:rFonts w:hint="eastAsia" w:ascii="仿宋" w:hAnsi="仿宋" w:eastAsia="仿宋" w:cs="仿宋"/>
          <w:b/>
          <w:bCs/>
          <w:snapToGrid/>
          <w:color w:val="auto"/>
          <w:kern w:val="0"/>
          <w:sz w:val="24"/>
          <w:szCs w:val="20"/>
          <w:highlight w:val="none"/>
        </w:rPr>
        <w:t>合同履行</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 xml:space="preserve">1）起始日期：年月日，完成日期：年月 </w:t>
      </w:r>
      <w:r>
        <w:rPr>
          <w:rFonts w:hint="eastAsia" w:ascii="仿宋" w:hAnsi="仿宋" w:eastAsia="仿宋" w:cs="仿宋"/>
          <w:snapToGrid/>
          <w:color w:val="auto"/>
          <w:kern w:val="0"/>
          <w:sz w:val="24"/>
          <w:szCs w:val="20"/>
          <w:highlight w:val="none"/>
        </w:rPr>
        <w:t>日。</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2）履约地点：</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3）履约担保：是否收取履约保证金：</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收取履约保证金形式：</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收取履约保证金金额：</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履约担保期限：</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 xml:space="preserve">4）分期履行要求： </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5）风险处置措施和替代方案：</w:t>
      </w:r>
    </w:p>
    <w:p>
      <w:pPr>
        <w:shd w:val="clea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4.</w:t>
      </w:r>
      <w:r>
        <w:rPr>
          <w:rFonts w:hint="eastAsia" w:ascii="仿宋" w:hAnsi="仿宋" w:eastAsia="仿宋" w:cs="仿宋"/>
          <w:b/>
          <w:bCs/>
          <w:snapToGrid/>
          <w:color w:val="auto"/>
          <w:kern w:val="0"/>
          <w:sz w:val="24"/>
          <w:szCs w:val="20"/>
          <w:highlight w:val="none"/>
        </w:rPr>
        <w:t>合同验收</w:t>
      </w:r>
    </w:p>
    <w:p>
      <w:pPr>
        <w:shd w:val="clear"/>
        <w:adjustRightInd/>
        <w:spacing w:line="440" w:lineRule="exact"/>
        <w:ind w:left="0" w:leftChars="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1）验收组织方式：</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自行组织</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委托第三方组织</w:t>
      </w:r>
    </w:p>
    <w:p>
      <w:pPr>
        <w:shd w:val="clear"/>
        <w:adjustRightInd/>
        <w:spacing w:line="440" w:lineRule="exact"/>
        <w:ind w:left="0" w:leftChars="0" w:right="-420" w:rightChars="-200" w:firstLine="1080" w:firstLineChars="450"/>
        <w:rPr>
          <w:rFonts w:ascii="宋体" w:hAnsi="宋体"/>
          <w:color w:val="auto"/>
          <w:kern w:val="0"/>
          <w:sz w:val="34"/>
          <w:szCs w:val="21"/>
          <w:highlight w:val="none"/>
          <w:u w:val="single"/>
        </w:rPr>
      </w:pPr>
      <w:r>
        <w:rPr>
          <w:rFonts w:hint="eastAsia" w:ascii="仿宋" w:hAnsi="仿宋" w:eastAsia="仿宋" w:cs="仿宋"/>
          <w:snapToGrid/>
          <w:color w:val="auto"/>
          <w:kern w:val="0"/>
          <w:sz w:val="24"/>
          <w:szCs w:val="20"/>
          <w:highlight w:val="none"/>
        </w:rPr>
        <w:t>验收主体：</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是否邀请本项目的其他供应商参加验收：</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是否邀请专家参加验收：</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是否邀请服务对象参加验收：</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是否邀请第三方检测机构参加验收：</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是否进行抽查检测：</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是，抽查比例：</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是否存在破坏性检测：</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是，（应明确对被破坏的检测产品的处理方式）</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验收组织的其他事项：</w:t>
      </w:r>
    </w:p>
    <w:p>
      <w:pPr>
        <w:shd w:val="clea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w:t>
      </w:r>
      <w:r>
        <w:rPr>
          <w:rFonts w:hint="eastAsia" w:ascii="仿宋" w:hAnsi="仿宋" w:eastAsia="仿宋" w:cs="仿宋"/>
          <w:snapToGrid/>
          <w:color w:val="auto"/>
          <w:kern w:val="0"/>
          <w:sz w:val="24"/>
          <w:szCs w:val="20"/>
          <w:highlight w:val="none"/>
        </w:rPr>
        <w:t>）履约验收时间：</w:t>
      </w:r>
      <w:r>
        <w:rPr>
          <w:rFonts w:hint="eastAsia" w:ascii="仿宋" w:hAnsi="仿宋" w:eastAsia="仿宋" w:cs="仿宋"/>
          <w:bCs/>
          <w:snapToGrid/>
          <w:color w:val="auto"/>
          <w:kern w:val="0"/>
          <w:sz w:val="24"/>
          <w:szCs w:val="24"/>
          <w:highlight w:val="none"/>
          <w:u w:val="single"/>
        </w:rPr>
        <w:t>（计划于何时验收</w:t>
      </w:r>
      <w:r>
        <w:rPr>
          <w:rFonts w:ascii="仿宋" w:hAnsi="仿宋" w:eastAsia="仿宋" w:cs="仿宋"/>
          <w:bCs/>
          <w:snapToGrid/>
          <w:color w:val="auto"/>
          <w:kern w:val="0"/>
          <w:sz w:val="24"/>
          <w:szCs w:val="24"/>
          <w:highlight w:val="none"/>
          <w:u w:val="single"/>
        </w:rPr>
        <w:t xml:space="preserve">/供应商提出验收申请之日起   </w:t>
      </w:r>
      <w:r>
        <w:rPr>
          <w:rFonts w:hint="eastAsia" w:ascii="仿宋" w:hAnsi="仿宋" w:eastAsia="仿宋" w:cs="仿宋"/>
          <w:bCs/>
          <w:snapToGrid/>
          <w:color w:val="auto"/>
          <w:kern w:val="0"/>
          <w:sz w:val="24"/>
          <w:szCs w:val="24"/>
          <w:highlight w:val="none"/>
          <w:u w:val="single"/>
        </w:rPr>
        <w:t>日内组织验收）</w:t>
      </w:r>
    </w:p>
    <w:p>
      <w:pPr>
        <w:shd w:val="clea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3）履约验收方式：</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一次性验收</w:t>
      </w:r>
      <w:r>
        <w:rPr>
          <w:rFonts w:ascii="仿宋" w:hAnsi="仿宋" w:eastAsia="仿宋" w:cs="仿宋"/>
          <w:snapToGrid/>
          <w:color w:val="auto"/>
          <w:kern w:val="0"/>
          <w:sz w:val="24"/>
          <w:szCs w:val="20"/>
          <w:highlight w:val="none"/>
        </w:rPr>
        <w:t xml:space="preserve">         </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分期</w:t>
      </w:r>
      <w:r>
        <w:rPr>
          <w:rFonts w:ascii="仿宋" w:hAnsi="仿宋" w:eastAsia="仿宋" w:cs="仿宋"/>
          <w:snapToGrid/>
          <w:color w:val="auto"/>
          <w:kern w:val="0"/>
          <w:sz w:val="24"/>
          <w:szCs w:val="20"/>
          <w:highlight w:val="none"/>
        </w:rPr>
        <w:t>/分项验收：</w:t>
      </w:r>
      <w:r>
        <w:rPr>
          <w:rFonts w:hint="eastAsia" w:ascii="仿宋" w:hAnsi="仿宋" w:eastAsia="仿宋" w:cs="仿宋"/>
          <w:bCs/>
          <w:snapToGrid/>
          <w:color w:val="auto"/>
          <w:kern w:val="0"/>
          <w:sz w:val="24"/>
          <w:szCs w:val="24"/>
          <w:highlight w:val="none"/>
          <w:u w:val="single"/>
        </w:rPr>
        <w:t>（应明确分期</w:t>
      </w:r>
      <w:r>
        <w:rPr>
          <w:rFonts w:ascii="仿宋" w:hAnsi="仿宋" w:eastAsia="仿宋" w:cs="仿宋"/>
          <w:bCs/>
          <w:snapToGrid/>
          <w:color w:val="auto"/>
          <w:kern w:val="0"/>
          <w:sz w:val="24"/>
          <w:szCs w:val="24"/>
          <w:highlight w:val="none"/>
          <w:u w:val="single"/>
        </w:rPr>
        <w:t>/分项验收的工作安排）</w:t>
      </w:r>
    </w:p>
    <w:p>
      <w:pPr>
        <w:shd w:val="clea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4）履约验收程序：</w:t>
      </w:r>
    </w:p>
    <w:p>
      <w:pPr>
        <w:shd w:val="clea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5）履约验收的内容：</w:t>
      </w:r>
      <w:r>
        <w:rPr>
          <w:rFonts w:hint="eastAsia" w:ascii="仿宋" w:hAnsi="仿宋" w:eastAsia="仿宋" w:cs="仿宋"/>
          <w:bCs/>
          <w:snapToGrid/>
          <w:color w:val="auto"/>
          <w:kern w:val="0"/>
          <w:sz w:val="24"/>
          <w:szCs w:val="24"/>
          <w:highlight w:val="none"/>
          <w:u w:val="single"/>
        </w:rPr>
        <w:t>（应当包括每一项技术和商务要求的履约情况，特别是落实采购扶持中小企业，支持绿色发展和乡村振兴等政策情况）</w:t>
      </w:r>
    </w:p>
    <w:p>
      <w:pPr>
        <w:shd w:val="clea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 xml:space="preserve">6）履约验收标准： </w:t>
      </w:r>
    </w:p>
    <w:p>
      <w:pPr>
        <w:shd w:val="clea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7）是否以采购活动中供应商提供的样品作为参考：</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是</w:t>
      </w:r>
      <w:r>
        <w:rPr>
          <w:rFonts w:ascii="仿宋" w:hAnsi="仿宋" w:eastAsia="仿宋" w:cs="仿宋"/>
          <w:snapToGrid/>
          <w:color w:val="auto"/>
          <w:kern w:val="0"/>
          <w:sz w:val="24"/>
          <w:szCs w:val="20"/>
          <w:highlight w:val="none"/>
        </w:rPr>
        <w:t xml:space="preserve">  </w:t>
      </w:r>
      <w:r>
        <w:rPr>
          <w:rFonts w:ascii="仿宋" w:hAnsi="仿宋" w:eastAsia="仿宋" w:cs="仿宋"/>
          <w:snapToGrid/>
          <w:color w:val="auto"/>
          <w:kern w:val="0"/>
          <w:sz w:val="24"/>
          <w:szCs w:val="20"/>
          <w:highlight w:val="none"/>
        </w:rPr>
        <w:sym w:font="Wingdings" w:char="00A8"/>
      </w:r>
      <w:r>
        <w:rPr>
          <w:rFonts w:hint="eastAsia" w:ascii="仿宋" w:hAnsi="仿宋" w:eastAsia="仿宋" w:cs="仿宋"/>
          <w:snapToGrid/>
          <w:color w:val="auto"/>
          <w:kern w:val="0"/>
          <w:sz w:val="24"/>
          <w:szCs w:val="20"/>
          <w:highlight w:val="none"/>
        </w:rPr>
        <w:t>否</w:t>
      </w:r>
    </w:p>
    <w:p>
      <w:pPr>
        <w:shd w:val="clea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8）履约验收其他事项：</w:t>
      </w:r>
      <w:r>
        <w:rPr>
          <w:rFonts w:ascii="仿宋" w:hAnsi="仿宋" w:eastAsia="仿宋" w:cs="仿宋"/>
          <w:bCs/>
          <w:snapToGrid/>
          <w:color w:val="auto"/>
          <w:kern w:val="0"/>
          <w:sz w:val="24"/>
          <w:szCs w:val="24"/>
          <w:highlight w:val="none"/>
          <w:u w:val="single"/>
        </w:rPr>
        <w:t xml:space="preserve">      （产权过户登记等）       </w:t>
      </w:r>
    </w:p>
    <w:p>
      <w:pPr>
        <w:shd w:val="clea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5.</w:t>
      </w:r>
      <w:r>
        <w:rPr>
          <w:rFonts w:hint="eastAsia" w:ascii="仿宋" w:hAnsi="仿宋" w:eastAsia="仿宋" w:cs="仿宋"/>
          <w:b/>
          <w:bCs/>
          <w:snapToGrid/>
          <w:color w:val="auto"/>
          <w:kern w:val="0"/>
          <w:sz w:val="24"/>
          <w:szCs w:val="20"/>
          <w:highlight w:val="none"/>
        </w:rPr>
        <w:t>组成合同的文件</w:t>
      </w:r>
    </w:p>
    <w:p>
      <w:pPr>
        <w:shd w:val="clear"/>
        <w:adjustRightInd/>
        <w:spacing w:line="440" w:lineRule="exact"/>
        <w:ind w:left="0" w:leftChars="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本协议书与下列文件一起构成合同文件，如下述文件之间有任何抵触、矛盾或歧义，应按以下顺序解释：</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1）采购合同协议书及其变更、补充协议</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2）采购合同专用条款</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3）采购合同通用条款</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4）中标（成交）通知书</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5）投标（响应）文件</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6）采购文件</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7）有关技术文件，图纸</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8）国家法律、行政法规和规章制度规定或合同约定的作为合同组成部分的其他文件</w:t>
      </w:r>
    </w:p>
    <w:p>
      <w:pPr>
        <w:shd w:val="clea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6.</w:t>
      </w:r>
      <w:r>
        <w:rPr>
          <w:rFonts w:hint="eastAsia" w:ascii="仿宋" w:hAnsi="仿宋" w:eastAsia="仿宋" w:cs="仿宋"/>
          <w:b/>
          <w:bCs/>
          <w:snapToGrid/>
          <w:color w:val="auto"/>
          <w:kern w:val="0"/>
          <w:sz w:val="24"/>
          <w:szCs w:val="20"/>
          <w:highlight w:val="none"/>
        </w:rPr>
        <w:t>合同生效</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本合同自生效。</w:t>
      </w:r>
    </w:p>
    <w:p>
      <w:pPr>
        <w:shd w:val="clea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7.</w:t>
      </w:r>
      <w:r>
        <w:rPr>
          <w:rFonts w:hint="eastAsia" w:ascii="仿宋" w:hAnsi="仿宋" w:eastAsia="仿宋" w:cs="仿宋"/>
          <w:b/>
          <w:bCs/>
          <w:snapToGrid/>
          <w:color w:val="auto"/>
          <w:kern w:val="0"/>
          <w:sz w:val="24"/>
          <w:szCs w:val="20"/>
          <w:highlight w:val="none"/>
        </w:rPr>
        <w:t>合同份数</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本合同一式份，甲方执</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份，乙方执份，均具有同等法律效力。</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合同订立时间：年</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月日</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合同订立地点：</w:t>
      </w:r>
    </w:p>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附件：具体标的及其技术要求和商务要求、联合协议、分包意向协议等。</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br w:type="page"/>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72"/>
        <w:tblW w:w="9040"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pPr>
              <w:keepNext w:val="0"/>
              <w:keepLines w:val="0"/>
              <w:shd w:val="clear"/>
              <w:adjustRightInd/>
              <w:spacing w:before="0" w:after="0" w:line="440" w:lineRule="exact"/>
              <w:ind w:left="-420" w:leftChars="-200" w:right="-420" w:rightChars="-200" w:firstLine="630" w:firstLineChars="300"/>
              <w:jc w:val="both"/>
              <w:outlineLvl w:val="9"/>
              <w:rPr>
                <w:rFonts w:ascii="仿宋" w:hAnsi="仿宋" w:eastAsia="仿宋" w:cs="仿宋"/>
                <w:bCs/>
                <w:color w:val="auto"/>
                <w:spacing w:val="14"/>
                <w:kern w:val="0"/>
                <w:sz w:val="28"/>
                <w:szCs w:val="21"/>
                <w:highlight w:val="none"/>
              </w:rPr>
            </w:pPr>
            <w:r>
              <w:rPr>
                <w:rFonts w:hint="eastAsia" w:ascii="仿宋" w:hAnsi="仿宋" w:eastAsia="仿宋" w:cs="仿宋"/>
                <w:snapToGrid/>
                <w:color w:val="auto"/>
                <w:kern w:val="0"/>
                <w:sz w:val="21"/>
                <w:szCs w:val="21"/>
                <w:highlight w:val="none"/>
              </w:rPr>
              <w:t>甲方（采购人、受采购人委托签订合同的</w:t>
            </w:r>
          </w:p>
          <w:p>
            <w:pPr>
              <w:keepNext w:val="0"/>
              <w:keepLines w:val="0"/>
              <w:shd w:val="clear"/>
              <w:adjustRightInd/>
              <w:spacing w:before="0" w:after="0" w:line="440" w:lineRule="exact"/>
              <w:ind w:left="-420" w:leftChars="-200" w:right="-420" w:rightChars="-200" w:firstLine="1050" w:firstLineChars="500"/>
              <w:jc w:val="both"/>
              <w:outlineLvl w:val="9"/>
              <w:rPr>
                <w:rFonts w:ascii="仿宋" w:hAnsi="仿宋" w:eastAsia="仿宋" w:cs="仿宋"/>
                <w:bCs/>
                <w:color w:val="auto"/>
                <w:spacing w:val="14"/>
                <w:kern w:val="0"/>
                <w:sz w:val="24"/>
                <w:szCs w:val="20"/>
                <w:highlight w:val="none"/>
              </w:rPr>
            </w:pPr>
            <w:r>
              <w:rPr>
                <w:rFonts w:hint="eastAsia" w:ascii="仿宋" w:hAnsi="仿宋" w:eastAsia="仿宋" w:cs="仿宋"/>
                <w:snapToGrid/>
                <w:color w:val="auto"/>
                <w:kern w:val="0"/>
                <w:sz w:val="21"/>
                <w:szCs w:val="21"/>
                <w:highlight w:val="none"/>
              </w:rPr>
              <w:t>单位或采购文件约定的合同甲方）</w:t>
            </w:r>
          </w:p>
        </w:tc>
        <w:tc>
          <w:tcPr>
            <w:tcW w:w="4408" w:type="dxa"/>
            <w:gridSpan w:val="2"/>
            <w:tcBorders>
              <w:left w:val="single" w:color="auto" w:sz="2" w:space="0"/>
              <w:bottom w:val="single" w:color="auto" w:sz="2" w:space="0"/>
            </w:tcBorders>
            <w:vAlign w:val="center"/>
          </w:tcPr>
          <w:p>
            <w:pPr>
              <w:shd w:val="clea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单位名称</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单位名称</w:t>
            </w:r>
          </w:p>
          <w:p>
            <w:pPr>
              <w:shd w:val="clea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（公章或合同章）</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vAlign w:val="center"/>
          </w:tcPr>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法定代表人</w:t>
            </w:r>
          </w:p>
          <w:p>
            <w:pPr>
              <w:shd w:val="clea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或其委托代理人</w:t>
            </w:r>
            <w:r>
              <w:rPr>
                <w:rFonts w:ascii="仿宋" w:hAnsi="仿宋" w:eastAsia="仿宋" w:cs="仿宋"/>
                <w:snapToGrid/>
                <w:color w:val="auto"/>
                <w:kern w:val="0"/>
                <w:sz w:val="24"/>
                <w:szCs w:val="20"/>
                <w:highlight w:val="none"/>
              </w:rPr>
              <w:br w:type="textWrapping"/>
            </w:r>
            <w:r>
              <w:rPr>
                <w:rFonts w:hint="eastAsia" w:ascii="仿宋" w:hAnsi="仿宋" w:eastAsia="仿宋" w:cs="仿宋"/>
                <w:snapToGrid/>
                <w:color w:val="auto"/>
                <w:kern w:val="0"/>
                <w:sz w:val="24"/>
                <w:szCs w:val="20"/>
                <w:highlight w:val="none"/>
              </w:rPr>
              <w:t>（签章）</w:t>
            </w:r>
          </w:p>
        </w:tc>
        <w:tc>
          <w:tcPr>
            <w:tcW w:w="2596" w:type="dxa"/>
            <w:vMerge w:val="restart"/>
            <w:tcBorders>
              <w:top w:val="single" w:color="auto" w:sz="2" w:space="0"/>
              <w:left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right w:val="single" w:color="auto" w:sz="2" w:space="0"/>
            </w:tcBorders>
            <w:vAlign w:val="center"/>
          </w:tcPr>
          <w:p>
            <w:pPr>
              <w:shd w:val="clea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法定代表人或其</w:t>
            </w:r>
            <w:r>
              <w:rPr>
                <w:rFonts w:ascii="仿宋" w:hAnsi="仿宋" w:eastAsia="仿宋" w:cs="仿宋"/>
                <w:snapToGrid/>
                <w:color w:val="auto"/>
                <w:kern w:val="0"/>
                <w:sz w:val="24"/>
                <w:szCs w:val="20"/>
                <w:highlight w:val="none"/>
              </w:rPr>
              <w:br w:type="textWrapping"/>
            </w:r>
            <w:r>
              <w:rPr>
                <w:rFonts w:hint="eastAsia" w:ascii="仿宋" w:hAnsi="仿宋" w:eastAsia="仿宋" w:cs="仿宋"/>
                <w:snapToGrid/>
                <w:color w:val="auto"/>
                <w:kern w:val="0"/>
                <w:sz w:val="24"/>
                <w:szCs w:val="20"/>
                <w:highlight w:val="none"/>
              </w:rPr>
              <w:t>委托代理人（签章）</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vMerge w:val="continue"/>
            <w:tcBorders>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拥有者性别</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住所</w:t>
            </w: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住所</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keepNext w:val="0"/>
              <w:keepLines w:val="0"/>
              <w:shd w:val="clear"/>
              <w:adjustRightInd/>
              <w:spacing w:before="0" w:after="0" w:line="440" w:lineRule="exact"/>
              <w:ind w:right="-420" w:rightChars="-200" w:firstLine="480" w:firstLineChars="200"/>
              <w:jc w:val="both"/>
              <w:outlineLvl w:val="9"/>
              <w:rPr>
                <w:rFonts w:ascii="仿宋" w:hAnsi="仿宋" w:eastAsia="仿宋" w:cs="仿宋"/>
                <w:bCs/>
                <w:color w:val="auto"/>
                <w:spacing w:val="14"/>
                <w:kern w:val="0"/>
                <w:sz w:val="24"/>
                <w:szCs w:val="20"/>
                <w:highlight w:val="none"/>
              </w:rPr>
            </w:pPr>
            <w:r>
              <w:rPr>
                <w:rFonts w:hint="eastAsia" w:ascii="仿宋" w:hAnsi="仿宋" w:eastAsia="仿宋" w:cs="仿宋"/>
                <w:snapToGrid/>
                <w:color w:val="auto"/>
                <w:kern w:val="0"/>
                <w:sz w:val="24"/>
                <w:szCs w:val="20"/>
                <w:highlight w:val="none"/>
              </w:rPr>
              <w:t>联</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系</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人</w:t>
            </w: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联</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系</w:t>
            </w:r>
            <w:r>
              <w:rPr>
                <w:rFonts w:ascii="仿宋" w:hAnsi="仿宋" w:eastAsia="仿宋" w:cs="仿宋"/>
                <w:snapToGrid/>
                <w:color w:val="auto"/>
                <w:kern w:val="0"/>
                <w:sz w:val="24"/>
                <w:szCs w:val="20"/>
                <w:highlight w:val="none"/>
              </w:rPr>
              <w:t xml:space="preserve"> </w:t>
            </w:r>
            <w:r>
              <w:rPr>
                <w:rFonts w:hint="eastAsia" w:ascii="仿宋" w:hAnsi="仿宋" w:eastAsia="仿宋" w:cs="仿宋"/>
                <w:snapToGrid/>
                <w:color w:val="auto"/>
                <w:kern w:val="0"/>
                <w:sz w:val="24"/>
                <w:szCs w:val="20"/>
                <w:highlight w:val="none"/>
              </w:rPr>
              <w:t>人</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联系电话</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通信地址</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邮政编码</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电子邮箱</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统一社会信用代码</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开户名称</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开户银行</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hd w:val="clea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银行账号</w:t>
            </w:r>
          </w:p>
        </w:tc>
        <w:tc>
          <w:tcPr>
            <w:tcW w:w="2278" w:type="dxa"/>
            <w:tcBorders>
              <w:top w:val="single" w:color="auto" w:sz="2" w:space="0"/>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586" w:hRule="atLeast"/>
        </w:trPr>
        <w:tc>
          <w:tcPr>
            <w:tcW w:w="9040" w:type="dxa"/>
            <w:gridSpan w:val="4"/>
            <w:tcBorders>
              <w:top w:val="single" w:color="auto" w:sz="2" w:space="0"/>
            </w:tcBorders>
            <w:vAlign w:val="center"/>
          </w:tcPr>
          <w:p>
            <w:pPr>
              <w:shd w:val="clea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注：涉及联合体或其他合同主体的信息应按上表格式加列。</w:t>
            </w:r>
          </w:p>
        </w:tc>
      </w:tr>
    </w:tbl>
    <w:p>
      <w:pPr>
        <w:numPr>
          <w:ilvl w:val="0"/>
          <w:numId w:val="4"/>
        </w:numPr>
        <w:shd w:val="clea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bookmarkStart w:id="55" w:name="_Toc27624"/>
      <w:r>
        <w:rPr>
          <w:rFonts w:hint="eastAsia" w:ascii="仿宋" w:hAnsi="仿宋" w:eastAsia="仿宋" w:cs="仿宋"/>
          <w:b/>
          <w:bCs/>
          <w:snapToGrid/>
          <w:color w:val="auto"/>
          <w:kern w:val="0"/>
          <w:sz w:val="24"/>
          <w:szCs w:val="20"/>
          <w:highlight w:val="none"/>
        </w:rPr>
        <w:t>采购合同通用条款</w:t>
      </w:r>
      <w:bookmarkEnd w:id="55"/>
    </w:p>
    <w:p>
      <w:pPr>
        <w:numPr>
          <w:ilvl w:val="255"/>
          <w:numId w:val="0"/>
        </w:num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1.定义</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1.1合同当事人</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1）采购人（以下称甲方）是指使用财政性资金，通过采购方式向供应商购买货物及其相关服务的国家机关、事业单位、团体组织。</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2）供应商（以下称乙方）是指参加采购活动并且中标（成交），向采购人提供合同约定的货物及其相关服务的法人、非法人组织或者自然人。</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3）其他合同主体是指除采购人和供应商以外，依法参与合同缔结或履行，享有权利、承担义务的合同当事人。</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1.2本合同下列术语应解释为：</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合同”系指合同当事人意思表示达成一致的任何协议，包括签署的采购合同协议书及其变更、补充协议，采购合同专用条款，采购合同通用条款，中标（成交）通知书，投标（响应）文件，采购文件，有关技术文件和图纸，以及国家法律、行政法规和规章制度规定或合同约定的作为合同组成部分的其他文件。</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2）“合同价款”系指根据本合同规定乙方在全面履行合同义务后甲方应支付给乙方的价款。</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6）“联合体”系指由两个以上的自然人、法人或者非法人组织组成，以一个供应商的身份共同参加采购的主体。联合体各方应在签订合同协议书前向甲方提交联合协议，且明确牵头人及各成员单位的工作分工、权利、义务、责任，联合体各方应共同与甲方签订合同，就合同约定的事项对甲方承担连带责任。联合体具体要求见【采购合同专用条款】。</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7）其他术语解释，见【采购合同专用条款】。</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2.合同标的及金额</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2.1 </w:t>
      </w:r>
      <w:r>
        <w:rPr>
          <w:rFonts w:hint="eastAsia" w:ascii="仿宋" w:hAnsi="仿宋" w:eastAsia="仿宋" w:cs="仿宋"/>
          <w:snapToGrid/>
          <w:color w:val="auto"/>
          <w:kern w:val="0"/>
          <w:sz w:val="24"/>
          <w:szCs w:val="20"/>
          <w:highlight w:val="none"/>
        </w:rPr>
        <w:t>合同标的及金额应与中标（成交）结果一致。乙方为履行本合同而发生的所有费用均应包含在合同价款中，甲方不再另行支付其他任何费用。</w:t>
      </w:r>
    </w:p>
    <w:p>
      <w:pPr>
        <w:shd w:val="clea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3.履行合同的时间、地点和方式</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3.1 </w:t>
      </w:r>
      <w:r>
        <w:rPr>
          <w:rFonts w:hint="eastAsia" w:ascii="仿宋" w:hAnsi="仿宋" w:eastAsia="仿宋" w:cs="仿宋"/>
          <w:snapToGrid/>
          <w:color w:val="auto"/>
          <w:kern w:val="0"/>
          <w:sz w:val="24"/>
          <w:szCs w:val="20"/>
          <w:highlight w:val="none"/>
        </w:rPr>
        <w:t>乙方应当在约定的时间、地点，按照约定方式履行合同。</w:t>
      </w:r>
    </w:p>
    <w:p>
      <w:pPr>
        <w:shd w:val="clea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4.甲方的权利和义务</w:t>
      </w:r>
    </w:p>
    <w:p>
      <w:pPr>
        <w:shd w:val="clea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4.1 </w:t>
      </w:r>
      <w:r>
        <w:rPr>
          <w:rFonts w:hint="eastAsia" w:ascii="仿宋" w:hAnsi="仿宋" w:eastAsia="仿宋" w:cs="仿宋"/>
          <w:snapToGrid/>
          <w:color w:val="auto"/>
          <w:kern w:val="0"/>
          <w:sz w:val="24"/>
          <w:szCs w:val="20"/>
          <w:highlight w:val="none"/>
        </w:rPr>
        <w:t>签署合同后，甲方应确定项目负责人（或项目联系人），负责与本合同有关的事务。甲方有权对乙方的履约行为进行检查，并及时确认乙方提交的事项。甲方应当配合乙方完成相关项目实施工作。</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4.2 </w:t>
      </w:r>
      <w:r>
        <w:rPr>
          <w:rFonts w:hint="eastAsia" w:ascii="仿宋" w:hAnsi="仿宋" w:eastAsia="仿宋" w:cs="仿宋"/>
          <w:snapToGrid/>
          <w:color w:val="auto"/>
          <w:kern w:val="0"/>
          <w:sz w:val="24"/>
          <w:szCs w:val="20"/>
          <w:highlight w:val="none"/>
        </w:rPr>
        <w:t>甲方有权要求乙方按时提交各阶段有关安排计划，并有权定期核对乙方提供货物数量、规格、质量等内容。甲方有权督促乙方工作并要求乙方更换不符合要求的货物。</w:t>
      </w:r>
    </w:p>
    <w:p>
      <w:pPr>
        <w:shd w:val="clea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4.3 </w:t>
      </w:r>
      <w:r>
        <w:rPr>
          <w:rFonts w:hint="eastAsia" w:ascii="仿宋" w:hAnsi="仿宋" w:eastAsia="仿宋" w:cs="仿宋"/>
          <w:snapToGrid/>
          <w:color w:val="auto"/>
          <w:kern w:val="0"/>
          <w:sz w:val="24"/>
          <w:szCs w:val="20"/>
          <w:highlight w:val="none"/>
        </w:rPr>
        <w:t>甲方有权要求乙方对缺陷部分予以修复，并按合同约定享有货物保修及其他合同约定的权利。</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4.4 </w:t>
      </w:r>
      <w:r>
        <w:rPr>
          <w:rFonts w:hint="eastAsia" w:ascii="仿宋" w:hAnsi="仿宋" w:eastAsia="仿宋" w:cs="仿宋"/>
          <w:snapToGrid/>
          <w:color w:val="auto"/>
          <w:kern w:val="0"/>
          <w:sz w:val="24"/>
          <w:szCs w:val="20"/>
          <w:highlight w:val="none"/>
        </w:rPr>
        <w:t>甲方应当按照合同约定及时对交付的货物进行验收，未在【采购合同专用条款】约定的期限内对乙方履约提出任何异议或者向乙方作出任何说明的，视为验收通过。</w:t>
      </w:r>
    </w:p>
    <w:p>
      <w:pPr>
        <w:numPr>
          <w:ilvl w:val="255"/>
          <w:numId w:val="0"/>
        </w:num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4.5 </w:t>
      </w:r>
      <w:r>
        <w:rPr>
          <w:rFonts w:hint="eastAsia" w:ascii="仿宋" w:hAnsi="仿宋" w:eastAsia="仿宋" w:cs="仿宋"/>
          <w:snapToGrid/>
          <w:color w:val="auto"/>
          <w:kern w:val="0"/>
          <w:sz w:val="24"/>
          <w:szCs w:val="20"/>
          <w:highlight w:val="none"/>
        </w:rPr>
        <w:t>甲方应当根据合同约定及时向乙方支付合同价款，不得以内部人员变更、履行内部付款流程等为由，拒绝或迟延支付。</w:t>
      </w:r>
    </w:p>
    <w:p>
      <w:pPr>
        <w:numPr>
          <w:ilvl w:val="255"/>
          <w:numId w:val="0"/>
        </w:num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4.6 </w:t>
      </w:r>
      <w:r>
        <w:rPr>
          <w:rFonts w:hint="eastAsia" w:ascii="仿宋" w:hAnsi="仿宋" w:eastAsia="仿宋" w:cs="仿宋"/>
          <w:snapToGrid/>
          <w:color w:val="auto"/>
          <w:kern w:val="0"/>
          <w:sz w:val="24"/>
          <w:szCs w:val="20"/>
          <w:highlight w:val="none"/>
        </w:rPr>
        <w:t>国家法律法规规定及【采购合同专用条款】约定应由甲方承担的其他义务和责任。</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5.乙方的权利和义务</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5.1 </w:t>
      </w:r>
      <w:r>
        <w:rPr>
          <w:rFonts w:hint="eastAsia" w:ascii="仿宋" w:hAnsi="仿宋" w:eastAsia="仿宋" w:cs="仿宋"/>
          <w:snapToGrid/>
          <w:color w:val="auto"/>
          <w:kern w:val="0"/>
          <w:sz w:val="24"/>
          <w:szCs w:val="20"/>
          <w:highlight w:val="none"/>
        </w:rPr>
        <w:t>签署合同后，乙方应确定项目负责人（或项目联系人），负责与本合同有关的事务。</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5.2 </w:t>
      </w:r>
      <w:r>
        <w:rPr>
          <w:rFonts w:hint="eastAsia" w:ascii="仿宋" w:hAnsi="仿宋" w:eastAsia="仿宋" w:cs="仿宋"/>
          <w:snapToGrid/>
          <w:color w:val="auto"/>
          <w:kern w:val="0"/>
          <w:sz w:val="24"/>
          <w:szCs w:val="20"/>
          <w:highlight w:val="none"/>
        </w:rPr>
        <w:t>乙方应按照合同要求履约，充分合理安排，确保提供的货物及相关服务符合合同有关要求。接受项目行业管理部门及政府有关部门的指导，配合甲方的履约检查及验收，并负责项目实施过程中的所有协调工作。</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5.3乙方有权根据合同约定向甲方收取合同价款。</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5.4国家法律法规规定及【采购合同专用条款】约定应由乙方承担的其他义务和责任。</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6.</w:t>
      </w:r>
      <w:r>
        <w:rPr>
          <w:rFonts w:hint="eastAsia" w:ascii="仿宋" w:hAnsi="仿宋" w:eastAsia="仿宋" w:cs="仿宋"/>
          <w:b/>
          <w:bCs/>
          <w:snapToGrid/>
          <w:color w:val="auto"/>
          <w:kern w:val="0"/>
          <w:sz w:val="24"/>
          <w:szCs w:val="20"/>
          <w:highlight w:val="none"/>
        </w:rPr>
        <w:t>合同履行</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6.1 </w:t>
      </w:r>
      <w:r>
        <w:rPr>
          <w:rFonts w:hint="eastAsia" w:ascii="仿宋" w:hAnsi="仿宋" w:eastAsia="仿宋" w:cs="仿宋"/>
          <w:snapToGrid/>
          <w:color w:val="auto"/>
          <w:kern w:val="0"/>
          <w:sz w:val="24"/>
          <w:szCs w:val="20"/>
          <w:highlight w:val="none"/>
        </w:rPr>
        <w:t>甲乙双方应当按照【采购合同专用条款】约定顺序履行合同义务；如果没有先后顺序的，应当同时履行。</w:t>
      </w:r>
    </w:p>
    <w:p>
      <w:pPr>
        <w:shd w:val="clea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6.2 </w:t>
      </w:r>
      <w:r>
        <w:rPr>
          <w:rFonts w:hint="eastAsia" w:ascii="仿宋" w:hAnsi="仿宋" w:eastAsia="仿宋" w:cs="仿宋"/>
          <w:snapToGrid/>
          <w:color w:val="auto"/>
          <w:kern w:val="0"/>
          <w:sz w:val="24"/>
          <w:szCs w:val="20"/>
          <w:highlight w:val="none"/>
        </w:rPr>
        <w:t>甲乙双方按照合同约定顺序履行合同义务时，应当先履行一方未履行的，后履行一方有权拒绝其履行请求。先履行一方履行不符合约定的，后履行一方有权拒绝其相应的履行请求。</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7.货物包装、运输、保险和交付要求</w:t>
      </w:r>
    </w:p>
    <w:p>
      <w:pPr>
        <w:shd w:val="clea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7.1 </w:t>
      </w:r>
      <w:r>
        <w:rPr>
          <w:rFonts w:hint="eastAsia" w:ascii="仿宋" w:hAnsi="仿宋" w:eastAsia="仿宋" w:cs="仿宋"/>
          <w:snapToGrid/>
          <w:color w:val="auto"/>
          <w:kern w:val="0"/>
          <w:sz w:val="24"/>
          <w:szCs w:val="20"/>
          <w:highlight w:val="none"/>
        </w:rPr>
        <w:t>本合同涉及商品包装、快递包装的，除【采购合同专用条款】另有约定外，包装应适应远距离运输、防潮、防震、防锈和防野蛮装卸等要求，确保货物安全无损地运抵【采购合同专用条款】约定的指定现场。</w:t>
      </w:r>
    </w:p>
    <w:p>
      <w:pPr>
        <w:shd w:val="clea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7.2 </w:t>
      </w:r>
      <w:r>
        <w:rPr>
          <w:rFonts w:hint="eastAsia" w:ascii="仿宋" w:hAnsi="仿宋" w:eastAsia="仿宋" w:cs="仿宋"/>
          <w:snapToGrid/>
          <w:color w:val="auto"/>
          <w:kern w:val="0"/>
          <w:sz w:val="24"/>
          <w:szCs w:val="20"/>
          <w:highlight w:val="none"/>
        </w:rPr>
        <w:t>除【采购合同专用条款】另有约定外，乙方负责办理将货物运抵本合同规定的交货地点，并装卸、交付至甲方的一切运输事项，相关费用应包含在合同价款中。</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7.3 </w:t>
      </w:r>
      <w:r>
        <w:rPr>
          <w:rFonts w:hint="eastAsia" w:ascii="仿宋" w:hAnsi="仿宋" w:eastAsia="仿宋" w:cs="仿宋"/>
          <w:snapToGrid/>
          <w:color w:val="auto"/>
          <w:kern w:val="0"/>
          <w:sz w:val="24"/>
          <w:szCs w:val="20"/>
          <w:highlight w:val="none"/>
        </w:rPr>
        <w:t>货物保险要求按【采购合同专用条款】规定执行。</w:t>
      </w:r>
    </w:p>
    <w:p>
      <w:pPr>
        <w:shd w:val="clea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7.4 </w:t>
      </w:r>
      <w:r>
        <w:rPr>
          <w:rFonts w:hint="eastAsia" w:ascii="仿宋" w:hAnsi="仿宋" w:eastAsia="仿宋" w:cs="仿宋"/>
          <w:snapToGrid/>
          <w:color w:val="auto"/>
          <w:kern w:val="0"/>
          <w:sz w:val="24"/>
          <w:szCs w:val="20"/>
          <w:highlight w:val="none"/>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7.5 </w:t>
      </w:r>
      <w:r>
        <w:rPr>
          <w:rFonts w:hint="eastAsia" w:ascii="仿宋" w:hAnsi="仿宋" w:eastAsia="仿宋" w:cs="仿宋"/>
          <w:snapToGrid/>
          <w:color w:val="auto"/>
          <w:kern w:val="0"/>
          <w:sz w:val="24"/>
          <w:szCs w:val="20"/>
          <w:highlight w:val="none"/>
        </w:rPr>
        <w:t>乙方在运输到达之前应提前通知甲方，并提示货物运输装卸的注意事项，甲方配合乙方做好货物的接收工作。</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7.6 </w:t>
      </w:r>
      <w:r>
        <w:rPr>
          <w:rFonts w:hint="eastAsia" w:ascii="仿宋" w:hAnsi="仿宋" w:eastAsia="仿宋" w:cs="仿宋"/>
          <w:snapToGrid/>
          <w:color w:val="auto"/>
          <w:kern w:val="0"/>
          <w:sz w:val="24"/>
          <w:szCs w:val="20"/>
          <w:highlight w:val="none"/>
        </w:rPr>
        <w:t>如因包装、运输问题导致货物损毁、丢失或者品质下降，甲方有权要求降价、换货、拒收部分或整批货物，由此产生的费用和损失，均由乙方承担。</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8.质量标准和保证</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8.1 </w:t>
      </w:r>
      <w:r>
        <w:rPr>
          <w:rFonts w:hint="eastAsia" w:ascii="仿宋" w:hAnsi="仿宋" w:eastAsia="仿宋" w:cs="仿宋"/>
          <w:snapToGrid/>
          <w:color w:val="auto"/>
          <w:kern w:val="0"/>
          <w:sz w:val="24"/>
          <w:szCs w:val="20"/>
          <w:highlight w:val="none"/>
        </w:rPr>
        <w:t>质量标准</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2）采用中华人民共和国法定计量单位。</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3）乙方所提供的货物应符合国家有关安全、环保、卫生的规定。</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8.2 </w:t>
      </w:r>
      <w:r>
        <w:rPr>
          <w:rFonts w:hint="eastAsia" w:ascii="仿宋" w:hAnsi="仿宋" w:eastAsia="仿宋" w:cs="仿宋"/>
          <w:snapToGrid/>
          <w:color w:val="auto"/>
          <w:kern w:val="0"/>
          <w:sz w:val="24"/>
          <w:szCs w:val="20"/>
          <w:highlight w:val="none"/>
        </w:rPr>
        <w:t>保证</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采购合同专用条款】规定或乙方书面承诺（两者以较长的为准）的质量保证期内，本保证保持有效。</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2）在质量保证期内所发现的缺陷，甲方应尽快以书面形式通知乙方。</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3）乙方收到通知后，应在【采购合同专用条款】规定的响应时间内以合理的速度免费维修或更换有缺陷的货物或部件。</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9.权利瑕疵担保</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9.1 </w:t>
      </w:r>
      <w:r>
        <w:rPr>
          <w:rFonts w:hint="eastAsia" w:ascii="仿宋" w:hAnsi="仿宋" w:eastAsia="仿宋" w:cs="仿宋"/>
          <w:snapToGrid/>
          <w:color w:val="auto"/>
          <w:kern w:val="0"/>
          <w:sz w:val="24"/>
          <w:szCs w:val="20"/>
          <w:highlight w:val="none"/>
        </w:rPr>
        <w:t>乙方保证对其出售的货物享有合法的权利。</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9.2 </w:t>
      </w:r>
      <w:r>
        <w:rPr>
          <w:rFonts w:hint="eastAsia" w:ascii="仿宋" w:hAnsi="仿宋" w:eastAsia="仿宋" w:cs="仿宋"/>
          <w:snapToGrid/>
          <w:color w:val="auto"/>
          <w:kern w:val="0"/>
          <w:sz w:val="24"/>
          <w:szCs w:val="20"/>
          <w:highlight w:val="none"/>
        </w:rPr>
        <w:t>乙方保证在交付的货物上不存在抵押权等担保物权。</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9.3 </w:t>
      </w:r>
      <w:r>
        <w:rPr>
          <w:rFonts w:hint="eastAsia" w:ascii="仿宋" w:hAnsi="仿宋" w:eastAsia="仿宋" w:cs="仿宋"/>
          <w:snapToGrid/>
          <w:color w:val="auto"/>
          <w:kern w:val="0"/>
          <w:sz w:val="24"/>
          <w:szCs w:val="20"/>
          <w:highlight w:val="none"/>
        </w:rPr>
        <w:t>如甲方使用上述货物构成对第三人侵权的，则由乙方承担全部责任。</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10.知识产权保护</w:t>
      </w:r>
    </w:p>
    <w:p>
      <w:pPr>
        <w:shd w:val="clea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10.1 </w:t>
      </w:r>
      <w:r>
        <w:rPr>
          <w:rFonts w:hint="eastAsia" w:ascii="仿宋" w:hAnsi="仿宋" w:eastAsia="仿宋" w:cs="仿宋"/>
          <w:snapToGrid/>
          <w:color w:val="auto"/>
          <w:kern w:val="0"/>
          <w:sz w:val="24"/>
          <w:szCs w:val="20"/>
          <w:highlight w:val="none"/>
        </w:rPr>
        <w:t>乙方对其所销售的货物应当享有知识产权或经权利人合法授权，保证没有侵犯任何第三人的知识产权等权利。</w:t>
      </w:r>
      <w:bookmarkStart w:id="56" w:name="_Hlk163047038"/>
      <w:r>
        <w:rPr>
          <w:rFonts w:hint="eastAsia" w:ascii="仿宋" w:hAnsi="仿宋" w:eastAsia="仿宋" w:cs="仿宋"/>
          <w:snapToGrid/>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6"/>
      <w:r>
        <w:rPr>
          <w:rFonts w:hint="eastAsia" w:ascii="仿宋" w:hAnsi="仿宋" w:eastAsia="仿宋" w:cs="仿宋"/>
          <w:snapToGrid/>
          <w:color w:val="auto"/>
          <w:kern w:val="0"/>
          <w:sz w:val="24"/>
          <w:szCs w:val="20"/>
          <w:highlight w:val="none"/>
        </w:rPr>
        <w:t>。</w:t>
      </w:r>
    </w:p>
    <w:p>
      <w:pPr>
        <w:shd w:val="clear"/>
        <w:adjustRightInd/>
        <w:spacing w:line="440" w:lineRule="exact"/>
        <w:ind w:left="-200" w:leftChars="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11.保密义务</w:t>
      </w:r>
    </w:p>
    <w:p>
      <w:pPr>
        <w:shd w:val="clear"/>
        <w:adjustRightInd/>
        <w:spacing w:line="440" w:lineRule="exact"/>
        <w:ind w:left="-200" w:leftChars="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11.1 </w:t>
      </w:r>
      <w:r>
        <w:rPr>
          <w:rFonts w:hint="eastAsia" w:ascii="仿宋" w:hAnsi="仿宋" w:eastAsia="仿宋" w:cs="仿宋"/>
          <w:snapToGrid/>
          <w:color w:val="auto"/>
          <w:kern w:val="0"/>
          <w:sz w:val="24"/>
          <w:szCs w:val="20"/>
          <w:highlight w:val="none"/>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采购合同专用条款】中约定。</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12.合同价款支付</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12.1 </w:t>
      </w:r>
      <w:r>
        <w:rPr>
          <w:rFonts w:hint="eastAsia" w:ascii="仿宋" w:hAnsi="仿宋" w:eastAsia="仿宋" w:cs="仿宋"/>
          <w:snapToGrid/>
          <w:color w:val="auto"/>
          <w:kern w:val="0"/>
          <w:sz w:val="24"/>
          <w:szCs w:val="20"/>
          <w:highlight w:val="none"/>
        </w:rPr>
        <w:t>合同价款支付按照国库集中支付制度及财政管理相关规定执行。</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12.2 </w:t>
      </w:r>
      <w:r>
        <w:rPr>
          <w:rFonts w:hint="eastAsia" w:ascii="仿宋" w:hAnsi="仿宋" w:eastAsia="仿宋" w:cs="仿宋"/>
          <w:snapToGrid/>
          <w:color w:val="auto"/>
          <w:kern w:val="0"/>
          <w:sz w:val="24"/>
          <w:szCs w:val="20"/>
          <w:highlight w:val="none"/>
        </w:rPr>
        <w:t>对于满足合同约定支付条件的，甲方原则上应当自收到发票后</w:t>
      </w:r>
      <w:r>
        <w:rPr>
          <w:rFonts w:ascii="仿宋" w:hAnsi="仿宋" w:eastAsia="仿宋" w:cs="仿宋"/>
          <w:snapToGrid/>
          <w:color w:val="auto"/>
          <w:kern w:val="0"/>
          <w:sz w:val="24"/>
          <w:szCs w:val="20"/>
          <w:highlight w:val="none"/>
        </w:rPr>
        <w:t>7</w:t>
      </w:r>
      <w:r>
        <w:rPr>
          <w:rFonts w:hint="eastAsia" w:ascii="仿宋" w:hAnsi="仿宋" w:eastAsia="仿宋" w:cs="仿宋"/>
          <w:snapToGrid/>
          <w:color w:val="auto"/>
          <w:kern w:val="0"/>
          <w:sz w:val="24"/>
          <w:szCs w:val="20"/>
          <w:highlight w:val="none"/>
        </w:rPr>
        <w:t>个工作日内将资金支付到合同约定的乙方账户，不得以机构变动、人员更替、政策调整等为由迟延付款，不得将采购文件和合同中未规定的义务作为向乙方付款的条件。具体合同价款支付时间在【采购合同专用条款】中约定。</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13.履约保证金</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13.1 </w:t>
      </w:r>
      <w:r>
        <w:rPr>
          <w:rFonts w:hint="eastAsia" w:ascii="仿宋" w:hAnsi="仿宋" w:eastAsia="仿宋" w:cs="仿宋"/>
          <w:snapToGrid/>
          <w:color w:val="auto"/>
          <w:kern w:val="0"/>
          <w:sz w:val="24"/>
          <w:szCs w:val="20"/>
          <w:highlight w:val="none"/>
        </w:rPr>
        <w:t>乙方应当以支票、汇票、本票或者金融机构、担保机构出具的保函等非现金形式提交。</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13.2 </w:t>
      </w:r>
      <w:r>
        <w:rPr>
          <w:rFonts w:hint="eastAsia" w:ascii="仿宋" w:hAnsi="仿宋" w:eastAsia="仿宋" w:cs="仿宋"/>
          <w:snapToGrid/>
          <w:color w:val="auto"/>
          <w:kern w:val="0"/>
          <w:sz w:val="24"/>
          <w:szCs w:val="20"/>
          <w:highlight w:val="none"/>
        </w:rPr>
        <w:t>如果乙方出现【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13.3 </w:t>
      </w:r>
      <w:r>
        <w:rPr>
          <w:rFonts w:hint="eastAsia" w:ascii="仿宋" w:hAnsi="仿宋" w:eastAsia="仿宋" w:cs="仿宋"/>
          <w:snapToGrid/>
          <w:color w:val="auto"/>
          <w:kern w:val="0"/>
          <w:sz w:val="24"/>
          <w:szCs w:val="20"/>
          <w:highlight w:val="none"/>
        </w:rPr>
        <w:t>甲方在项目通过验收后按照【采购合同专用条款】规定的时间内将履约保证金退还乙方；逾期退还的，乙方可要求甲方支付违约金，违约金按照【采购合同专用条款】规定支付。</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14.售后服务</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14.1 </w:t>
      </w:r>
      <w:r>
        <w:rPr>
          <w:rFonts w:hint="eastAsia" w:ascii="仿宋" w:hAnsi="仿宋" w:eastAsia="仿宋" w:cs="仿宋"/>
          <w:snapToGrid/>
          <w:color w:val="auto"/>
          <w:kern w:val="0"/>
          <w:sz w:val="24"/>
          <w:szCs w:val="20"/>
          <w:highlight w:val="none"/>
        </w:rPr>
        <w:t>除项目不涉及或采购活动中明确约定无须承担外，乙方还应提供下列服务：</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1）货物的现场移动、安装、调试、启动监督及技术支持；</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2）提供货物组装和维修所需的专用工具和辅助材料；</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3）在【采购合同专用条款】约定的期限内对所有的货物实施运行监督、维修，但前提条件是该服务并不能免除乙方在质量保证期内所承担的义务；</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4）在制造商所在地或指定现场就货物的安装、启动、运营、维护、废弃处置等对甲方操作人员进行培训；</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5）依照法律、行政法规的规定或者按照【采购合同专用条款】约定，货物在有效使用年限届满后应予回收的，乙方负有自行或者委托第三人对货物予以回收的义务；</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6）【采购合同专用条款】规定由乙方提供的其他服务。</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14.2 </w:t>
      </w:r>
      <w:r>
        <w:rPr>
          <w:rFonts w:hint="eastAsia" w:ascii="仿宋" w:hAnsi="仿宋" w:eastAsia="仿宋" w:cs="仿宋"/>
          <w:snapToGrid/>
          <w:color w:val="auto"/>
          <w:kern w:val="0"/>
          <w:sz w:val="24"/>
          <w:szCs w:val="20"/>
          <w:highlight w:val="none"/>
        </w:rPr>
        <w:t>乙方提供的售后服务的费用已包含在合同价款中，甲方不再另行支付。</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15.违约责任</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15.1质量瑕疵的违约责任</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乙方提供的产品不符合合同约定的质量标准或存在产品质量缺陷，甲方有权要求乙方根据【采购合同专用条款】要求及时修理、重作、更换，并承担由此给甲方造成的损失。</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15.2 </w:t>
      </w:r>
      <w:r>
        <w:rPr>
          <w:rFonts w:hint="eastAsia" w:ascii="仿宋" w:hAnsi="仿宋" w:eastAsia="仿宋" w:cs="仿宋"/>
          <w:snapToGrid/>
          <w:color w:val="auto"/>
          <w:kern w:val="0"/>
          <w:sz w:val="24"/>
          <w:szCs w:val="20"/>
          <w:highlight w:val="none"/>
        </w:rPr>
        <w:t>迟延交货的违约责任</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w:t>
      </w:r>
      <w:r>
        <w:rPr>
          <w:rFonts w:hint="eastAsia" w:ascii="仿宋" w:hAnsi="仿宋" w:eastAsia="仿宋" w:cs="仿宋"/>
          <w:snapToGrid/>
          <w:color w:val="auto"/>
          <w:kern w:val="0"/>
          <w:sz w:val="24"/>
          <w:szCs w:val="20"/>
          <w:highlight w:val="none"/>
        </w:rPr>
        <w:t>能迟延的期限和理由通知甲方。甲方在收到乙方通知后，应尽快对情况进行评价，并确定是否同意延长交货时间或延期提供服务。</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如果乙方没有按照合同规定的时间交货和提供相关服务，甲方有权从货款中扣除误期赔偿费而不影响合同项下的其他补救方法，赔偿费按【采购合同专用条款】规定执行。如果涉及公共利益，且赔偿金额无法弥补公共利益损失，甲方可要求继续履行或者采取其他补救措施。</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15.3 </w:t>
      </w:r>
      <w:r>
        <w:rPr>
          <w:rFonts w:hint="eastAsia" w:ascii="仿宋" w:hAnsi="仿宋" w:eastAsia="仿宋" w:cs="仿宋"/>
          <w:snapToGrid/>
          <w:color w:val="auto"/>
          <w:kern w:val="0"/>
          <w:sz w:val="24"/>
          <w:szCs w:val="20"/>
          <w:highlight w:val="none"/>
        </w:rPr>
        <w:t>迟延支付的违约责任</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甲方存在迟延支付乙方合同款项的，应当承担【采购合同专用条款】规定的逾期付款利息。</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15.4其他违约责任根据项目实际需要按【采购合同专用条款】规定执行。</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16.合同变更、中止与终止</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16.1合同的变更</w:t>
      </w:r>
    </w:p>
    <w:p>
      <w:pPr>
        <w:shd w:val="clea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采购合同履行中，在不改变合同其他条款的前提下，甲方可以在合同价款</w:t>
      </w:r>
      <w:r>
        <w:rPr>
          <w:rFonts w:ascii="仿宋" w:hAnsi="仿宋" w:eastAsia="仿宋" w:cs="仿宋"/>
          <w:snapToGrid/>
          <w:color w:val="auto"/>
          <w:kern w:val="0"/>
          <w:sz w:val="24"/>
          <w:szCs w:val="20"/>
          <w:highlight w:val="none"/>
        </w:rPr>
        <w:t>10%的范围内追加与合同标的相同的货物，并就此与乙方协商一致后签订补充协议。</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16.2合同的中止</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1）合同履行过程中因供应商就采购文件、采购过程或结果提起投诉的，甲方认为有必要的，可以中止合同的履行。</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pPr>
        <w:shd w:val="clea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4）甲方不得以行政区划调整、政府换届、机构或者职能调整以及相关责任人更替为由中止合同。</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16.3合同的终止</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1）合同因有效期限届满而终止；</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w:t>
      </w:r>
      <w:r>
        <w:rPr>
          <w:rFonts w:ascii="仿宋" w:hAnsi="仿宋" w:eastAsia="仿宋" w:cs="仿宋"/>
          <w:snapToGrid/>
          <w:color w:val="auto"/>
          <w:kern w:val="0"/>
          <w:sz w:val="24"/>
          <w:szCs w:val="20"/>
          <w:highlight w:val="none"/>
        </w:rPr>
        <w:t>2）乙方未按合同约定履行，构成根本性违约的，甲方有权终止合同，并追究乙方的违约责任。</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16.4 </w:t>
      </w:r>
      <w:r>
        <w:rPr>
          <w:rFonts w:hint="eastAsia" w:ascii="仿宋" w:hAnsi="仿宋" w:eastAsia="仿宋" w:cs="仿宋"/>
          <w:snapToGrid/>
          <w:color w:val="auto"/>
          <w:kern w:val="0"/>
          <w:sz w:val="24"/>
          <w:szCs w:val="20"/>
          <w:highlight w:val="none"/>
        </w:rPr>
        <w:t>涉及国家利益、社会公共利益的情形</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采购合同继续履行将损害国家利益和社会公共利益的，双方当事人应当变更、中止或者终止合同。有过错的一方应当承担赔偿责任，双方都有过错的，各自承担相应的责任。</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17.合同分包</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17.1 </w:t>
      </w:r>
      <w:r>
        <w:rPr>
          <w:rFonts w:hint="eastAsia" w:ascii="仿宋" w:hAnsi="仿宋" w:eastAsia="仿宋" w:cs="仿宋"/>
          <w:snapToGrid/>
          <w:color w:val="auto"/>
          <w:kern w:val="0"/>
          <w:sz w:val="24"/>
          <w:szCs w:val="20"/>
          <w:highlight w:val="none"/>
        </w:rPr>
        <w:t>乙方不得将合同转包给其他供应商。涉及合同分包的，乙方应根据采购文件和投标（响应）文件规定进行合同分包。</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17.2 </w:t>
      </w:r>
      <w:r>
        <w:rPr>
          <w:rFonts w:hint="eastAsia" w:ascii="仿宋" w:hAnsi="仿宋" w:eastAsia="仿宋" w:cs="仿宋"/>
          <w:snapToGrid/>
          <w:color w:val="auto"/>
          <w:kern w:val="0"/>
          <w:sz w:val="24"/>
          <w:szCs w:val="20"/>
          <w:highlight w:val="none"/>
        </w:rPr>
        <w:t>乙方执行采购政策向中小企业依法分包的，乙方应当按采购文件和投标（响应）文件签订分包意向协议，分包意向协议属于本合同组成部分。</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18.不可抗力</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18.1 </w:t>
      </w:r>
      <w:r>
        <w:rPr>
          <w:rFonts w:hint="eastAsia" w:ascii="仿宋" w:hAnsi="仿宋" w:eastAsia="仿宋" w:cs="仿宋"/>
          <w:snapToGrid/>
          <w:color w:val="auto"/>
          <w:kern w:val="0"/>
          <w:sz w:val="24"/>
          <w:szCs w:val="20"/>
          <w:highlight w:val="none"/>
        </w:rPr>
        <w:t>不可抗力是指合同双方不能预见、不能避免且不能克服的客观情况。</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18.2 </w:t>
      </w:r>
      <w:r>
        <w:rPr>
          <w:rFonts w:hint="eastAsia" w:ascii="仿宋" w:hAnsi="仿宋" w:eastAsia="仿宋" w:cs="仿宋"/>
          <w:snapToGrid/>
          <w:color w:val="auto"/>
          <w:kern w:val="0"/>
          <w:sz w:val="24"/>
          <w:szCs w:val="20"/>
          <w:highlight w:val="none"/>
        </w:rPr>
        <w:t>任何一方对由于不可抗力造成的部分或全部不能履行合同不承担违约责任。但迟延履行后发生不可抗力的，不能免除责任。</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18.3 </w:t>
      </w:r>
      <w:r>
        <w:rPr>
          <w:rFonts w:hint="eastAsia" w:ascii="仿宋" w:hAnsi="仿宋" w:eastAsia="仿宋" w:cs="仿宋"/>
          <w:snapToGrid/>
          <w:color w:val="auto"/>
          <w:kern w:val="0"/>
          <w:sz w:val="24"/>
          <w:szCs w:val="20"/>
          <w:highlight w:val="none"/>
        </w:rPr>
        <w:t>遇有不可抗力的一方，应及时将事件情况以书面形式告知另一方，并在事件发生后及时向另一方提交合同不能履行或部分不能履行或需要延期履行的详细报告，以及证明不可抗力发生及其持续时间的证据。</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19.解决争议的方法</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19.1 </w:t>
      </w:r>
      <w:r>
        <w:rPr>
          <w:rFonts w:hint="eastAsia" w:ascii="仿宋" w:hAnsi="仿宋" w:eastAsia="仿宋" w:cs="仿宋"/>
          <w:snapToGrid/>
          <w:color w:val="auto"/>
          <w:kern w:val="0"/>
          <w:sz w:val="24"/>
          <w:szCs w:val="20"/>
          <w:highlight w:val="none"/>
        </w:rPr>
        <w:t>因本合同及合同有关事项发生的争议，由甲乙双方友好协商解决。协商不成时，可以向有关组织申请调解。合同一方或双方不愿调解或调解不成的，可以通过仲裁的方式解决争议，将争议提交绍兴仲裁委员会仲裁。</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19.2 如</w:t>
      </w:r>
      <w:r>
        <w:rPr>
          <w:rFonts w:hint="eastAsia" w:ascii="仿宋" w:hAnsi="仿宋" w:eastAsia="仿宋" w:cs="仿宋"/>
          <w:snapToGrid/>
          <w:color w:val="auto"/>
          <w:kern w:val="0"/>
          <w:sz w:val="24"/>
          <w:szCs w:val="20"/>
          <w:highlight w:val="none"/>
        </w:rPr>
        <w:t>甲乙双方有争议的事项不影响合同其他部分的履行，在争议解决期间，合同其他部分应当继续履行。</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20.采购政策</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20.1 </w:t>
      </w:r>
      <w:r>
        <w:rPr>
          <w:rFonts w:hint="eastAsia" w:ascii="仿宋" w:hAnsi="仿宋" w:eastAsia="仿宋" w:cs="仿宋"/>
          <w:snapToGrid/>
          <w:color w:val="auto"/>
          <w:kern w:val="0"/>
          <w:sz w:val="24"/>
          <w:szCs w:val="20"/>
          <w:highlight w:val="none"/>
          <w:lang w:val="en-GB"/>
        </w:rPr>
        <w:t>本合同应当按照规定执行采购政策。</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20.2 </w:t>
      </w:r>
      <w:r>
        <w:rPr>
          <w:rFonts w:hint="eastAsia" w:ascii="仿宋" w:hAnsi="仿宋" w:eastAsia="仿宋" w:cs="仿宋"/>
          <w:snapToGrid/>
          <w:color w:val="auto"/>
          <w:kern w:val="0"/>
          <w:sz w:val="24"/>
          <w:szCs w:val="20"/>
          <w:highlight w:val="none"/>
        </w:rPr>
        <w:t>本合同依法执行采购政策的方式和内容，属于合同履约验收的范围。甲乙双方</w:t>
      </w:r>
      <w:r>
        <w:rPr>
          <w:rFonts w:hint="eastAsia" w:ascii="仿宋" w:hAnsi="仿宋" w:eastAsia="仿宋" w:cs="仿宋"/>
          <w:snapToGrid/>
          <w:color w:val="auto"/>
          <w:kern w:val="0"/>
          <w:sz w:val="24"/>
          <w:szCs w:val="20"/>
          <w:highlight w:val="none"/>
          <w:lang w:val="en-GB"/>
        </w:rPr>
        <w:t>未按规定要求执行采购政策造成损失的</w:t>
      </w:r>
      <w:r>
        <w:rPr>
          <w:rFonts w:hint="eastAsia" w:ascii="仿宋" w:hAnsi="仿宋" w:eastAsia="仿宋" w:cs="仿宋"/>
          <w:snapToGrid/>
          <w:color w:val="auto"/>
          <w:kern w:val="0"/>
          <w:sz w:val="24"/>
          <w:szCs w:val="20"/>
          <w:highlight w:val="none"/>
        </w:rPr>
        <w:t>，有过错的一方应当承担赔偿责任，双方都有过错的，各自承担相应的责任。</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20.3 </w:t>
      </w:r>
      <w:r>
        <w:rPr>
          <w:rFonts w:hint="eastAsia" w:ascii="仿宋" w:hAnsi="仿宋" w:eastAsia="仿宋" w:cs="仿宋"/>
          <w:snapToGrid/>
          <w:color w:val="auto"/>
          <w:kern w:val="0"/>
          <w:sz w:val="24"/>
          <w:szCs w:val="20"/>
          <w:highlight w:val="none"/>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21.法律适用</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21.1 </w:t>
      </w:r>
      <w:r>
        <w:rPr>
          <w:rFonts w:hint="eastAsia" w:ascii="仿宋" w:hAnsi="仿宋" w:eastAsia="仿宋" w:cs="仿宋"/>
          <w:snapToGrid/>
          <w:color w:val="auto"/>
          <w:kern w:val="0"/>
          <w:sz w:val="24"/>
          <w:szCs w:val="20"/>
          <w:highlight w:val="none"/>
        </w:rPr>
        <w:t>本合同的订立、生效、解释、履行及与本合同有关的争议解决，均适用法律、行政法规。</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21.2 </w:t>
      </w:r>
      <w:r>
        <w:rPr>
          <w:rFonts w:hint="eastAsia" w:ascii="仿宋" w:hAnsi="仿宋" w:eastAsia="仿宋" w:cs="仿宋"/>
          <w:snapToGrid/>
          <w:color w:val="auto"/>
          <w:kern w:val="0"/>
          <w:sz w:val="24"/>
          <w:szCs w:val="20"/>
          <w:highlight w:val="none"/>
        </w:rPr>
        <w:t>本合同条款与法律、行政法规的强制性规定不一致的，双方当事人应按照法律、行政法规的强制性规定修改本合同的相关条款。</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22.通知</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22.1本合同任何一方向对方发出的通知、信件、数据电文等，应当发送至本合同第一部分《采购合同协议书》所约定的通讯地址、联系人、联系电话或电子邮箱。</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22.2一方当事人变更名称、住所、联系人、联系电话或电子邮箱等信息的，应当在变更后3日内及时书面通知对方，对方实际收到变更通知前的送达仍为有效送达。</w:t>
      </w:r>
    </w:p>
    <w:p>
      <w:pPr>
        <w:shd w:val="clea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22.3本合同一方给另一方的通知均应采用书面形式，传真或快递送到本合同中规定的对方的地址和办理签收手续。</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22.4通知以送达之日或通知书中规定的生效之日起生效，两者中以较迟之日为准。</w:t>
      </w:r>
    </w:p>
    <w:p>
      <w:pPr>
        <w:shd w:val="clea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snapToGrid/>
          <w:color w:val="auto"/>
          <w:kern w:val="0"/>
          <w:sz w:val="24"/>
          <w:szCs w:val="20"/>
          <w:highlight w:val="none"/>
        </w:rPr>
        <w:t>23.合同未尽事项</w:t>
      </w:r>
    </w:p>
    <w:p>
      <w:pPr>
        <w:shd w:val="clea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23.1合同未尽事项见【采购合同专用条款】。</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t xml:space="preserve">  23.2 合同附件与合同正文具有同等的法律效力。</w:t>
      </w:r>
      <w:bookmarkStart w:id="57" w:name="_Toc20313"/>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snapToGrid/>
          <w:color w:val="auto"/>
          <w:kern w:val="0"/>
          <w:sz w:val="24"/>
          <w:szCs w:val="20"/>
          <w:highlight w:val="none"/>
        </w:rPr>
        <w:br w:type="page"/>
      </w:r>
    </w:p>
    <w:p>
      <w:pPr>
        <w:shd w:val="clea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snapToGrid/>
          <w:color w:val="auto"/>
          <w:kern w:val="0"/>
          <w:sz w:val="24"/>
          <w:szCs w:val="20"/>
          <w:highlight w:val="none"/>
        </w:rPr>
        <w:t>第三节</w:t>
      </w:r>
      <w:r>
        <w:rPr>
          <w:rFonts w:ascii="仿宋" w:hAnsi="仿宋" w:eastAsia="仿宋" w:cs="仿宋"/>
          <w:b/>
          <w:bCs/>
          <w:snapToGrid/>
          <w:color w:val="auto"/>
          <w:kern w:val="0"/>
          <w:sz w:val="24"/>
          <w:szCs w:val="20"/>
          <w:highlight w:val="none"/>
        </w:rPr>
        <w:t xml:space="preserve"> </w:t>
      </w:r>
      <w:r>
        <w:rPr>
          <w:rFonts w:hint="eastAsia" w:ascii="仿宋" w:hAnsi="仿宋" w:eastAsia="仿宋" w:cs="仿宋"/>
          <w:b/>
          <w:bCs/>
          <w:snapToGrid/>
          <w:color w:val="auto"/>
          <w:kern w:val="0"/>
          <w:sz w:val="24"/>
          <w:szCs w:val="20"/>
          <w:highlight w:val="none"/>
        </w:rPr>
        <w:t>采购合同专用条款</w:t>
      </w:r>
      <w:bookmarkEnd w:id="57"/>
    </w:p>
    <w:tbl>
      <w:tblPr>
        <w:tblStyle w:val="7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keepNext w:val="0"/>
              <w:keepLines w:val="0"/>
              <w:shd w:val="clear"/>
              <w:adjustRightInd/>
              <w:spacing w:before="0" w:after="0" w:line="440" w:lineRule="exact"/>
              <w:ind w:left="0" w:leftChars="0" w:right="-420" w:rightChars="-200" w:firstLine="0" w:firstLineChars="0"/>
              <w:jc w:val="both"/>
              <w:outlineLvl w:val="9"/>
              <w:rPr>
                <w:rFonts w:ascii="仿宋" w:hAnsi="仿宋" w:eastAsia="仿宋" w:cs="仿宋"/>
                <w:bCs/>
                <w:color w:val="auto"/>
                <w:spacing w:val="14"/>
                <w:kern w:val="0"/>
                <w:sz w:val="24"/>
                <w:szCs w:val="20"/>
                <w:highlight w:val="none"/>
              </w:rPr>
            </w:pPr>
            <w:r>
              <w:rPr>
                <w:rFonts w:hint="eastAsia" w:ascii="仿宋" w:hAnsi="仿宋" w:eastAsia="仿宋" w:cs="仿宋"/>
                <w:snapToGrid/>
                <w:color w:val="auto"/>
                <w:kern w:val="0"/>
                <w:sz w:val="24"/>
                <w:szCs w:val="20"/>
                <w:highlight w:val="none"/>
              </w:rPr>
              <w:t>第二节</w:t>
            </w:r>
          </w:p>
          <w:p>
            <w:pPr>
              <w:keepNext w:val="0"/>
              <w:keepLines w:val="0"/>
              <w:shd w:val="clear"/>
              <w:adjustRightInd/>
              <w:spacing w:before="0" w:after="0" w:line="440" w:lineRule="exact"/>
              <w:ind w:left="0" w:leftChars="0" w:right="-420" w:rightChars="-200" w:firstLine="0" w:firstLineChars="0"/>
              <w:jc w:val="both"/>
              <w:outlineLvl w:val="9"/>
              <w:rPr>
                <w:rFonts w:ascii="仿宋" w:hAnsi="仿宋" w:eastAsia="仿宋" w:cs="仿宋"/>
                <w:bCs/>
                <w:color w:val="auto"/>
                <w:spacing w:val="14"/>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1.2（6）项</w:t>
            </w:r>
          </w:p>
        </w:tc>
        <w:tc>
          <w:tcPr>
            <w:tcW w:w="1857" w:type="dxa"/>
            <w:vAlign w:val="center"/>
          </w:tcPr>
          <w:p>
            <w:pPr>
              <w:keepNext w:val="0"/>
              <w:keepLines w:val="0"/>
              <w:shd w:val="clear"/>
              <w:adjustRightInd/>
              <w:spacing w:before="0" w:after="0" w:line="440" w:lineRule="exact"/>
              <w:ind w:left="0" w:leftChars="0" w:right="-420" w:rightChars="-200" w:firstLine="0" w:firstLineChars="0"/>
              <w:jc w:val="both"/>
              <w:outlineLvl w:val="9"/>
              <w:rPr>
                <w:rFonts w:ascii="仿宋" w:hAnsi="仿宋" w:eastAsia="仿宋" w:cs="仿宋"/>
                <w:bCs/>
                <w:color w:val="auto"/>
                <w:spacing w:val="14"/>
                <w:kern w:val="0"/>
                <w:sz w:val="24"/>
                <w:szCs w:val="20"/>
                <w:highlight w:val="none"/>
              </w:rPr>
            </w:pPr>
            <w:r>
              <w:rPr>
                <w:rFonts w:hint="eastAsia" w:ascii="仿宋" w:hAnsi="仿宋" w:eastAsia="仿宋" w:cs="仿宋"/>
                <w:snapToGrid/>
                <w:color w:val="auto"/>
                <w:kern w:val="0"/>
                <w:sz w:val="24"/>
                <w:szCs w:val="20"/>
                <w:highlight w:val="none"/>
              </w:rPr>
              <w:t>联合体具体要求</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04"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1.2（7）项</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其他术语解释</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4.4款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履约验收中甲方</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提出异议或作</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出说明的期限</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4.6款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约定甲方承担的</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其他义务和责任</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5.4款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约定乙方承担的</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其他义务和责任</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6.1款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履行合同义务</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的顺序</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trPr>
        <w:tc>
          <w:tcPr>
            <w:tcW w:w="1787" w:type="dxa"/>
            <w:vMerge w:val="restart"/>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7.1款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包装特殊要求</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trPr>
        <w:tc>
          <w:tcPr>
            <w:tcW w:w="1787" w:type="dxa"/>
            <w:vMerge w:val="continue"/>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指定现场</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72"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7.2款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运输特殊要求</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7.3款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保险要求</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8.2（1）项</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质量保证期</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before="0" w:after="0" w:line="440" w:lineRule="exact"/>
              <w:ind w:left="0" w:leftChars="0" w:right="-420" w:rightChars="-200" w:firstLine="0" w:firstLineChars="0"/>
              <w:contextualSpacing w:val="0"/>
              <w:rPr>
                <w:rFonts w:ascii="仿宋" w:hAnsi="仿宋" w:eastAsia="仿宋" w:cs="仿宋"/>
                <w:color w:val="auto"/>
                <w:kern w:val="0"/>
                <w:sz w:val="24"/>
                <w:szCs w:val="20"/>
                <w:highlight w:val="none"/>
                <w:lang w:val="zh-CN"/>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8.2（3）项</w:t>
            </w:r>
          </w:p>
        </w:tc>
        <w:tc>
          <w:tcPr>
            <w:tcW w:w="1857" w:type="dxa"/>
            <w:vAlign w:val="center"/>
          </w:tcPr>
          <w:p>
            <w:pPr>
              <w:shd w:val="clear"/>
              <w:adjustRightInd/>
              <w:spacing w:before="0" w:after="0" w:line="440" w:lineRule="exact"/>
              <w:ind w:left="0" w:leftChars="0" w:right="-420" w:rightChars="-200" w:firstLine="0" w:firstLineChars="0"/>
              <w:contextualSpacing w:val="0"/>
              <w:rPr>
                <w:rFonts w:ascii="仿宋" w:hAnsi="仿宋" w:eastAsia="仿宋" w:cs="仿宋"/>
                <w:color w:val="auto"/>
                <w:kern w:val="0"/>
                <w:sz w:val="24"/>
                <w:szCs w:val="20"/>
                <w:highlight w:val="none"/>
                <w:lang w:val="zh-CN"/>
              </w:rPr>
            </w:pPr>
            <w:r>
              <w:rPr>
                <w:rFonts w:hint="eastAsia" w:ascii="仿宋" w:hAnsi="仿宋" w:eastAsia="仿宋" w:cs="仿宋"/>
                <w:snapToGrid/>
                <w:color w:val="auto"/>
                <w:kern w:val="0"/>
                <w:sz w:val="24"/>
                <w:szCs w:val="20"/>
                <w:highlight w:val="none"/>
              </w:rPr>
              <w:t>货物质量缺陷</w:t>
            </w:r>
          </w:p>
          <w:p>
            <w:pPr>
              <w:shd w:val="clear"/>
              <w:adjustRightInd/>
              <w:spacing w:before="0" w:after="0" w:line="440" w:lineRule="exact"/>
              <w:ind w:left="0" w:leftChars="0" w:right="-420" w:rightChars="-200" w:firstLine="0" w:firstLineChars="0"/>
              <w:contextualSpacing w:val="0"/>
              <w:rPr>
                <w:rFonts w:ascii="仿宋" w:hAnsi="仿宋" w:eastAsia="仿宋" w:cs="仿宋"/>
                <w:color w:val="auto"/>
                <w:kern w:val="0"/>
                <w:sz w:val="24"/>
                <w:szCs w:val="20"/>
                <w:highlight w:val="none"/>
                <w:lang w:val="zh-CN"/>
              </w:rPr>
            </w:pPr>
            <w:r>
              <w:rPr>
                <w:rFonts w:hint="eastAsia" w:ascii="仿宋" w:hAnsi="仿宋" w:eastAsia="仿宋" w:cs="仿宋"/>
                <w:snapToGrid/>
                <w:color w:val="auto"/>
                <w:kern w:val="0"/>
                <w:sz w:val="24"/>
                <w:szCs w:val="20"/>
                <w:highlight w:val="none"/>
              </w:rPr>
              <w:t>响应时间</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11.1款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其他应当保密</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的信息</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12.2款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合同价款支付</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时间</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13.2款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履约保证金</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不予退还的情形</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13.3款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履约保证金退还</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时间及逾期退还</w:t>
            </w:r>
          </w:p>
          <w:p>
            <w:pPr>
              <w:shd w:val="clear"/>
              <w:adjustRightInd/>
              <w:spacing w:line="440" w:lineRule="exact"/>
              <w:ind w:left="0" w:leftChars="0" w:right="-420" w:rightChars="-200" w:firstLine="0" w:firstLineChars="0"/>
              <w:rPr>
                <w:rFonts w:ascii="仿宋" w:hAnsi="仿宋" w:cs="仿宋"/>
                <w:color w:val="auto"/>
                <w:kern w:val="0"/>
                <w:sz w:val="24"/>
                <w:szCs w:val="20"/>
                <w:highlight w:val="none"/>
              </w:rPr>
            </w:pPr>
            <w:r>
              <w:rPr>
                <w:rFonts w:hint="eastAsia" w:ascii="仿宋" w:hAnsi="仿宋" w:eastAsia="仿宋" w:cs="仿宋"/>
                <w:snapToGrid/>
                <w:color w:val="auto"/>
                <w:kern w:val="0"/>
                <w:sz w:val="24"/>
                <w:szCs w:val="20"/>
                <w:highlight w:val="none"/>
              </w:rPr>
              <w:t>的违约金</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4"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14.1（3）项</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运行监督、</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维修期限</w:t>
            </w:r>
          </w:p>
        </w:tc>
        <w:tc>
          <w:tcPr>
            <w:tcW w:w="4875"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4"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14.1（5）项</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货物回收的约定</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14.1（6）项</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乙方提供的其他</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服务</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15.1款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修理、重作、更</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换相关具体规定</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15.2（2）项</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迟延交货赔偿费</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15.3款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逾期付款利息</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15.4款</w:t>
            </w:r>
          </w:p>
        </w:tc>
        <w:tc>
          <w:tcPr>
            <w:tcW w:w="1857" w:type="dxa"/>
            <w:tcBorders>
              <w:left w:val="single" w:color="auto" w:sz="2" w:space="0"/>
              <w:bottom w:val="single" w:color="auto" w:sz="2" w:space="0"/>
              <w:right w:val="single" w:color="auto" w:sz="2" w:space="0"/>
            </w:tcBorders>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其他违约责任</w:t>
            </w:r>
          </w:p>
        </w:tc>
        <w:tc>
          <w:tcPr>
            <w:tcW w:w="4875" w:type="dxa"/>
            <w:tcBorders>
              <w:left w:val="single" w:color="auto" w:sz="2" w:space="0"/>
              <w:bottom w:val="single" w:color="auto" w:sz="2" w:space="0"/>
            </w:tcBorders>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19.1</w:t>
            </w:r>
            <w:r>
              <w:rPr>
                <w:rFonts w:hint="eastAsia" w:ascii="仿宋" w:hAnsi="仿宋" w:eastAsia="仿宋" w:cs="仿宋"/>
                <w:snapToGrid/>
                <w:color w:val="auto"/>
                <w:kern w:val="0"/>
                <w:sz w:val="24"/>
                <w:szCs w:val="20"/>
                <w:highlight w:val="none"/>
              </w:rPr>
              <w:t>款</w:t>
            </w:r>
          </w:p>
        </w:tc>
        <w:tc>
          <w:tcPr>
            <w:tcW w:w="1857" w:type="dxa"/>
            <w:tcBorders>
              <w:top w:val="single" w:color="auto" w:sz="2" w:space="0"/>
              <w:left w:val="single" w:color="auto" w:sz="2" w:space="0"/>
              <w:right w:val="single" w:color="auto" w:sz="2" w:space="0"/>
            </w:tcBorders>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解决争议的方法</w:t>
            </w:r>
          </w:p>
        </w:tc>
        <w:tc>
          <w:tcPr>
            <w:tcW w:w="4875" w:type="dxa"/>
            <w:tcBorders>
              <w:top w:val="single" w:color="auto" w:sz="2" w:space="0"/>
              <w:left w:val="single" w:color="auto" w:sz="2" w:space="0"/>
            </w:tcBorders>
            <w:vAlign w:val="center"/>
          </w:tcPr>
          <w:p>
            <w:pPr>
              <w:shd w:val="clear"/>
              <w:spacing w:line="440" w:lineRule="exact"/>
              <w:ind w:left="0" w:leftChars="0" w:right="-420" w:rightChars="-200" w:firstLine="0" w:firstLineChars="0"/>
              <w:rPr>
                <w:rFonts w:ascii="仿宋" w:hAnsi="仿宋" w:eastAsia="仿宋" w:cs="仿宋"/>
                <w:color w:val="auto"/>
                <w:sz w:val="24"/>
                <w:highlight w:val="none"/>
              </w:rPr>
            </w:pPr>
            <w:r>
              <w:rPr>
                <w:rFonts w:hint="eastAsia" w:ascii="仿宋" w:hAnsi="仿宋" w:eastAsia="仿宋" w:cs="仿宋"/>
                <w:snapToGrid/>
                <w:color w:val="auto"/>
                <w:kern w:val="2"/>
                <w:sz w:val="24"/>
                <w:szCs w:val="24"/>
                <w:highlight w:val="none"/>
              </w:rPr>
              <w:t>双方当事人均可通过和解或者调解解决；不</w:t>
            </w:r>
          </w:p>
          <w:p>
            <w:pPr>
              <w:shd w:val="clear"/>
              <w:spacing w:line="440" w:lineRule="exact"/>
              <w:ind w:left="0" w:leftChars="0" w:right="-420" w:rightChars="-200" w:firstLine="0" w:firstLineChars="0"/>
              <w:rPr>
                <w:rFonts w:ascii="仿宋" w:hAnsi="仿宋" w:eastAsia="仿宋" w:cs="仿宋"/>
                <w:color w:val="auto"/>
                <w:sz w:val="24"/>
                <w:highlight w:val="none"/>
              </w:rPr>
            </w:pPr>
            <w:r>
              <w:rPr>
                <w:rFonts w:hint="eastAsia" w:ascii="仿宋" w:hAnsi="仿宋" w:eastAsia="仿宋" w:cs="仿宋"/>
                <w:snapToGrid/>
                <w:color w:val="auto"/>
                <w:kern w:val="2"/>
                <w:sz w:val="24"/>
                <w:szCs w:val="24"/>
                <w:highlight w:val="none"/>
              </w:rPr>
              <w:t>愿和解、调解或者和解、调解不成的，将争</w:t>
            </w:r>
          </w:p>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snapToGrid/>
                <w:color w:val="auto"/>
                <w:kern w:val="2"/>
                <w:sz w:val="24"/>
                <w:szCs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70" w:hRule="atLeast"/>
        </w:trPr>
        <w:tc>
          <w:tcPr>
            <w:tcW w:w="178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第二节</w:t>
            </w:r>
          </w:p>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第</w:t>
            </w:r>
            <w:r>
              <w:rPr>
                <w:rFonts w:ascii="仿宋" w:hAnsi="仿宋" w:eastAsia="仿宋" w:cs="仿宋"/>
                <w:snapToGrid/>
                <w:color w:val="auto"/>
                <w:kern w:val="0"/>
                <w:sz w:val="24"/>
                <w:szCs w:val="20"/>
                <w:highlight w:val="none"/>
              </w:rPr>
              <w:t>23.1款</w:t>
            </w:r>
          </w:p>
        </w:tc>
        <w:tc>
          <w:tcPr>
            <w:tcW w:w="1857" w:type="dxa"/>
            <w:vAlign w:val="center"/>
          </w:tcPr>
          <w:p>
            <w:pPr>
              <w:shd w:val="clear"/>
              <w:adjustRightInd/>
              <w:spacing w:line="440" w:lineRule="exact"/>
              <w:ind w:left="0" w:leftChars="0" w:right="-420" w:rightChars="-200" w:firstLine="0" w:firstLineChars="0"/>
              <w:rPr>
                <w:rFonts w:ascii="仿宋" w:hAnsi="仿宋" w:eastAsia="仿宋" w:cs="仿宋"/>
                <w:color w:val="auto"/>
                <w:kern w:val="0"/>
                <w:sz w:val="24"/>
                <w:szCs w:val="20"/>
                <w:highlight w:val="none"/>
              </w:rPr>
            </w:pPr>
            <w:r>
              <w:rPr>
                <w:rFonts w:hint="eastAsia" w:ascii="仿宋" w:hAnsi="仿宋" w:eastAsia="仿宋" w:cs="仿宋"/>
                <w:snapToGrid/>
                <w:color w:val="auto"/>
                <w:kern w:val="0"/>
                <w:sz w:val="24"/>
                <w:szCs w:val="20"/>
                <w:highlight w:val="none"/>
              </w:rPr>
              <w:t>其他专用条款</w:t>
            </w:r>
          </w:p>
        </w:tc>
        <w:tc>
          <w:tcPr>
            <w:tcW w:w="4875" w:type="dxa"/>
            <w:vAlign w:val="center"/>
          </w:tcPr>
          <w:p>
            <w:pPr>
              <w:shd w:val="clea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pPr>
        <w:shd w:val="clear"/>
        <w:spacing w:line="440" w:lineRule="exact"/>
        <w:contextualSpacing/>
        <w:rPr>
          <w:rFonts w:ascii="仿宋" w:hAnsi="仿宋" w:eastAsia="仿宋" w:cs="仿宋"/>
          <w:color w:val="auto"/>
          <w:highlight w:val="none"/>
        </w:rPr>
      </w:pPr>
    </w:p>
    <w:p>
      <w:pPr>
        <w:shd w:val="clear"/>
        <w:spacing w:line="360" w:lineRule="auto"/>
        <w:jc w:val="center"/>
        <w:rPr>
          <w:rFonts w:ascii="仿宋" w:hAnsi="仿宋" w:eastAsia="仿宋" w:cs="仿宋"/>
          <w:b/>
          <w:color w:val="auto"/>
          <w:sz w:val="36"/>
          <w:szCs w:val="36"/>
          <w:highlight w:val="none"/>
        </w:rPr>
      </w:pPr>
    </w:p>
    <w:p>
      <w:pPr>
        <w:shd w:val="clea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hd w:val="clea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pPr>
        <w:shd w:val="clea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p>
      <w:pPr>
        <w:shd w:val="clear"/>
        <w:spacing w:line="440" w:lineRule="exact"/>
        <w:rPr>
          <w:rFonts w:hint="eastAsia" w:ascii="仿宋" w:hAnsi="仿宋" w:eastAsia="仿宋" w:cs="仿宋"/>
          <w:b/>
          <w:bCs/>
          <w:iCs/>
          <w:color w:val="auto"/>
          <w:sz w:val="24"/>
          <w:highlight w:val="none"/>
          <w:bdr w:val="single" w:color="000000" w:sz="4" w:space="0"/>
          <w:lang w:val="en-US" w:eastAsia="zh-CN" w:bidi="ar-SA"/>
        </w:rPr>
      </w:pPr>
      <w:r>
        <w:rPr>
          <w:rFonts w:hint="eastAsia" w:ascii="仿宋" w:hAnsi="仿宋" w:eastAsia="仿宋" w:cs="仿宋"/>
          <w:b/>
          <w:bCs/>
          <w:iCs/>
          <w:color w:val="auto"/>
          <w:sz w:val="24"/>
          <w:highlight w:val="none"/>
          <w:bdr w:val="single" w:color="000000" w:sz="4" w:space="0"/>
          <w:lang w:eastAsia="zh-CN" w:bidi="ar-SA"/>
        </w:rPr>
        <w:t>标项一、二</w:t>
      </w:r>
    </w:p>
    <w:tbl>
      <w:tblPr>
        <w:tblStyle w:val="72"/>
        <w:tblW w:w="9637" w:type="dxa"/>
        <w:tblInd w:w="-329" w:type="dxa"/>
        <w:tblLayout w:type="fixed"/>
        <w:tblCellMar>
          <w:top w:w="0" w:type="dxa"/>
          <w:left w:w="108" w:type="dxa"/>
          <w:bottom w:w="0" w:type="dxa"/>
          <w:right w:w="108" w:type="dxa"/>
        </w:tblCellMar>
      </w:tblPr>
      <w:tblGrid>
        <w:gridCol w:w="730"/>
        <w:gridCol w:w="1408"/>
        <w:gridCol w:w="6686"/>
        <w:gridCol w:w="813"/>
      </w:tblGrid>
      <w:tr>
        <w:tblPrEx>
          <w:tblLayout w:type="fixed"/>
          <w:tblCellMar>
            <w:top w:w="0" w:type="dxa"/>
            <w:left w:w="108" w:type="dxa"/>
            <w:bottom w:w="0" w:type="dxa"/>
            <w:right w:w="108" w:type="dxa"/>
          </w:tblCellMar>
        </w:tblPrEx>
        <w:trPr>
          <w:trHeight w:val="527"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val="0"/>
              <w:overflowPunct/>
              <w:topLinePunct w:val="0"/>
              <w:bidi w:val="0"/>
              <w:adjustRightInd w:val="0"/>
              <w:snapToGrid w:val="0"/>
              <w:spacing w:line="440" w:lineRule="exact"/>
              <w:textAlignment w:val="auto"/>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408" w:type="dxa"/>
            <w:tcBorders>
              <w:top w:val="single" w:color="auto" w:sz="4" w:space="0"/>
              <w:left w:val="single" w:color="auto" w:sz="4" w:space="0"/>
              <w:bottom w:val="single" w:color="auto" w:sz="4" w:space="0"/>
              <w:right w:val="single" w:color="auto" w:sz="4" w:space="0"/>
            </w:tcBorders>
            <w:vAlign w:val="center"/>
          </w:tcPr>
          <w:p>
            <w:pPr>
              <w:keepNext w:val="0"/>
              <w:keepLines w:val="0"/>
              <w:shd w:val="clear"/>
              <w:kinsoku/>
              <w:wordWrap/>
              <w:overflowPunct/>
              <w:topLinePunct w:val="0"/>
              <w:bidi w:val="0"/>
              <w:snapToGrid w:val="0"/>
              <w:spacing w:line="300" w:lineRule="exact"/>
              <w:jc w:val="center"/>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sz w:val="24"/>
                <w:szCs w:val="24"/>
                <w:highlight w:val="none"/>
              </w:rPr>
              <w:t>评分项</w:t>
            </w:r>
          </w:p>
        </w:tc>
        <w:tc>
          <w:tcPr>
            <w:tcW w:w="6686" w:type="dxa"/>
            <w:tcBorders>
              <w:top w:val="single" w:color="auto" w:sz="4" w:space="0"/>
              <w:left w:val="single" w:color="auto" w:sz="4" w:space="0"/>
              <w:bottom w:val="single" w:color="auto" w:sz="4" w:space="0"/>
              <w:right w:val="single" w:color="auto" w:sz="4" w:space="0"/>
            </w:tcBorders>
            <w:vAlign w:val="center"/>
          </w:tcPr>
          <w:p>
            <w:pPr>
              <w:keepNext w:val="0"/>
              <w:keepLines w:val="0"/>
              <w:shd w:val="clear"/>
              <w:kinsoku/>
              <w:wordWrap/>
              <w:overflowPunct/>
              <w:topLinePunct w:val="0"/>
              <w:bidi w:val="0"/>
              <w:snapToGrid w:val="0"/>
              <w:spacing w:line="300" w:lineRule="exact"/>
              <w:jc w:val="center"/>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sz w:val="24"/>
                <w:szCs w:val="24"/>
                <w:highlight w:val="none"/>
                <w:lang w:eastAsia="zh-CN"/>
              </w:rPr>
              <w:t>评审依据及标准</w:t>
            </w:r>
          </w:p>
        </w:tc>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shd w:val="clear"/>
              <w:kinsoku/>
              <w:wordWrap/>
              <w:overflowPunct/>
              <w:topLinePunct w:val="0"/>
              <w:bidi w:val="0"/>
              <w:snapToGrid w:val="0"/>
              <w:spacing w:line="300" w:lineRule="exact"/>
              <w:jc w:val="center"/>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tblPrEx>
          <w:tblLayout w:type="fixed"/>
          <w:tblCellMar>
            <w:top w:w="0" w:type="dxa"/>
            <w:left w:w="108" w:type="dxa"/>
            <w:bottom w:w="0" w:type="dxa"/>
            <w:right w:w="108" w:type="dxa"/>
          </w:tblCellMar>
        </w:tblPrEx>
        <w:trPr>
          <w:trHeight w:val="842"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14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企业管理</w:t>
            </w:r>
          </w:p>
        </w:tc>
        <w:tc>
          <w:tcPr>
            <w:tcW w:w="668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根据投标人提供的企业管理制度，包括但不限于食品质量控制管理制度、食品采购制度、食品中毒应急预案、产品召回制度、岗位职责等进行打分。</w:t>
            </w:r>
            <w:r>
              <w:rPr>
                <w:rFonts w:hint="eastAsia" w:ascii="仿宋" w:hAnsi="仿宋" w:eastAsia="仿宋" w:cs="仿宋"/>
                <w:color w:val="auto"/>
                <w:sz w:val="24"/>
                <w:szCs w:val="24"/>
                <w:highlight w:val="none"/>
                <w:lang w:val="en-US" w:eastAsia="zh-CN"/>
              </w:rPr>
              <w:t>(本项分值设置为5，4，3，2，1，0.5，0分)</w:t>
            </w:r>
            <w:r>
              <w:rPr>
                <w:rFonts w:hint="eastAsia" w:ascii="仿宋" w:hAnsi="仿宋" w:eastAsia="仿宋" w:cs="仿宋"/>
                <w:color w:val="auto"/>
                <w:kern w:val="0"/>
                <w:sz w:val="24"/>
                <w:szCs w:val="24"/>
                <w:highlight w:val="none"/>
                <w:lang w:val="en-US" w:eastAsia="zh-CN"/>
              </w:rPr>
              <w:t>（须提供相关制度材料复印件加盖投标人公章）</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tblPrEx>
          <w:tblLayout w:type="fixed"/>
          <w:tblCellMar>
            <w:top w:w="0" w:type="dxa"/>
            <w:left w:w="108" w:type="dxa"/>
            <w:bottom w:w="0" w:type="dxa"/>
            <w:right w:w="108" w:type="dxa"/>
          </w:tblCellMar>
        </w:tblPrEx>
        <w:trPr>
          <w:trHeight w:val="90"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14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企业业绩</w:t>
            </w:r>
          </w:p>
        </w:tc>
        <w:tc>
          <w:tcPr>
            <w:tcW w:w="668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投标人自2022年1月1日以来（以合同签订时间为准）完成的同类案例，每有1个得</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分，满分</w:t>
            </w:r>
            <w:r>
              <w:rPr>
                <w:rFonts w:hint="eastAsia" w:ascii="仿宋" w:hAnsi="仿宋" w:eastAsia="仿宋" w:cs="仿宋"/>
                <w:bCs/>
                <w:iCs/>
                <w:color w:val="auto"/>
                <w:sz w:val="24"/>
                <w:szCs w:val="24"/>
                <w:highlight w:val="none"/>
                <w:lang w:val="en-US" w:eastAsia="zh-CN"/>
              </w:rPr>
              <w:t>4</w:t>
            </w:r>
            <w:r>
              <w:rPr>
                <w:rFonts w:hint="eastAsia" w:ascii="仿宋" w:hAnsi="仿宋" w:eastAsia="仿宋" w:cs="仿宋"/>
                <w:bCs/>
                <w:iCs/>
                <w:color w:val="auto"/>
                <w:sz w:val="24"/>
                <w:szCs w:val="24"/>
                <w:highlight w:val="none"/>
              </w:rPr>
              <w:t>分。</w:t>
            </w:r>
          </w:p>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注：1.每个案例提供合同和验收报告复印件，并加盖投标人公章。</w:t>
            </w:r>
          </w:p>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2.投标产品为省级以上主管部门认定的首台套产品，自纳入《省推广应用指导目录》起三年内参加政府采购活动，视同已具备相应销售业绩，业绩分为满分。</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tblPrEx>
          <w:tblLayout w:type="fixed"/>
          <w:tblCellMar>
            <w:top w:w="0" w:type="dxa"/>
            <w:left w:w="108" w:type="dxa"/>
            <w:bottom w:w="0" w:type="dxa"/>
            <w:right w:w="108" w:type="dxa"/>
          </w:tblCellMar>
        </w:tblPrEx>
        <w:trPr>
          <w:trHeight w:val="721"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14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hd w:val="clear"/>
              <w:kinsoku/>
              <w:wordWrap/>
              <w:overflowPunct/>
              <w:topLinePunct w:val="0"/>
              <w:bidi w:val="0"/>
              <w:snapToGrid w:val="0"/>
              <w:spacing w:line="300" w:lineRule="exact"/>
              <w:ind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体系认证</w:t>
            </w:r>
          </w:p>
        </w:tc>
        <w:tc>
          <w:tcPr>
            <w:tcW w:w="668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iCs/>
                <w:color w:val="auto"/>
                <w:sz w:val="24"/>
                <w:szCs w:val="24"/>
                <w:highlight w:val="none"/>
              </w:rPr>
              <w:t>根据投标人企业认证证书情况进行打分，提供相关证明并加盖投标人公章。(本项分值设置为</w:t>
            </w:r>
            <w:r>
              <w:rPr>
                <w:rFonts w:hint="eastAsia" w:ascii="仿宋" w:hAnsi="仿宋" w:eastAsia="仿宋" w:cs="仿宋"/>
                <w:color w:val="auto"/>
                <w:sz w:val="24"/>
                <w:szCs w:val="24"/>
                <w:highlight w:val="none"/>
                <w:lang w:val="en-US" w:eastAsia="zh-CN"/>
              </w:rPr>
              <w:t>3，2，1，0.5，0分</w:t>
            </w:r>
            <w:r>
              <w:rPr>
                <w:rFonts w:hint="eastAsia" w:ascii="仿宋" w:hAnsi="仿宋" w:eastAsia="仿宋" w:cs="仿宋"/>
                <w:bCs/>
                <w:iCs/>
                <w:color w:val="auto"/>
                <w:sz w:val="24"/>
                <w:szCs w:val="24"/>
                <w:highlight w:val="none"/>
              </w:rPr>
              <w:t>)</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r>
      <w:tr>
        <w:tblPrEx>
          <w:tblLayout w:type="fixed"/>
          <w:tblCellMar>
            <w:top w:w="0" w:type="dxa"/>
            <w:left w:w="108" w:type="dxa"/>
            <w:bottom w:w="0" w:type="dxa"/>
            <w:right w:w="108" w:type="dxa"/>
          </w:tblCellMar>
        </w:tblPrEx>
        <w:trPr>
          <w:trHeight w:val="1327"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4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专业设备</w:t>
            </w:r>
          </w:p>
        </w:tc>
        <w:tc>
          <w:tcPr>
            <w:tcW w:w="668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bCs/>
                <w:iCs/>
                <w:color w:val="auto"/>
                <w:sz w:val="24"/>
                <w:szCs w:val="24"/>
                <w:highlight w:val="none"/>
              </w:rPr>
              <w:t>投标人</w:t>
            </w:r>
            <w:r>
              <w:rPr>
                <w:rFonts w:hint="eastAsia" w:ascii="仿宋" w:hAnsi="仿宋" w:eastAsia="仿宋" w:cs="仿宋"/>
                <w:color w:val="auto"/>
                <w:sz w:val="24"/>
                <w:szCs w:val="24"/>
                <w:highlight w:val="none"/>
              </w:rPr>
              <w:t>有配备专业检测设备设施，如食品安全检测箱、食品安全快速检测仪、农药残留检测仪等，有一项得1分，最高得3分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提供</w:t>
            </w:r>
            <w:r>
              <w:rPr>
                <w:rFonts w:hint="eastAsia" w:ascii="仿宋" w:hAnsi="仿宋" w:eastAsia="仿宋" w:cs="仿宋"/>
                <w:color w:val="auto"/>
                <w:kern w:val="0"/>
                <w:sz w:val="24"/>
                <w:szCs w:val="24"/>
                <w:highlight w:val="none"/>
                <w:lang w:eastAsia="zh-CN"/>
              </w:rPr>
              <w:t>设备购买发票</w:t>
            </w:r>
            <w:r>
              <w:rPr>
                <w:rFonts w:hint="eastAsia" w:ascii="仿宋" w:hAnsi="仿宋" w:eastAsia="仿宋" w:cs="仿宋"/>
                <w:color w:val="auto"/>
                <w:kern w:val="0"/>
                <w:sz w:val="24"/>
                <w:szCs w:val="24"/>
                <w:highlight w:val="none"/>
              </w:rPr>
              <w:t>或租赁</w:t>
            </w:r>
            <w:r>
              <w:rPr>
                <w:rFonts w:hint="eastAsia" w:ascii="仿宋" w:hAnsi="仿宋" w:eastAsia="仿宋" w:cs="仿宋"/>
                <w:color w:val="auto"/>
                <w:kern w:val="0"/>
                <w:sz w:val="24"/>
                <w:szCs w:val="24"/>
                <w:highlight w:val="none"/>
                <w:lang w:eastAsia="zh-CN"/>
              </w:rPr>
              <w:t>合同</w:t>
            </w:r>
            <w:r>
              <w:rPr>
                <w:rFonts w:hint="eastAsia" w:ascii="仿宋" w:hAnsi="仿宋" w:eastAsia="仿宋" w:cs="仿宋"/>
                <w:color w:val="auto"/>
                <w:kern w:val="0"/>
                <w:sz w:val="24"/>
                <w:szCs w:val="24"/>
                <w:highlight w:val="none"/>
              </w:rPr>
              <w:t>复印件加盖投标人公章</w:t>
            </w:r>
            <w:r>
              <w:rPr>
                <w:rFonts w:hint="eastAsia" w:ascii="仿宋" w:hAnsi="仿宋" w:eastAsia="仿宋" w:cs="仿宋"/>
                <w:color w:val="auto"/>
                <w:sz w:val="24"/>
                <w:szCs w:val="24"/>
                <w:highlight w:val="none"/>
                <w:lang w:eastAsia="zh-CN"/>
              </w:rPr>
              <w:t>）</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Layout w:type="fixed"/>
          <w:tblCellMar>
            <w:top w:w="0" w:type="dxa"/>
            <w:left w:w="108" w:type="dxa"/>
            <w:bottom w:w="0" w:type="dxa"/>
            <w:right w:w="108" w:type="dxa"/>
          </w:tblCellMar>
        </w:tblPrEx>
        <w:trPr>
          <w:trHeight w:val="217" w:hRule="atLeast"/>
        </w:trPr>
        <w:tc>
          <w:tcPr>
            <w:tcW w:w="7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4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产品质量保证</w:t>
            </w:r>
          </w:p>
        </w:tc>
        <w:tc>
          <w:tcPr>
            <w:tcW w:w="668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根据投标货物的品牌、生长环境、加工、包装的质量保证及食品安全措施</w:t>
            </w:r>
            <w:bookmarkStart w:id="58" w:name="OLE_LINK8"/>
            <w:r>
              <w:rPr>
                <w:rFonts w:hint="eastAsia" w:ascii="仿宋" w:hAnsi="仿宋" w:eastAsia="仿宋" w:cs="仿宋"/>
                <w:color w:val="auto"/>
                <w:sz w:val="24"/>
                <w:szCs w:val="24"/>
                <w:highlight w:val="none"/>
                <w:lang w:val="en-US" w:eastAsia="zh-CN"/>
              </w:rPr>
              <w:t>进行</w:t>
            </w:r>
            <w:bookmarkEnd w:id="58"/>
            <w:r>
              <w:rPr>
                <w:rFonts w:hint="eastAsia" w:ascii="仿宋" w:hAnsi="仿宋" w:eastAsia="仿宋" w:cs="仿宋"/>
                <w:color w:val="auto"/>
                <w:sz w:val="24"/>
                <w:szCs w:val="24"/>
                <w:highlight w:val="none"/>
                <w:lang w:val="en-US" w:eastAsia="zh-CN"/>
              </w:rPr>
              <w:t>打分。(本项分值设置为</w:t>
            </w:r>
            <w:bookmarkStart w:id="59" w:name="OLE_LINK9"/>
            <w:bookmarkStart w:id="60" w:name="OLE_LINK10"/>
            <w:r>
              <w:rPr>
                <w:rFonts w:hint="eastAsia" w:ascii="仿宋" w:hAnsi="仿宋" w:eastAsia="仿宋" w:cs="仿宋"/>
                <w:color w:val="auto"/>
                <w:sz w:val="24"/>
                <w:szCs w:val="24"/>
                <w:highlight w:val="none"/>
                <w:lang w:val="en-US" w:eastAsia="zh-CN"/>
              </w:rPr>
              <w:t>5，4，</w:t>
            </w:r>
            <w:bookmarkEnd w:id="59"/>
            <w:r>
              <w:rPr>
                <w:rFonts w:hint="eastAsia" w:ascii="仿宋" w:hAnsi="仿宋" w:eastAsia="仿宋" w:cs="仿宋"/>
                <w:color w:val="auto"/>
                <w:sz w:val="24"/>
                <w:szCs w:val="24"/>
                <w:highlight w:val="none"/>
                <w:lang w:val="en-US" w:eastAsia="zh-CN"/>
              </w:rPr>
              <w:t>3，2，1，0.5，0分</w:t>
            </w:r>
            <w:bookmarkEnd w:id="60"/>
            <w:r>
              <w:rPr>
                <w:rFonts w:hint="eastAsia" w:ascii="仿宋" w:hAnsi="仿宋" w:eastAsia="仿宋" w:cs="仿宋"/>
                <w:color w:val="auto"/>
                <w:sz w:val="24"/>
                <w:szCs w:val="24"/>
                <w:highlight w:val="none"/>
                <w:lang w:val="en-US" w:eastAsia="zh-CN"/>
              </w:rPr>
              <w:t>)</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r>
      <w:tr>
        <w:tblPrEx>
          <w:tblLayout w:type="fixed"/>
          <w:tblCellMar>
            <w:top w:w="0" w:type="dxa"/>
            <w:left w:w="108" w:type="dxa"/>
            <w:bottom w:w="0" w:type="dxa"/>
            <w:right w:w="108" w:type="dxa"/>
          </w:tblCellMar>
        </w:tblPrEx>
        <w:trPr>
          <w:trHeight w:val="232" w:hRule="atLeast"/>
        </w:trPr>
        <w:tc>
          <w:tcPr>
            <w:tcW w:w="7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14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p>
        </w:tc>
        <w:tc>
          <w:tcPr>
            <w:tcW w:w="668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根据投标货物的保存、运输各环节的质量保证及食品安全措施进行打分。(本项分值设置为5，4，3，2，1，0.5，0分)</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r>
      <w:tr>
        <w:tblPrEx>
          <w:tblLayout w:type="fixed"/>
          <w:tblCellMar>
            <w:top w:w="0" w:type="dxa"/>
            <w:left w:w="108" w:type="dxa"/>
            <w:bottom w:w="0" w:type="dxa"/>
            <w:right w:w="108" w:type="dxa"/>
          </w:tblCellMar>
        </w:tblPrEx>
        <w:trPr>
          <w:trHeight w:val="232" w:hRule="atLeast"/>
        </w:trPr>
        <w:tc>
          <w:tcPr>
            <w:tcW w:w="730"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1408"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w:t>
            </w:r>
            <w:r>
              <w:rPr>
                <w:rFonts w:hint="eastAsia" w:ascii="仿宋" w:hAnsi="仿宋" w:eastAsia="仿宋" w:cs="仿宋"/>
                <w:color w:val="auto"/>
                <w:sz w:val="24"/>
                <w:szCs w:val="24"/>
                <w:highlight w:val="none"/>
                <w:lang w:eastAsia="zh-CN"/>
              </w:rPr>
              <w:t>方案及</w:t>
            </w:r>
            <w:r>
              <w:rPr>
                <w:rFonts w:hint="eastAsia" w:ascii="仿宋" w:hAnsi="仿宋" w:eastAsia="仿宋" w:cs="仿宋"/>
                <w:color w:val="auto"/>
                <w:sz w:val="24"/>
                <w:szCs w:val="24"/>
                <w:highlight w:val="none"/>
              </w:rPr>
              <w:t>保障</w:t>
            </w:r>
            <w:r>
              <w:rPr>
                <w:rFonts w:hint="eastAsia" w:ascii="仿宋" w:hAnsi="仿宋" w:eastAsia="仿宋" w:cs="仿宋"/>
                <w:color w:val="auto"/>
                <w:sz w:val="24"/>
                <w:szCs w:val="24"/>
                <w:highlight w:val="none"/>
                <w:lang w:eastAsia="zh-CN"/>
              </w:rPr>
              <w:t>能力</w:t>
            </w:r>
          </w:p>
        </w:tc>
        <w:tc>
          <w:tcPr>
            <w:tcW w:w="668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根据公交食堂食品配送特点，提出针对性配送方案，详述供货保证措施。对该方案的针对性、及时性及可操作性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lang w:eastAsia="zh-CN"/>
              </w:rPr>
              <w:t>打分。</w:t>
            </w:r>
            <w:r>
              <w:rPr>
                <w:rFonts w:hint="eastAsia" w:ascii="仿宋" w:hAnsi="仿宋" w:eastAsia="仿宋" w:cs="仿宋"/>
                <w:color w:val="auto"/>
                <w:sz w:val="24"/>
                <w:szCs w:val="24"/>
                <w:highlight w:val="none"/>
                <w:lang w:val="en-US" w:eastAsia="zh-CN"/>
              </w:rPr>
              <w:t>(本项分值设置为5，</w:t>
            </w:r>
            <w:bookmarkStart w:id="61" w:name="OLE_LINK6"/>
            <w:r>
              <w:rPr>
                <w:rFonts w:hint="eastAsia" w:ascii="仿宋" w:hAnsi="仿宋" w:eastAsia="仿宋" w:cs="仿宋"/>
                <w:color w:val="auto"/>
                <w:sz w:val="24"/>
                <w:szCs w:val="24"/>
                <w:highlight w:val="none"/>
                <w:lang w:val="en-US" w:eastAsia="zh-CN"/>
              </w:rPr>
              <w:t>4，</w:t>
            </w:r>
            <w:bookmarkEnd w:id="61"/>
            <w:r>
              <w:rPr>
                <w:rFonts w:hint="eastAsia" w:ascii="仿宋" w:hAnsi="仿宋" w:eastAsia="仿宋" w:cs="仿宋"/>
                <w:color w:val="auto"/>
                <w:sz w:val="24"/>
                <w:szCs w:val="24"/>
                <w:highlight w:val="none"/>
                <w:lang w:val="en-US" w:eastAsia="zh-CN"/>
              </w:rPr>
              <w:t>3，2，1，0.5，0分)</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Layout w:type="fixed"/>
          <w:tblCellMar>
            <w:top w:w="0" w:type="dxa"/>
            <w:left w:w="108" w:type="dxa"/>
            <w:bottom w:w="0" w:type="dxa"/>
            <w:right w:w="108" w:type="dxa"/>
          </w:tblCellMar>
        </w:tblPrEx>
        <w:trPr>
          <w:trHeight w:val="232" w:hRule="atLeast"/>
        </w:trPr>
        <w:tc>
          <w:tcPr>
            <w:tcW w:w="730"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1408"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p>
        </w:tc>
        <w:tc>
          <w:tcPr>
            <w:tcW w:w="668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根据公交食堂食品配送特点，提出针对性响应能力，详述供货保证措施。对该方案的针对性、及时性及可操作性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lang w:eastAsia="zh-CN"/>
              </w:rPr>
              <w:t>打分。</w:t>
            </w:r>
            <w:r>
              <w:rPr>
                <w:rFonts w:hint="eastAsia" w:ascii="仿宋" w:hAnsi="仿宋" w:eastAsia="仿宋" w:cs="仿宋"/>
                <w:color w:val="auto"/>
                <w:sz w:val="24"/>
                <w:szCs w:val="24"/>
                <w:highlight w:val="none"/>
                <w:lang w:val="en-US" w:eastAsia="zh-CN"/>
              </w:rPr>
              <w:t>(本项分值设置为5，4，3，2，1，0.5，0分)</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Layout w:type="fixed"/>
          <w:tblCellMar>
            <w:top w:w="0" w:type="dxa"/>
            <w:left w:w="108" w:type="dxa"/>
            <w:bottom w:w="0" w:type="dxa"/>
            <w:right w:w="108" w:type="dxa"/>
          </w:tblCellMar>
        </w:tblPrEx>
        <w:trPr>
          <w:trHeight w:val="1400" w:hRule="atLeast"/>
        </w:trPr>
        <w:tc>
          <w:tcPr>
            <w:tcW w:w="730"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p>
        </w:tc>
        <w:tc>
          <w:tcPr>
            <w:tcW w:w="1408"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p>
        </w:tc>
        <w:tc>
          <w:tcPr>
            <w:tcW w:w="668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根据</w:t>
            </w:r>
            <w:bookmarkStart w:id="62" w:name="OLE_LINK7"/>
            <w:r>
              <w:rPr>
                <w:rFonts w:hint="eastAsia" w:ascii="仿宋" w:hAnsi="仿宋" w:eastAsia="仿宋" w:cs="仿宋"/>
                <w:color w:val="auto"/>
                <w:sz w:val="24"/>
                <w:szCs w:val="24"/>
                <w:highlight w:val="none"/>
                <w:lang w:eastAsia="zh-CN"/>
              </w:rPr>
              <w:t>投标人提供的配送人员</w:t>
            </w:r>
            <w:bookmarkEnd w:id="62"/>
            <w:r>
              <w:rPr>
                <w:rFonts w:hint="eastAsia" w:ascii="仿宋" w:hAnsi="仿宋" w:eastAsia="仿宋" w:cs="仿宋"/>
                <w:color w:val="auto"/>
                <w:sz w:val="24"/>
                <w:szCs w:val="24"/>
                <w:highlight w:val="none"/>
                <w:lang w:eastAsia="zh-CN"/>
              </w:rPr>
              <w:t>、驾驶员的配置情况</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lang w:eastAsia="zh-CN"/>
              </w:rPr>
              <w:t>打分。</w:t>
            </w:r>
            <w:r>
              <w:rPr>
                <w:rFonts w:hint="eastAsia" w:ascii="仿宋" w:hAnsi="仿宋" w:eastAsia="仿宋" w:cs="仿宋"/>
                <w:color w:val="auto"/>
                <w:sz w:val="24"/>
                <w:szCs w:val="24"/>
                <w:highlight w:val="none"/>
                <w:lang w:val="en-US" w:eastAsia="zh-CN"/>
              </w:rPr>
              <w:t>(本项分值设置为4，3，2，1，0.5，0分)</w:t>
            </w:r>
            <w:r>
              <w:rPr>
                <w:rFonts w:hint="eastAsia" w:ascii="仿宋" w:hAnsi="仿宋" w:eastAsia="仿宋" w:cs="仿宋"/>
                <w:color w:val="auto"/>
                <w:sz w:val="24"/>
                <w:szCs w:val="24"/>
                <w:highlight w:val="none"/>
                <w:lang w:eastAsia="zh-CN"/>
              </w:rPr>
              <w:t>（以上人员需是投标人在职人员，提供</w:t>
            </w:r>
            <w:r>
              <w:rPr>
                <w:rFonts w:hint="eastAsia" w:ascii="仿宋" w:hAnsi="仿宋" w:eastAsia="仿宋" w:cs="仿宋"/>
                <w:color w:val="auto"/>
                <w:sz w:val="24"/>
                <w:szCs w:val="24"/>
                <w:highlight w:val="none"/>
                <w:lang w:val="en-US" w:eastAsia="zh-CN"/>
              </w:rPr>
              <w:t>缴</w:t>
            </w:r>
            <w:r>
              <w:rPr>
                <w:rFonts w:hint="eastAsia" w:ascii="仿宋" w:hAnsi="仿宋" w:eastAsia="仿宋" w:cs="仿宋"/>
                <w:color w:val="auto"/>
                <w:sz w:val="24"/>
                <w:szCs w:val="24"/>
                <w:highlight w:val="none"/>
                <w:lang w:eastAsia="zh-CN"/>
              </w:rPr>
              <w:t>纳社保凭证、健康证以及驾驶员的驾驶证复印件</w:t>
            </w:r>
            <w:r>
              <w:rPr>
                <w:rFonts w:hint="eastAsia" w:ascii="仿宋" w:hAnsi="仿宋" w:eastAsia="仿宋" w:cs="仿宋"/>
                <w:color w:val="auto"/>
                <w:sz w:val="24"/>
                <w:szCs w:val="24"/>
                <w:highlight w:val="none"/>
                <w:lang w:val="en-US" w:eastAsia="zh-CN"/>
              </w:rPr>
              <w:t>加盖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lang w:val="en-US" w:eastAsia="zh-CN"/>
              </w:rPr>
              <w:t>公章</w:t>
            </w:r>
            <w:r>
              <w:rPr>
                <w:rFonts w:hint="eastAsia" w:ascii="仿宋" w:hAnsi="仿宋" w:eastAsia="仿宋" w:cs="仿宋"/>
                <w:color w:val="auto"/>
                <w:sz w:val="24"/>
                <w:szCs w:val="24"/>
                <w:highlight w:val="none"/>
                <w:lang w:eastAsia="zh-CN"/>
              </w:rPr>
              <w:t>）</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tblPrEx>
          <w:tblLayout w:type="fixed"/>
          <w:tblCellMar>
            <w:top w:w="0" w:type="dxa"/>
            <w:left w:w="108" w:type="dxa"/>
            <w:bottom w:w="0" w:type="dxa"/>
            <w:right w:w="108" w:type="dxa"/>
          </w:tblCellMar>
        </w:tblPrEx>
        <w:trPr>
          <w:trHeight w:val="735" w:hRule="atLeast"/>
        </w:trPr>
        <w:tc>
          <w:tcPr>
            <w:tcW w:w="730"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tc>
        <w:tc>
          <w:tcPr>
            <w:tcW w:w="1408"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tc>
        <w:tc>
          <w:tcPr>
            <w:tcW w:w="668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投标人配备符合配送要求的专用配送运输车辆（例如：冷藏车、保温车等）每辆得1分，最高得3分。（</w:t>
            </w:r>
            <w:bookmarkStart w:id="63" w:name="OLE_LINK15"/>
            <w:r>
              <w:rPr>
                <w:rFonts w:hint="eastAsia" w:ascii="仿宋" w:hAnsi="仿宋" w:eastAsia="仿宋" w:cs="仿宋"/>
                <w:color w:val="auto"/>
                <w:kern w:val="0"/>
                <w:sz w:val="24"/>
                <w:szCs w:val="24"/>
                <w:highlight w:val="none"/>
              </w:rPr>
              <w:t>提供</w:t>
            </w:r>
            <w:r>
              <w:rPr>
                <w:rFonts w:hint="eastAsia" w:ascii="仿宋" w:hAnsi="仿宋" w:eastAsia="仿宋" w:cs="仿宋"/>
                <w:color w:val="auto"/>
                <w:kern w:val="0"/>
                <w:sz w:val="24"/>
                <w:szCs w:val="24"/>
                <w:highlight w:val="none"/>
                <w:lang w:eastAsia="zh-CN"/>
              </w:rPr>
              <w:t>车辆购买发票</w:t>
            </w:r>
            <w:r>
              <w:rPr>
                <w:rFonts w:hint="eastAsia" w:ascii="仿宋" w:hAnsi="仿宋" w:eastAsia="仿宋" w:cs="仿宋"/>
                <w:color w:val="auto"/>
                <w:kern w:val="0"/>
                <w:sz w:val="24"/>
                <w:szCs w:val="24"/>
                <w:highlight w:val="none"/>
              </w:rPr>
              <w:t>或租赁</w:t>
            </w:r>
            <w:r>
              <w:rPr>
                <w:rFonts w:hint="eastAsia" w:ascii="仿宋" w:hAnsi="仿宋" w:eastAsia="仿宋" w:cs="仿宋"/>
                <w:color w:val="auto"/>
                <w:kern w:val="0"/>
                <w:sz w:val="24"/>
                <w:szCs w:val="24"/>
                <w:highlight w:val="none"/>
                <w:lang w:eastAsia="zh-CN"/>
              </w:rPr>
              <w:t>合同</w:t>
            </w:r>
            <w:r>
              <w:rPr>
                <w:rFonts w:hint="eastAsia" w:ascii="仿宋" w:hAnsi="仿宋" w:eastAsia="仿宋" w:cs="仿宋"/>
                <w:color w:val="auto"/>
                <w:kern w:val="0"/>
                <w:sz w:val="24"/>
                <w:szCs w:val="24"/>
                <w:highlight w:val="none"/>
              </w:rPr>
              <w:t>复印件加盖投标人公章</w:t>
            </w:r>
            <w:bookmarkEnd w:id="63"/>
            <w:r>
              <w:rPr>
                <w:rFonts w:hint="eastAsia" w:ascii="仿宋" w:hAnsi="仿宋" w:eastAsia="仿宋" w:cs="仿宋"/>
                <w:color w:val="auto"/>
                <w:kern w:val="0"/>
                <w:sz w:val="24"/>
                <w:szCs w:val="24"/>
                <w:highlight w:val="none"/>
              </w:rPr>
              <w:t>）</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tblPrEx>
          <w:tblLayout w:type="fixed"/>
          <w:tblCellMar>
            <w:top w:w="0" w:type="dxa"/>
            <w:left w:w="108" w:type="dxa"/>
            <w:bottom w:w="0" w:type="dxa"/>
            <w:right w:w="108" w:type="dxa"/>
          </w:tblCellMar>
        </w:tblPrEx>
        <w:trPr>
          <w:trHeight w:val="605" w:hRule="atLeast"/>
        </w:trPr>
        <w:tc>
          <w:tcPr>
            <w:tcW w:w="73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highlight w:val="none"/>
              </w:rPr>
            </w:pPr>
          </w:p>
        </w:tc>
        <w:tc>
          <w:tcPr>
            <w:tcW w:w="1408"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highlight w:val="none"/>
              </w:rPr>
            </w:pPr>
          </w:p>
        </w:tc>
        <w:tc>
          <w:tcPr>
            <w:tcW w:w="668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根据与本项目相匹配的投标人投保食品安全责任险保额的大小依序打分，</w:t>
            </w:r>
            <w:r>
              <w:rPr>
                <w:rFonts w:hint="eastAsia" w:ascii="仿宋" w:hAnsi="仿宋" w:eastAsia="仿宋" w:cs="仿宋"/>
                <w:color w:val="auto"/>
                <w:kern w:val="0"/>
                <w:sz w:val="24"/>
                <w:szCs w:val="24"/>
                <w:highlight w:val="none"/>
                <w:lang w:val="en-US" w:eastAsia="zh-CN"/>
              </w:rPr>
              <w:t>4000万元（含）以上得5分，3000万元（含）-4000万元以下</w:t>
            </w:r>
            <w:r>
              <w:rPr>
                <w:rFonts w:hint="eastAsia" w:ascii="仿宋" w:hAnsi="仿宋" w:eastAsia="仿宋" w:cs="仿宋"/>
                <w:color w:val="auto"/>
                <w:kern w:val="0"/>
                <w:sz w:val="24"/>
                <w:szCs w:val="24"/>
                <w:highlight w:val="none"/>
              </w:rPr>
              <w:t>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2000万元（含）-3000万元以下</w:t>
            </w:r>
            <w:r>
              <w:rPr>
                <w:rFonts w:hint="eastAsia" w:ascii="仿宋" w:hAnsi="仿宋" w:eastAsia="仿宋" w:cs="仿宋"/>
                <w:color w:val="auto"/>
                <w:kern w:val="0"/>
                <w:sz w:val="24"/>
                <w:szCs w:val="24"/>
                <w:highlight w:val="none"/>
              </w:rPr>
              <w:t>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1000万元（含）-2000万元以下</w:t>
            </w:r>
            <w:r>
              <w:rPr>
                <w:rFonts w:hint="eastAsia" w:ascii="仿宋" w:hAnsi="仿宋" w:eastAsia="仿宋" w:cs="仿宋"/>
                <w:color w:val="auto"/>
                <w:kern w:val="0"/>
                <w:sz w:val="24"/>
                <w:szCs w:val="24"/>
                <w:highlight w:val="none"/>
              </w:rPr>
              <w:t>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1000万元以下不得分</w:t>
            </w:r>
            <w:r>
              <w:rPr>
                <w:rFonts w:hint="eastAsia" w:ascii="仿宋" w:hAnsi="仿宋" w:eastAsia="仿宋" w:cs="仿宋"/>
                <w:color w:val="auto"/>
                <w:kern w:val="0"/>
                <w:sz w:val="24"/>
                <w:szCs w:val="24"/>
                <w:highlight w:val="none"/>
              </w:rPr>
              <w:t>。（提供保单复印件</w:t>
            </w:r>
            <w:r>
              <w:rPr>
                <w:rFonts w:hint="eastAsia" w:ascii="仿宋" w:hAnsi="仿宋" w:eastAsia="仿宋" w:cs="仿宋"/>
                <w:color w:val="auto"/>
                <w:kern w:val="0"/>
                <w:sz w:val="24"/>
                <w:szCs w:val="24"/>
                <w:highlight w:val="none"/>
                <w:lang w:val="en-US" w:eastAsia="zh-CN"/>
              </w:rPr>
              <w:t>加盖</w:t>
            </w:r>
            <w:r>
              <w:rPr>
                <w:rFonts w:hint="eastAsia" w:ascii="仿宋" w:hAnsi="仿宋" w:eastAsia="仿宋" w:cs="仿宋"/>
                <w:bCs/>
                <w:iCs/>
                <w:color w:val="auto"/>
                <w:sz w:val="24"/>
                <w:szCs w:val="24"/>
                <w:highlight w:val="none"/>
              </w:rPr>
              <w:t>投标人</w:t>
            </w:r>
            <w:r>
              <w:rPr>
                <w:rFonts w:hint="eastAsia" w:ascii="仿宋" w:hAnsi="仿宋" w:eastAsia="仿宋" w:cs="仿宋"/>
                <w:color w:val="auto"/>
                <w:kern w:val="0"/>
                <w:sz w:val="24"/>
                <w:szCs w:val="24"/>
                <w:highlight w:val="none"/>
                <w:lang w:val="en-US" w:eastAsia="zh-CN"/>
              </w:rPr>
              <w:t>公章</w:t>
            </w:r>
            <w:r>
              <w:rPr>
                <w:rFonts w:hint="eastAsia" w:ascii="仿宋" w:hAnsi="仿宋" w:eastAsia="仿宋" w:cs="仿宋"/>
                <w:color w:val="auto"/>
                <w:kern w:val="0"/>
                <w:sz w:val="24"/>
                <w:szCs w:val="24"/>
                <w:highlight w:val="none"/>
              </w:rPr>
              <w:t>）</w:t>
            </w:r>
          </w:p>
        </w:tc>
        <w:tc>
          <w:tcPr>
            <w:tcW w:w="8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tblPrEx>
          <w:tblLayout w:type="fixed"/>
          <w:tblCellMar>
            <w:top w:w="0" w:type="dxa"/>
            <w:left w:w="108" w:type="dxa"/>
            <w:bottom w:w="0" w:type="dxa"/>
            <w:right w:w="108" w:type="dxa"/>
          </w:tblCellMar>
        </w:tblPrEx>
        <w:trPr>
          <w:trHeight w:val="265" w:hRule="atLeast"/>
        </w:trPr>
        <w:tc>
          <w:tcPr>
            <w:tcW w:w="7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40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tc>
        <w:tc>
          <w:tcPr>
            <w:tcW w:w="668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根据投标人提供如遇食品质量问题的应急措施方案</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lang w:eastAsia="zh-CN"/>
              </w:rPr>
              <w:t>打分。</w:t>
            </w:r>
            <w:r>
              <w:rPr>
                <w:rFonts w:hint="eastAsia" w:ascii="仿宋" w:hAnsi="仿宋" w:eastAsia="仿宋" w:cs="仿宋"/>
                <w:color w:val="auto"/>
                <w:sz w:val="24"/>
                <w:szCs w:val="24"/>
                <w:highlight w:val="none"/>
                <w:lang w:val="en-US" w:eastAsia="zh-CN"/>
              </w:rPr>
              <w:t>(本项分值设置为5，4，3，2，1，0.5，0分)</w:t>
            </w:r>
          </w:p>
        </w:tc>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tblPrEx>
          <w:tblLayout w:type="fixed"/>
          <w:tblCellMar>
            <w:top w:w="0" w:type="dxa"/>
            <w:left w:w="108" w:type="dxa"/>
            <w:bottom w:w="0" w:type="dxa"/>
            <w:right w:w="108" w:type="dxa"/>
          </w:tblCellMar>
        </w:tblPrEx>
        <w:trPr>
          <w:trHeight w:val="835" w:hRule="atLeast"/>
        </w:trPr>
        <w:tc>
          <w:tcPr>
            <w:tcW w:w="7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140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p>
        </w:tc>
        <w:tc>
          <w:tcPr>
            <w:tcW w:w="66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根据公交食堂食品配送特点，提出针对性售后服务及退换货方案，详述售后服务及退换货的保证措施。对该方案的针对性、及时性及可操作性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lang w:eastAsia="zh-CN"/>
              </w:rPr>
              <w:t>打分。</w:t>
            </w:r>
            <w:r>
              <w:rPr>
                <w:rFonts w:hint="eastAsia" w:ascii="仿宋" w:hAnsi="仿宋" w:eastAsia="仿宋" w:cs="仿宋"/>
                <w:color w:val="auto"/>
                <w:sz w:val="24"/>
                <w:szCs w:val="24"/>
                <w:highlight w:val="none"/>
                <w:lang w:val="en-US" w:eastAsia="zh-CN"/>
              </w:rPr>
              <w:t>(本项分值设置为5，4，3，2，1，0.5，0分)</w:t>
            </w:r>
          </w:p>
        </w:tc>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Layout w:type="fixed"/>
          <w:tblCellMar>
            <w:top w:w="0" w:type="dxa"/>
            <w:left w:w="108" w:type="dxa"/>
            <w:bottom w:w="0" w:type="dxa"/>
            <w:right w:w="108" w:type="dxa"/>
          </w:tblCellMar>
        </w:tblPrEx>
        <w:trPr>
          <w:trHeight w:val="70"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4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优惠条件</w:t>
            </w:r>
          </w:p>
        </w:tc>
        <w:tc>
          <w:tcPr>
            <w:tcW w:w="66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根据投标人承诺的其他实质性优惠条件（如增加服务时间、服务量、服务范围等）或对该项目提出的建议意见</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val="en-US" w:eastAsia="zh-CN"/>
              </w:rPr>
              <w:t>(本项分值设置为3，2，1，0.5，0分)</w:t>
            </w:r>
          </w:p>
        </w:tc>
        <w:tc>
          <w:tcPr>
            <w:tcW w:w="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bl>
    <w:p>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hd w:val="clea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pPr>
        <w:shd w:val="clea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2.2.1评标基准价：即满足招标文件要求且投标价格最低的投标报价为评标基准价，其价格分为满分。</w:t>
      </w:r>
    </w:p>
    <w:p>
      <w:pPr>
        <w:shd w:val="clea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2.2.2其他投标人的价格分统一按照下列公式计算：</w:t>
      </w:r>
    </w:p>
    <w:p>
      <w:pPr>
        <w:shd w:val="clea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投标报价得分=(评标基准价／投标报价)×价格权值×100</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即：投标报价得分=(评标基准价／投标报价)×40</w:t>
      </w:r>
    </w:p>
    <w:p>
      <w:pPr>
        <w:pStyle w:val="26"/>
        <w:shd w:val="clear"/>
        <w:snapToGrid w:val="0"/>
        <w:spacing w:line="360" w:lineRule="auto"/>
        <w:ind w:firstLine="0" w:firstLineChars="0"/>
        <w:rPr>
          <w:rFonts w:ascii="仿宋" w:hAnsi="仿宋" w:eastAsia="仿宋" w:cs="仿宋"/>
          <w:color w:val="auto"/>
          <w:highlight w:val="none"/>
        </w:rPr>
      </w:pPr>
    </w:p>
    <w:p>
      <w:pPr>
        <w:widowControl/>
        <w:shd w:val="clear"/>
        <w:adjustRightInd/>
        <w:jc w:val="center"/>
        <w:rPr>
          <w:rFonts w:ascii="仿宋" w:hAnsi="仿宋" w:eastAsia="仿宋" w:cs="仿宋"/>
          <w:b/>
          <w:color w:val="auto"/>
          <w:sz w:val="36"/>
          <w:szCs w:val="20"/>
          <w:highlight w:val="none"/>
        </w:rPr>
      </w:pPr>
    </w:p>
    <w:p>
      <w:pPr>
        <w:pStyle w:val="2"/>
        <w:shd w:val="clear"/>
        <w:rPr>
          <w:rFonts w:ascii="仿宋" w:hAnsi="仿宋" w:eastAsia="仿宋" w:cs="仿宋"/>
          <w:b/>
          <w:color w:val="auto"/>
          <w:sz w:val="36"/>
          <w:szCs w:val="20"/>
          <w:highlight w:val="none"/>
        </w:rPr>
      </w:pPr>
    </w:p>
    <w:p>
      <w:pPr>
        <w:pStyle w:val="3"/>
        <w:shd w:val="clear"/>
        <w:rPr>
          <w:rFonts w:ascii="仿宋" w:hAnsi="仿宋" w:eastAsia="仿宋" w:cs="仿宋"/>
          <w:b/>
          <w:color w:val="auto"/>
          <w:sz w:val="36"/>
          <w:highlight w:val="none"/>
        </w:rPr>
      </w:pPr>
    </w:p>
    <w:p>
      <w:pPr>
        <w:shd w:val="clear"/>
        <w:rPr>
          <w:rFonts w:ascii="仿宋" w:hAnsi="仿宋" w:eastAsia="仿宋" w:cs="仿宋"/>
          <w:b/>
          <w:color w:val="auto"/>
          <w:sz w:val="36"/>
          <w:szCs w:val="20"/>
          <w:highlight w:val="none"/>
        </w:rPr>
      </w:pPr>
    </w:p>
    <w:p>
      <w:pPr>
        <w:pStyle w:val="2"/>
        <w:shd w:val="clear"/>
        <w:rPr>
          <w:rFonts w:ascii="仿宋" w:hAnsi="仿宋" w:eastAsia="仿宋" w:cs="仿宋"/>
          <w:b/>
          <w:color w:val="auto"/>
          <w:sz w:val="36"/>
          <w:szCs w:val="20"/>
          <w:highlight w:val="none"/>
        </w:rPr>
      </w:pPr>
    </w:p>
    <w:p>
      <w:pPr>
        <w:pStyle w:val="3"/>
        <w:shd w:val="clear"/>
        <w:rPr>
          <w:rFonts w:ascii="仿宋" w:hAnsi="仿宋" w:eastAsia="仿宋" w:cs="仿宋"/>
          <w:b/>
          <w:color w:val="auto"/>
          <w:sz w:val="36"/>
          <w:highlight w:val="none"/>
        </w:rPr>
      </w:pPr>
    </w:p>
    <w:p>
      <w:pPr>
        <w:shd w:val="clear"/>
        <w:rPr>
          <w:rFonts w:ascii="仿宋" w:hAnsi="仿宋" w:eastAsia="仿宋" w:cs="仿宋"/>
          <w:b/>
          <w:color w:val="auto"/>
          <w:sz w:val="36"/>
          <w:szCs w:val="20"/>
          <w:highlight w:val="none"/>
        </w:rPr>
      </w:pPr>
    </w:p>
    <w:p>
      <w:pPr>
        <w:pStyle w:val="2"/>
        <w:shd w:val="clear"/>
        <w:rPr>
          <w:rFonts w:ascii="仿宋" w:hAnsi="仿宋" w:eastAsia="仿宋" w:cs="仿宋"/>
          <w:b/>
          <w:color w:val="auto"/>
          <w:sz w:val="36"/>
          <w:szCs w:val="20"/>
          <w:highlight w:val="none"/>
        </w:rPr>
      </w:pPr>
    </w:p>
    <w:p>
      <w:pPr>
        <w:pStyle w:val="2"/>
        <w:shd w:val="clear"/>
        <w:rPr>
          <w:rFonts w:ascii="仿宋" w:hAnsi="仿宋" w:eastAsia="仿宋" w:cs="仿宋"/>
          <w:b/>
          <w:color w:val="auto"/>
          <w:sz w:val="36"/>
          <w:szCs w:val="20"/>
          <w:highlight w:val="none"/>
        </w:rPr>
      </w:pPr>
    </w:p>
    <w:p>
      <w:pPr>
        <w:pStyle w:val="3"/>
        <w:shd w:val="clear"/>
        <w:rPr>
          <w:rFonts w:ascii="仿宋" w:hAnsi="仿宋" w:eastAsia="仿宋" w:cs="仿宋"/>
          <w:b/>
          <w:color w:val="auto"/>
          <w:sz w:val="36"/>
          <w:highlight w:val="none"/>
        </w:rPr>
      </w:pPr>
    </w:p>
    <w:p>
      <w:pPr>
        <w:pStyle w:val="2"/>
        <w:shd w:val="clear"/>
        <w:rPr>
          <w:rFonts w:ascii="仿宋" w:hAnsi="仿宋" w:eastAsia="仿宋" w:cs="仿宋"/>
          <w:b/>
          <w:color w:val="auto"/>
          <w:sz w:val="36"/>
          <w:szCs w:val="20"/>
          <w:highlight w:val="none"/>
        </w:rPr>
      </w:pPr>
    </w:p>
    <w:p>
      <w:pPr>
        <w:pStyle w:val="3"/>
        <w:shd w:val="clear"/>
        <w:rPr>
          <w:rFonts w:ascii="仿宋" w:hAnsi="仿宋" w:eastAsia="仿宋" w:cs="仿宋"/>
          <w:b/>
          <w:color w:val="auto"/>
          <w:sz w:val="36"/>
          <w:highlight w:val="none"/>
        </w:rPr>
      </w:pPr>
    </w:p>
    <w:p>
      <w:pPr>
        <w:shd w:val="clear"/>
        <w:rPr>
          <w:rFonts w:ascii="仿宋" w:hAnsi="仿宋" w:eastAsia="仿宋" w:cs="仿宋"/>
          <w:color w:val="auto"/>
          <w:highlight w:val="none"/>
        </w:rPr>
      </w:pPr>
    </w:p>
    <w:p>
      <w:pPr>
        <w:widowControl/>
        <w:shd w:val="clear"/>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
      <w:bookmarkEnd w:id="40"/>
      <w:r>
        <w:rPr>
          <w:rFonts w:hint="eastAsia" w:ascii="仿宋" w:hAnsi="仿宋" w:eastAsia="仿宋" w:cs="仿宋"/>
          <w:b/>
          <w:color w:val="auto"/>
          <w:sz w:val="36"/>
          <w:szCs w:val="20"/>
          <w:highlight w:val="none"/>
        </w:rPr>
        <w:t>投标文件及其附件格式</w:t>
      </w:r>
    </w:p>
    <w:p>
      <w:pPr>
        <w:shd w:val="clear"/>
        <w:spacing w:line="360" w:lineRule="auto"/>
        <w:jc w:val="center"/>
        <w:outlineLvl w:val="0"/>
        <w:rPr>
          <w:rFonts w:ascii="仿宋" w:hAnsi="仿宋" w:eastAsia="仿宋" w:cs="仿宋"/>
          <w:b/>
          <w:color w:val="auto"/>
          <w:kern w:val="0"/>
          <w:sz w:val="36"/>
          <w:szCs w:val="36"/>
          <w:highlight w:val="none"/>
        </w:rPr>
      </w:pPr>
    </w:p>
    <w:p>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hd w:val="clear"/>
        <w:spacing w:line="360" w:lineRule="auto"/>
        <w:jc w:val="center"/>
        <w:outlineLvl w:val="0"/>
        <w:rPr>
          <w:rFonts w:ascii="仿宋" w:hAnsi="仿宋" w:eastAsia="仿宋" w:cs="仿宋"/>
          <w:b/>
          <w:color w:val="auto"/>
          <w:kern w:val="0"/>
          <w:sz w:val="36"/>
          <w:szCs w:val="36"/>
          <w:highlight w:val="none"/>
        </w:rPr>
      </w:pP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（1）符合参加采购活动应当具备的一般条件的承诺函……………（页码）</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
        <w:shd w:val="clear"/>
        <w:rPr>
          <w:rFonts w:ascii="仿宋" w:hAnsi="仿宋" w:eastAsia="仿宋" w:cs="仿宋"/>
          <w:color w:val="auto"/>
          <w:highlight w:val="none"/>
        </w:rPr>
      </w:pPr>
      <w:r>
        <w:rPr>
          <w:rFonts w:hint="eastAsia" w:ascii="仿宋" w:hAnsi="仿宋" w:eastAsia="仿宋" w:cs="仿宋"/>
          <w:color w:val="auto"/>
          <w:highlight w:val="none"/>
        </w:rPr>
        <w:t>（3）分包协议………………………………………………………………（页码）</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（4）落实采购政策需满足的资格要求………………………………（页码）</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hd w:val="clear"/>
        <w:snapToGrid w:val="0"/>
        <w:spacing w:line="360" w:lineRule="auto"/>
        <w:ind w:firstLine="480" w:firstLineChars="200"/>
        <w:rPr>
          <w:rFonts w:ascii="仿宋" w:hAnsi="仿宋" w:eastAsia="仿宋" w:cs="仿宋"/>
          <w:color w:val="auto"/>
          <w:sz w:val="24"/>
          <w:highlight w:val="none"/>
        </w:rPr>
      </w:pPr>
    </w:p>
    <w:p>
      <w:pPr>
        <w:shd w:val="clear"/>
        <w:spacing w:line="360" w:lineRule="auto"/>
        <w:ind w:firstLine="480" w:firstLineChars="200"/>
        <w:rPr>
          <w:rFonts w:ascii="仿宋" w:hAnsi="仿宋" w:eastAsia="仿宋" w:cs="仿宋"/>
          <w:color w:val="auto"/>
          <w:sz w:val="24"/>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符合参加采购活动应当具备的一般条件的承诺函</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pPr>
        <w:shd w:val="clea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hd w:val="clea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widowControl/>
        <w:shd w:val="clear"/>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hd w:val="clear"/>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shd w:val="clear"/>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shd w:val="clear"/>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pPr>
        <w:shd w:val="clea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hd w:val="clear"/>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hd w:val="clear"/>
        <w:spacing w:line="360" w:lineRule="auto"/>
        <w:ind w:left="150"/>
        <w:jc w:val="center"/>
        <w:rPr>
          <w:rFonts w:ascii="仿宋" w:hAnsi="仿宋" w:eastAsia="仿宋" w:cs="仿宋"/>
          <w:b/>
          <w:color w:val="auto"/>
          <w:kern w:val="0"/>
          <w:sz w:val="32"/>
          <w:szCs w:val="32"/>
          <w:highlight w:val="none"/>
        </w:rPr>
      </w:pPr>
    </w:p>
    <w:p>
      <w:pPr>
        <w:widowControl/>
        <w:shd w:val="clear"/>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hd w:val="clear"/>
        <w:spacing w:line="360" w:lineRule="auto"/>
        <w:jc w:val="center"/>
        <w:outlineLvl w:val="0"/>
        <w:rPr>
          <w:rFonts w:ascii="仿宋" w:hAnsi="仿宋" w:eastAsia="仿宋" w:cs="仿宋"/>
          <w:b/>
          <w:color w:val="auto"/>
          <w:kern w:val="0"/>
          <w:sz w:val="24"/>
          <w:highlight w:val="none"/>
        </w:rPr>
      </w:pPr>
    </w:p>
    <w:p>
      <w:pPr>
        <w:shd w:val="clea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hd w:val="clear"/>
        <w:spacing w:line="336" w:lineRule="auto"/>
        <w:jc w:val="center"/>
        <w:outlineLvl w:val="0"/>
        <w:rPr>
          <w:rFonts w:ascii="仿宋" w:hAnsi="仿宋" w:eastAsia="仿宋" w:cs="仿宋"/>
          <w:b/>
          <w:color w:val="auto"/>
          <w:kern w:val="0"/>
          <w:sz w:val="24"/>
          <w:highlight w:val="none"/>
        </w:rPr>
      </w:pPr>
    </w:p>
    <w:p>
      <w:pPr>
        <w:shd w:val="clea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5"/>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4"/>
        <w:numPr>
          <w:ilvl w:val="0"/>
          <w:numId w:val="5"/>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pPr>
        <w:pStyle w:val="904"/>
        <w:numPr>
          <w:ilvl w:val="0"/>
          <w:numId w:val="5"/>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4"/>
        <w:numPr>
          <w:ilvl w:val="0"/>
          <w:numId w:val="5"/>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pPr>
        <w:pStyle w:val="904"/>
        <w:numPr>
          <w:ilvl w:val="0"/>
          <w:numId w:val="5"/>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pPr>
        <w:pStyle w:val="904"/>
        <w:numPr>
          <w:ilvl w:val="0"/>
          <w:numId w:val="5"/>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pPr>
        <w:pStyle w:val="904"/>
        <w:numPr>
          <w:ilvl w:val="0"/>
          <w:numId w:val="5"/>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采购供应商廉洁自律承诺书</w:t>
      </w:r>
      <w:r>
        <w:rPr>
          <w:rFonts w:hint="eastAsia" w:ascii="仿宋" w:eastAsia="仿宋" w:cs="仿宋"/>
          <w:color w:val="auto"/>
          <w:highlight w:val="none"/>
        </w:rPr>
        <w:t>……………………………………………（页码）</w:t>
      </w:r>
    </w:p>
    <w:p>
      <w:pPr>
        <w:shd w:val="clea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napToGrid w:val="0"/>
        <w:spacing w:line="360" w:lineRule="auto"/>
        <w:jc w:val="center"/>
        <w:rPr>
          <w:rFonts w:ascii="仿宋" w:hAnsi="仿宋" w:eastAsia="仿宋" w:cs="仿宋"/>
          <w:b/>
          <w:color w:val="auto"/>
          <w:kern w:val="0"/>
          <w:sz w:val="32"/>
          <w:szCs w:val="32"/>
          <w:highlight w:val="none"/>
          <w:lang w:val="zh-CN"/>
        </w:rPr>
      </w:pPr>
    </w:p>
    <w:p>
      <w:pPr>
        <w:shd w:val="clear"/>
        <w:snapToGrid w:val="0"/>
        <w:spacing w:line="360" w:lineRule="auto"/>
        <w:jc w:val="center"/>
        <w:rPr>
          <w:rFonts w:ascii="仿宋" w:hAnsi="仿宋" w:eastAsia="仿宋" w:cs="仿宋"/>
          <w:b/>
          <w:color w:val="auto"/>
          <w:kern w:val="0"/>
          <w:sz w:val="32"/>
          <w:szCs w:val="32"/>
          <w:highlight w:val="none"/>
          <w:lang w:val="zh-CN"/>
        </w:rPr>
      </w:pPr>
    </w:p>
    <w:p>
      <w:pPr>
        <w:shd w:val="clear"/>
        <w:snapToGrid w:val="0"/>
        <w:spacing w:line="360" w:lineRule="auto"/>
        <w:jc w:val="center"/>
        <w:rPr>
          <w:rFonts w:ascii="仿宋" w:hAnsi="仿宋" w:eastAsia="仿宋" w:cs="仿宋"/>
          <w:b/>
          <w:color w:val="auto"/>
          <w:kern w:val="0"/>
          <w:sz w:val="32"/>
          <w:szCs w:val="32"/>
          <w:highlight w:val="none"/>
          <w:lang w:val="zh-CN"/>
        </w:rPr>
      </w:pPr>
    </w:p>
    <w:p>
      <w:pPr>
        <w:shd w:val="clear"/>
        <w:snapToGrid w:val="0"/>
        <w:spacing w:line="360" w:lineRule="auto"/>
        <w:rPr>
          <w:rFonts w:ascii="仿宋" w:hAnsi="仿宋" w:eastAsia="仿宋" w:cs="仿宋"/>
          <w:b/>
          <w:color w:val="auto"/>
          <w:kern w:val="0"/>
          <w:sz w:val="32"/>
          <w:szCs w:val="32"/>
          <w:highlight w:val="none"/>
          <w:lang w:val="zh-CN"/>
        </w:rPr>
      </w:pPr>
    </w:p>
    <w:p>
      <w:pPr>
        <w:widowControl/>
        <w:shd w:val="clear"/>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hd w:val="clea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shd w:val="clear"/>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7"/>
        <w:shd w:val="clear"/>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2.我方承诺已经具备《中华人民共和国政府采购法》中规定的参加采购活动的供应商应当具备的条件。</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7"/>
        <w:shd w:val="clear"/>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5"/>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hd w:val="clear"/>
        <w:snapToGrid w:val="0"/>
        <w:spacing w:line="336" w:lineRule="auto"/>
        <w:ind w:firstLine="480" w:firstLineChars="200"/>
        <w:jc w:val="left"/>
        <w:rPr>
          <w:rFonts w:ascii="仿宋" w:hAnsi="仿宋" w:eastAsia="仿宋" w:cs="仿宋"/>
          <w:color w:val="auto"/>
          <w:sz w:val="24"/>
          <w:highlight w:val="none"/>
        </w:rPr>
      </w:pPr>
    </w:p>
    <w:p>
      <w:pPr>
        <w:shd w:val="clea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shd w:val="clear"/>
        <w:jc w:val="center"/>
        <w:rPr>
          <w:rFonts w:ascii="仿宋" w:hAnsi="仿宋" w:eastAsia="仿宋" w:cs="仿宋"/>
          <w:b/>
          <w:color w:val="auto"/>
          <w:sz w:val="24"/>
          <w:highlight w:val="none"/>
        </w:rPr>
      </w:pPr>
    </w:p>
    <w:p>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hd w:val="clear"/>
        <w:snapToGrid w:val="0"/>
        <w:spacing w:line="600" w:lineRule="exact"/>
        <w:jc w:val="lef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hd w:val="clear"/>
        <w:spacing w:line="360" w:lineRule="exact"/>
        <w:rPr>
          <w:rFonts w:ascii="仿宋" w:hAnsi="仿宋" w:eastAsia="仿宋" w:cs="仿宋"/>
          <w:color w:val="auto"/>
          <w:sz w:val="24"/>
          <w:highlight w:val="none"/>
        </w:rPr>
      </w:pPr>
    </w:p>
    <w:p>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p>
    <w:p>
      <w:pPr>
        <w:shd w:val="clea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shd w:val="clear"/>
        <w:ind w:firstLine="4920" w:firstLineChars="2050"/>
        <w:jc w:val="left"/>
        <w:rPr>
          <w:rFonts w:ascii="仿宋" w:hAnsi="仿宋" w:eastAsia="仿宋" w:cs="仿宋"/>
          <w:color w:val="auto"/>
          <w:sz w:val="24"/>
          <w:highlight w:val="none"/>
        </w:rPr>
      </w:pPr>
    </w:p>
    <w:p>
      <w:pPr>
        <w:shd w:val="clear"/>
        <w:spacing w:line="800" w:lineRule="exact"/>
        <w:rPr>
          <w:rFonts w:ascii="仿宋" w:hAnsi="仿宋" w:eastAsia="仿宋" w:cs="仿宋"/>
          <w:b/>
          <w:color w:val="auto"/>
          <w:sz w:val="24"/>
          <w:highlight w:val="none"/>
        </w:rPr>
      </w:pPr>
    </w:p>
    <w:p>
      <w:pPr>
        <w:shd w:val="clear"/>
        <w:spacing w:line="800" w:lineRule="exact"/>
        <w:rPr>
          <w:rFonts w:ascii="仿宋" w:hAnsi="仿宋" w:eastAsia="仿宋" w:cs="仿宋"/>
          <w:b/>
          <w:color w:val="auto"/>
          <w:sz w:val="24"/>
          <w:highlight w:val="none"/>
        </w:rPr>
      </w:pPr>
    </w:p>
    <w:p>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shd w:val="clear"/>
        <w:jc w:val="center"/>
        <w:rPr>
          <w:rFonts w:ascii="仿宋" w:hAnsi="仿宋" w:eastAsia="仿宋" w:cs="仿宋"/>
          <w:b/>
          <w:color w:val="auto"/>
          <w:sz w:val="24"/>
          <w:highlight w:val="none"/>
        </w:rPr>
      </w:pPr>
    </w:p>
    <w:p>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hd w:val="clear"/>
        <w:snapToGrid w:val="0"/>
        <w:spacing w:line="600" w:lineRule="exact"/>
        <w:jc w:val="lef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hd w:val="clear"/>
        <w:spacing w:line="360" w:lineRule="exact"/>
        <w:rPr>
          <w:rFonts w:ascii="仿宋" w:hAnsi="仿宋" w:eastAsia="仿宋" w:cs="仿宋"/>
          <w:color w:val="auto"/>
          <w:sz w:val="24"/>
          <w:highlight w:val="none"/>
        </w:rPr>
      </w:pPr>
    </w:p>
    <w:p>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hd w:val="clear"/>
        <w:spacing w:line="360" w:lineRule="exact"/>
        <w:rPr>
          <w:rFonts w:ascii="仿宋" w:hAnsi="仿宋" w:eastAsia="仿宋" w:cs="仿宋"/>
          <w:color w:val="auto"/>
          <w:sz w:val="24"/>
          <w:highlight w:val="none"/>
        </w:rPr>
      </w:pPr>
    </w:p>
    <w:p>
      <w:pPr>
        <w:shd w:val="clear"/>
        <w:spacing w:line="360" w:lineRule="exact"/>
        <w:rPr>
          <w:rFonts w:ascii="仿宋" w:hAnsi="仿宋" w:eastAsia="仿宋" w:cs="仿宋"/>
          <w:color w:val="auto"/>
          <w:sz w:val="24"/>
          <w:highlight w:val="none"/>
        </w:rPr>
      </w:pPr>
    </w:p>
    <w:p>
      <w:pPr>
        <w:shd w:val="clear"/>
        <w:jc w:val="center"/>
        <w:rPr>
          <w:rFonts w:ascii="仿宋" w:hAnsi="仿宋" w:eastAsia="仿宋" w:cs="仿宋"/>
          <w:b/>
          <w:color w:val="auto"/>
          <w:kern w:val="0"/>
          <w:sz w:val="32"/>
          <w:szCs w:val="32"/>
          <w:highlight w:val="none"/>
        </w:rPr>
      </w:pPr>
    </w:p>
    <w:p>
      <w:pPr>
        <w:shd w:val="clear"/>
        <w:rPr>
          <w:rFonts w:ascii="仿宋" w:hAnsi="仿宋" w:eastAsia="仿宋" w:cs="仿宋"/>
          <w:color w:val="auto"/>
          <w:highlight w:val="none"/>
        </w:rPr>
      </w:pPr>
    </w:p>
    <w:p>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hd w:val="clea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hd w:val="clear"/>
        <w:autoSpaceDE w:val="0"/>
        <w:autoSpaceDN w:val="0"/>
        <w:spacing w:line="360" w:lineRule="auto"/>
        <w:jc w:val="center"/>
        <w:rPr>
          <w:rFonts w:ascii="仿宋" w:hAnsi="仿宋" w:eastAsia="仿宋" w:cs="仿宋"/>
          <w:b/>
          <w:color w:val="auto"/>
          <w:kern w:val="0"/>
          <w:sz w:val="32"/>
          <w:szCs w:val="32"/>
          <w:highlight w:val="none"/>
          <w:lang w:val="zh-CN"/>
        </w:rPr>
      </w:pPr>
    </w:p>
    <w:p>
      <w:pPr>
        <w:shd w:val="clear"/>
        <w:autoSpaceDE w:val="0"/>
        <w:autoSpaceDN w:val="0"/>
        <w:spacing w:line="360" w:lineRule="auto"/>
        <w:jc w:val="center"/>
        <w:rPr>
          <w:rFonts w:ascii="仿宋" w:hAnsi="仿宋" w:eastAsia="仿宋" w:cs="仿宋"/>
          <w:b/>
          <w:color w:val="auto"/>
          <w:kern w:val="0"/>
          <w:sz w:val="32"/>
          <w:szCs w:val="32"/>
          <w:highlight w:val="none"/>
          <w:lang w:val="zh-CN"/>
        </w:rPr>
      </w:pPr>
    </w:p>
    <w:p>
      <w:pPr>
        <w:shd w:val="clear"/>
        <w:autoSpaceDE w:val="0"/>
        <w:autoSpaceDN w:val="0"/>
        <w:spacing w:line="360" w:lineRule="auto"/>
        <w:jc w:val="center"/>
        <w:rPr>
          <w:rFonts w:ascii="仿宋" w:hAnsi="仿宋" w:eastAsia="仿宋" w:cs="仿宋"/>
          <w:b/>
          <w:color w:val="auto"/>
          <w:kern w:val="0"/>
          <w:sz w:val="32"/>
          <w:szCs w:val="32"/>
          <w:highlight w:val="none"/>
          <w:lang w:val="zh-CN"/>
        </w:rPr>
      </w:pPr>
    </w:p>
    <w:p>
      <w:pPr>
        <w:pageBreakBefore/>
        <w:shd w:val="clear"/>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hd w:val="clea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hd w:val="clear"/>
        <w:spacing w:line="800" w:lineRule="exact"/>
        <w:rPr>
          <w:rFonts w:ascii="仿宋" w:hAnsi="仿宋" w:eastAsia="仿宋" w:cs="仿宋"/>
          <w:b/>
          <w:color w:val="auto"/>
          <w:sz w:val="24"/>
          <w:highlight w:val="none"/>
        </w:rPr>
      </w:pPr>
    </w:p>
    <w:p>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hd w:val="clear"/>
        <w:spacing w:line="800" w:lineRule="exact"/>
        <w:rPr>
          <w:rFonts w:ascii="仿宋" w:hAnsi="仿宋" w:eastAsia="仿宋" w:cs="仿宋"/>
          <w:b/>
          <w:color w:val="auto"/>
          <w:sz w:val="24"/>
          <w:highlight w:val="none"/>
        </w:rPr>
      </w:pPr>
    </w:p>
    <w:p>
      <w:pPr>
        <w:shd w:val="clear"/>
        <w:spacing w:line="800" w:lineRule="exact"/>
        <w:rPr>
          <w:rFonts w:ascii="仿宋" w:hAnsi="仿宋" w:eastAsia="仿宋" w:cs="仿宋"/>
          <w:b/>
          <w:color w:val="auto"/>
          <w:sz w:val="24"/>
          <w:highlight w:val="none"/>
        </w:rPr>
      </w:pPr>
    </w:p>
    <w:p>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hd w:val="clea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hd w:val="clear"/>
        <w:spacing w:line="440" w:lineRule="exact"/>
        <w:rPr>
          <w:rFonts w:ascii="仿宋" w:hAnsi="仿宋" w:eastAsia="仿宋" w:cs="仿宋"/>
          <w:color w:val="auto"/>
          <w:sz w:val="24"/>
          <w:highlight w:val="none"/>
        </w:rPr>
      </w:pP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hd w:val="clear"/>
        <w:spacing w:line="440" w:lineRule="exact"/>
        <w:ind w:right="480"/>
        <w:rPr>
          <w:rFonts w:ascii="仿宋" w:hAnsi="仿宋" w:eastAsia="仿宋" w:cs="仿宋"/>
          <w:color w:val="auto"/>
          <w:sz w:val="24"/>
          <w:highlight w:val="none"/>
        </w:rPr>
      </w:pPr>
    </w:p>
    <w:p>
      <w:pPr>
        <w:shd w:val="clea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shd w:val="clear"/>
        <w:jc w:val="cente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p>
    <w:p>
      <w:pPr>
        <w:shd w:val="clear"/>
        <w:rPr>
          <w:rFonts w:ascii="仿宋" w:hAnsi="仿宋" w:eastAsia="仿宋" w:cs="仿宋"/>
          <w:b/>
          <w:color w:val="auto"/>
          <w:kern w:val="0"/>
          <w:sz w:val="32"/>
          <w:szCs w:val="32"/>
          <w:highlight w:val="none"/>
        </w:rPr>
      </w:pPr>
    </w:p>
    <w:p>
      <w:pPr>
        <w:shd w:val="clea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7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hd w:val="clea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shd w:val="clea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shd w:val="clea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shd w:val="clea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shd w:val="clear"/>
              <w:jc w:val="center"/>
              <w:rPr>
                <w:rFonts w:ascii="仿宋" w:hAnsi="仿宋" w:eastAsia="仿宋" w:cs="仿宋"/>
                <w:b/>
                <w:color w:val="auto"/>
                <w:kern w:val="0"/>
                <w:sz w:val="32"/>
                <w:szCs w:val="32"/>
                <w:highlight w:val="none"/>
              </w:rPr>
            </w:pPr>
          </w:p>
        </w:tc>
        <w:tc>
          <w:tcPr>
            <w:tcW w:w="3546" w:type="dxa"/>
          </w:tcPr>
          <w:p>
            <w:pPr>
              <w:shd w:val="clear"/>
              <w:jc w:val="center"/>
              <w:rPr>
                <w:rFonts w:ascii="仿宋" w:hAnsi="仿宋" w:eastAsia="仿宋" w:cs="仿宋"/>
                <w:b/>
                <w:color w:val="auto"/>
                <w:kern w:val="0"/>
                <w:sz w:val="32"/>
                <w:szCs w:val="32"/>
                <w:highlight w:val="none"/>
              </w:rPr>
            </w:pPr>
          </w:p>
        </w:tc>
        <w:tc>
          <w:tcPr>
            <w:tcW w:w="1276" w:type="dxa"/>
          </w:tcPr>
          <w:p>
            <w:pPr>
              <w:shd w:val="clea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shd w:val="clear"/>
              <w:jc w:val="center"/>
              <w:rPr>
                <w:rFonts w:ascii="仿宋" w:hAnsi="仿宋" w:eastAsia="仿宋" w:cs="仿宋"/>
                <w:b/>
                <w:color w:val="auto"/>
                <w:kern w:val="0"/>
                <w:sz w:val="32"/>
                <w:szCs w:val="32"/>
                <w:highlight w:val="none"/>
              </w:rPr>
            </w:pPr>
          </w:p>
        </w:tc>
        <w:tc>
          <w:tcPr>
            <w:tcW w:w="3546" w:type="dxa"/>
          </w:tcPr>
          <w:p>
            <w:pPr>
              <w:shd w:val="clear"/>
              <w:jc w:val="center"/>
              <w:rPr>
                <w:rFonts w:ascii="仿宋" w:hAnsi="仿宋" w:eastAsia="仿宋" w:cs="仿宋"/>
                <w:b/>
                <w:color w:val="auto"/>
                <w:kern w:val="0"/>
                <w:sz w:val="32"/>
                <w:szCs w:val="32"/>
                <w:highlight w:val="none"/>
              </w:rPr>
            </w:pPr>
          </w:p>
        </w:tc>
        <w:tc>
          <w:tcPr>
            <w:tcW w:w="1276" w:type="dxa"/>
          </w:tcPr>
          <w:p>
            <w:pPr>
              <w:shd w:val="clea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shd w:val="clear"/>
              <w:jc w:val="center"/>
              <w:rPr>
                <w:rFonts w:ascii="仿宋" w:hAnsi="仿宋" w:eastAsia="仿宋" w:cs="仿宋"/>
                <w:b/>
                <w:color w:val="auto"/>
                <w:kern w:val="0"/>
                <w:sz w:val="32"/>
                <w:szCs w:val="32"/>
                <w:highlight w:val="none"/>
              </w:rPr>
            </w:pPr>
          </w:p>
        </w:tc>
        <w:tc>
          <w:tcPr>
            <w:tcW w:w="3546" w:type="dxa"/>
          </w:tcPr>
          <w:p>
            <w:pPr>
              <w:shd w:val="clear"/>
              <w:jc w:val="center"/>
              <w:rPr>
                <w:rFonts w:ascii="仿宋" w:hAnsi="仿宋" w:eastAsia="仿宋" w:cs="仿宋"/>
                <w:b/>
                <w:color w:val="auto"/>
                <w:kern w:val="0"/>
                <w:sz w:val="32"/>
                <w:szCs w:val="32"/>
                <w:highlight w:val="none"/>
              </w:rPr>
            </w:pPr>
          </w:p>
        </w:tc>
        <w:tc>
          <w:tcPr>
            <w:tcW w:w="1276" w:type="dxa"/>
          </w:tcPr>
          <w:p>
            <w:pPr>
              <w:shd w:val="clear"/>
              <w:jc w:val="center"/>
              <w:rPr>
                <w:rFonts w:ascii="仿宋" w:hAnsi="仿宋" w:eastAsia="仿宋" w:cs="仿宋"/>
                <w:b/>
                <w:color w:val="auto"/>
                <w:kern w:val="0"/>
                <w:sz w:val="32"/>
                <w:szCs w:val="32"/>
                <w:highlight w:val="none"/>
              </w:rPr>
            </w:pPr>
          </w:p>
        </w:tc>
      </w:tr>
    </w:tbl>
    <w:p>
      <w:pPr>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shd w:val="clear"/>
        <w:jc w:val="center"/>
        <w:rPr>
          <w:rFonts w:ascii="仿宋" w:hAnsi="仿宋" w:eastAsia="仿宋" w:cs="仿宋"/>
          <w:b/>
          <w:color w:val="auto"/>
          <w:kern w:val="0"/>
          <w:sz w:val="32"/>
          <w:szCs w:val="32"/>
          <w:highlight w:val="none"/>
        </w:rPr>
      </w:pPr>
    </w:p>
    <w:p>
      <w:pPr>
        <w:shd w:val="clea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shd w:val="clear"/>
        <w:adjustRightInd/>
        <w:jc w:val="left"/>
        <w:rPr>
          <w:rFonts w:ascii="仿宋" w:hAnsi="仿宋" w:eastAsia="仿宋" w:cs="仿宋"/>
          <w:b/>
          <w:bCs/>
          <w:color w:val="auto"/>
          <w:sz w:val="32"/>
          <w:szCs w:val="32"/>
          <w:highlight w:val="none"/>
        </w:rPr>
      </w:pPr>
    </w:p>
    <w:p>
      <w:pPr>
        <w:pageBreakBefore/>
        <w:widowControl/>
        <w:shd w:val="clear"/>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pPr>
        <w:shd w:val="clear"/>
        <w:snapToGrid w:val="0"/>
        <w:spacing w:line="360" w:lineRule="auto"/>
        <w:rPr>
          <w:rFonts w:ascii="仿宋" w:hAnsi="仿宋" w:eastAsia="仿宋" w:cs="仿宋"/>
          <w:color w:val="auto"/>
          <w:sz w:val="24"/>
          <w:highlight w:val="none"/>
        </w:rPr>
      </w:pPr>
    </w:p>
    <w:p>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shd w:val="clea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shd w:val="clear"/>
        <w:autoSpaceDE w:val="0"/>
        <w:autoSpaceDN w:val="0"/>
        <w:spacing w:line="360" w:lineRule="auto"/>
        <w:ind w:left="2"/>
        <w:jc w:val="left"/>
        <w:rPr>
          <w:rFonts w:ascii="仿宋" w:hAnsi="仿宋" w:eastAsia="仿宋" w:cs="仿宋"/>
          <w:color w:val="auto"/>
          <w:kern w:val="0"/>
          <w:sz w:val="24"/>
          <w:highlight w:val="none"/>
          <w:lang w:val="zh-CN"/>
        </w:rPr>
      </w:pPr>
    </w:p>
    <w:p>
      <w:pPr>
        <w:shd w:val="clear"/>
        <w:autoSpaceDE w:val="0"/>
        <w:autoSpaceDN w:val="0"/>
        <w:spacing w:line="360" w:lineRule="auto"/>
        <w:ind w:left="2"/>
        <w:jc w:val="left"/>
        <w:rPr>
          <w:rFonts w:ascii="仿宋" w:hAnsi="仿宋" w:eastAsia="仿宋" w:cs="仿宋"/>
          <w:color w:val="auto"/>
          <w:kern w:val="0"/>
          <w:sz w:val="24"/>
          <w:highlight w:val="none"/>
          <w:lang w:val="zh-CN"/>
        </w:rPr>
      </w:pPr>
    </w:p>
    <w:p>
      <w:pPr>
        <w:shd w:val="clear"/>
        <w:autoSpaceDE w:val="0"/>
        <w:autoSpaceDN w:val="0"/>
        <w:spacing w:line="360" w:lineRule="auto"/>
        <w:ind w:left="2"/>
        <w:jc w:val="left"/>
        <w:rPr>
          <w:rFonts w:ascii="仿宋" w:hAnsi="仿宋" w:eastAsia="仿宋" w:cs="仿宋"/>
          <w:color w:val="auto"/>
          <w:kern w:val="0"/>
          <w:sz w:val="24"/>
          <w:highlight w:val="none"/>
          <w:lang w:val="zh-CN"/>
        </w:rPr>
      </w:pPr>
    </w:p>
    <w:p>
      <w:pPr>
        <w:shd w:val="clea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hd w:val="clea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hd w:val="clear"/>
        <w:spacing w:line="360" w:lineRule="auto"/>
        <w:jc w:val="center"/>
        <w:rPr>
          <w:rFonts w:ascii="仿宋" w:hAnsi="仿宋" w:eastAsia="仿宋" w:cs="仿宋"/>
          <w:b/>
          <w:bCs/>
          <w:color w:val="auto"/>
          <w:sz w:val="24"/>
          <w:highlight w:val="none"/>
        </w:rPr>
      </w:pPr>
    </w:p>
    <w:p>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spacing w:line="360" w:lineRule="auto"/>
        <w:jc w:val="center"/>
        <w:rPr>
          <w:rFonts w:ascii="仿宋" w:hAnsi="仿宋" w:eastAsia="仿宋" w:cs="仿宋"/>
          <w:b/>
          <w:bCs/>
          <w:color w:val="auto"/>
          <w:sz w:val="24"/>
          <w:highlight w:val="none"/>
        </w:rPr>
      </w:pPr>
    </w:p>
    <w:p>
      <w:pPr>
        <w:pStyle w:val="79"/>
        <w:shd w:val="clear"/>
        <w:jc w:val="center"/>
        <w:rPr>
          <w:rFonts w:ascii="仿宋" w:hAnsi="仿宋" w:eastAsia="仿宋" w:cs="仿宋"/>
          <w:b/>
          <w:bCs/>
          <w:color w:val="auto"/>
          <w:highlight w:val="none"/>
        </w:rPr>
      </w:pP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7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Layout w:type="fixed"/>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shd w:val="clear"/>
        <w:autoSpaceDE w:val="0"/>
        <w:autoSpaceDN w:val="0"/>
        <w:spacing w:line="360" w:lineRule="auto"/>
        <w:rPr>
          <w:rFonts w:ascii="仿宋_GB2312" w:hAnsi="仿宋_GB2312" w:eastAsia="仿宋_GB2312" w:cs="仿宋_GB2312"/>
          <w:b/>
          <w:color w:val="auto"/>
          <w:sz w:val="24"/>
          <w:highlight w:val="none"/>
        </w:rPr>
      </w:pPr>
    </w:p>
    <w:p>
      <w:pPr>
        <w:shd w:val="clear"/>
        <w:autoSpaceDE w:val="0"/>
        <w:autoSpaceDN w:val="0"/>
        <w:spacing w:line="360" w:lineRule="auto"/>
        <w:rPr>
          <w:rFonts w:ascii="仿宋_GB2312" w:hAnsi="仿宋_GB2312" w:eastAsia="仿宋_GB2312" w:cs="仿宋_GB2312"/>
          <w:color w:val="auto"/>
          <w:sz w:val="24"/>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shd w:val="clear"/>
        <w:ind w:firstLine="0"/>
        <w:jc w:val="both"/>
        <w:rPr>
          <w:rFonts w:hAnsi="仿宋_GB2312" w:cs="仿宋_GB2312"/>
          <w:color w:val="auto"/>
          <w:highlight w:val="none"/>
        </w:rPr>
      </w:pP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hd w:val="clear"/>
        <w:spacing w:line="360" w:lineRule="auto"/>
        <w:jc w:val="center"/>
        <w:rPr>
          <w:rFonts w:ascii="仿宋_GB2312" w:hAnsi="仿宋_GB2312" w:eastAsia="仿宋_GB2312" w:cs="仿宋_GB2312"/>
          <w:color w:val="auto"/>
          <w:sz w:val="24"/>
          <w:highlight w:val="none"/>
        </w:rPr>
      </w:pPr>
    </w:p>
    <w:p>
      <w:pPr>
        <w:shd w:val="clea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7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shd w:val="clea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shd w:val="clea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45pt;width:444.8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45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shd w:val="clea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7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rPr>
          <w:rFonts w:ascii="仿宋_GB2312" w:hAnsi="仿宋_GB2312" w:eastAsia="仿宋_GB2312" w:cs="仿宋_GB2312"/>
          <w:color w:val="auto"/>
          <w:kern w:val="0"/>
          <w:sz w:val="24"/>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7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828"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r>
    </w:tbl>
    <w:p>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72"/>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r>
    </w:tbl>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rPr>
          <w:rFonts w:ascii="仿宋_GB2312" w:hAnsi="仿宋_GB2312" w:eastAsia="仿宋_GB2312" w:cs="仿宋_GB2312"/>
          <w:b/>
          <w:color w:val="auto"/>
          <w:sz w:val="30"/>
          <w:szCs w:val="30"/>
          <w:highlight w:val="none"/>
        </w:rPr>
      </w:pPr>
    </w:p>
    <w:p>
      <w:pPr>
        <w:pStyle w:val="79"/>
        <w:shd w:val="clear"/>
        <w:rPr>
          <w:color w:val="auto"/>
          <w:highlight w:val="none"/>
        </w:rPr>
      </w:pPr>
    </w:p>
    <w:p>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hd w:val="clear"/>
        <w:spacing w:line="336" w:lineRule="auto"/>
        <w:ind w:firstLine="3600" w:firstLineChars="1500"/>
        <w:rPr>
          <w:rFonts w:ascii="仿宋" w:hAnsi="仿宋" w:eastAsia="仿宋" w:cs="仿宋"/>
          <w:color w:val="auto"/>
          <w:sz w:val="24"/>
          <w:highlight w:val="none"/>
        </w:rPr>
      </w:pPr>
    </w:p>
    <w:p>
      <w:pPr>
        <w:pStyle w:val="79"/>
        <w:shd w:val="clear"/>
        <w:rPr>
          <w:color w:val="auto"/>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shd w:val="clear"/>
        <w:rPr>
          <w:color w:val="auto"/>
          <w:highlight w:val="none"/>
        </w:rPr>
      </w:pP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hd w:val="clea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shd w:val="clear"/>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72"/>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7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bl>
    <w:p>
      <w:pPr>
        <w:shd w:val="clea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hd w:val="clea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napToGrid w:val="0"/>
        <w:spacing w:line="360" w:lineRule="auto"/>
        <w:ind w:firstLine="6907" w:firstLineChars="2150"/>
        <w:rPr>
          <w:rFonts w:ascii="仿宋_GB2312" w:hAnsi="仿宋_GB2312" w:eastAsia="仿宋_GB2312" w:cs="仿宋_GB2312"/>
          <w:b/>
          <w:bCs/>
          <w:color w:val="auto"/>
          <w:sz w:val="32"/>
          <w:szCs w:val="32"/>
          <w:highlight w:val="none"/>
        </w:rPr>
      </w:pPr>
    </w:p>
    <w:p>
      <w:pPr>
        <w:shd w:val="clear"/>
        <w:snapToGrid w:val="0"/>
        <w:spacing w:line="360" w:lineRule="auto"/>
        <w:ind w:right="960"/>
        <w:rPr>
          <w:rFonts w:ascii="仿宋_GB2312" w:hAnsi="仿宋_GB2312" w:eastAsia="仿宋_GB2312" w:cs="仿宋_GB2312"/>
          <w:color w:val="auto"/>
          <w:kern w:val="0"/>
          <w:sz w:val="24"/>
          <w:highlight w:val="none"/>
          <w:lang w:val="zh-CN"/>
        </w:rPr>
      </w:pPr>
    </w:p>
    <w:p>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rPr>
          <w:rFonts w:ascii="仿宋_GB2312" w:hAnsi="仿宋_GB2312" w:eastAsia="仿宋_GB2312" w:cs="仿宋_GB2312"/>
          <w:color w:val="auto"/>
          <w:sz w:val="18"/>
          <w:szCs w:val="18"/>
          <w:highlight w:val="none"/>
        </w:rPr>
      </w:pPr>
    </w:p>
    <w:p>
      <w:pPr>
        <w:pStyle w:val="79"/>
        <w:shd w:val="clear"/>
        <w:rPr>
          <w:color w:val="auto"/>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rPr>
          <w:rFonts w:ascii="仿宋_GB2312" w:hAnsi="仿宋_GB2312" w:eastAsia="仿宋_GB2312" w:cs="仿宋_GB2312"/>
          <w:b/>
          <w:bCs/>
          <w:color w:val="auto"/>
          <w:sz w:val="18"/>
          <w:szCs w:val="18"/>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rPr>
          <w:rFonts w:ascii="仿宋_GB2312" w:hAnsi="仿宋_GB2312" w:eastAsia="仿宋_GB2312" w:cs="仿宋_GB2312"/>
          <w:b/>
          <w:bCs/>
          <w:color w:val="auto"/>
          <w:sz w:val="32"/>
          <w:szCs w:val="32"/>
          <w:highlight w:val="none"/>
        </w:rPr>
      </w:pPr>
    </w:p>
    <w:p>
      <w:pPr>
        <w:pageBreakBefore/>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shd w:val="clear"/>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7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shd w:val="clea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shd w:val="clea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shd w:val="clea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hd w:val="clea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Layout w:type="fixed"/>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shd w:val="clea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hd w:val="clear"/>
              <w:suppressAutoHyphens/>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shd w:val="clea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shd w:val="clea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hd w:val="clear"/>
              <w:suppressAutoHyphens/>
              <w:autoSpaceDE w:val="0"/>
              <w:autoSpaceDN w:val="0"/>
              <w:spacing w:line="360" w:lineRule="auto"/>
              <w:rPr>
                <w:rFonts w:ascii="仿宋_GB2312" w:hAnsi="仿宋_GB2312" w:eastAsia="仿宋_GB2312" w:cs="仿宋_GB2312"/>
                <w:color w:val="auto"/>
                <w:sz w:val="24"/>
                <w:highlight w:val="none"/>
              </w:rPr>
            </w:pPr>
          </w:p>
        </w:tc>
      </w:tr>
    </w:tbl>
    <w:p>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shd w:val="clea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jc w:val="center"/>
        <w:rPr>
          <w:rFonts w:ascii="仿宋_GB2312" w:hAnsi="仿宋_GB2312" w:eastAsia="仿宋_GB2312" w:cs="仿宋_GB2312"/>
          <w:color w:val="auto"/>
          <w:sz w:val="24"/>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jc w:val="center"/>
        <w:rPr>
          <w:rFonts w:ascii="仿宋_GB2312" w:hAnsi="仿宋_GB2312" w:eastAsia="仿宋_GB2312" w:cs="仿宋_GB2312"/>
          <w:b/>
          <w:bCs/>
          <w:color w:val="auto"/>
          <w:sz w:val="30"/>
          <w:szCs w:val="30"/>
          <w:highlight w:val="none"/>
        </w:rPr>
      </w:pPr>
    </w:p>
    <w:p>
      <w:pPr>
        <w:shd w:val="clear"/>
        <w:spacing w:line="360" w:lineRule="auto"/>
        <w:jc w:val="center"/>
        <w:rPr>
          <w:rFonts w:ascii="仿宋_GB2312" w:hAnsi="仿宋_GB2312" w:eastAsia="仿宋_GB2312" w:cs="仿宋_GB2312"/>
          <w:b/>
          <w:bCs/>
          <w:color w:val="auto"/>
          <w:sz w:val="30"/>
          <w:szCs w:val="30"/>
          <w:highlight w:val="none"/>
        </w:rPr>
      </w:pPr>
    </w:p>
    <w:p>
      <w:pPr>
        <w:shd w:val="clear"/>
        <w:spacing w:line="360" w:lineRule="auto"/>
        <w:jc w:val="center"/>
        <w:rPr>
          <w:rFonts w:ascii="仿宋_GB2312" w:hAnsi="仿宋_GB2312" w:eastAsia="仿宋_GB2312" w:cs="仿宋_GB2312"/>
          <w:b/>
          <w:bCs/>
          <w:color w:val="auto"/>
          <w:sz w:val="24"/>
          <w:highlight w:val="none"/>
        </w:rPr>
      </w:pPr>
    </w:p>
    <w:p>
      <w:pPr>
        <w:shd w:val="clear"/>
        <w:spacing w:line="360" w:lineRule="auto"/>
        <w:jc w:val="center"/>
        <w:rPr>
          <w:rFonts w:ascii="仿宋_GB2312" w:hAnsi="仿宋_GB2312" w:eastAsia="仿宋_GB2312" w:cs="仿宋_GB2312"/>
          <w:b/>
          <w:bCs/>
          <w:color w:val="auto"/>
          <w:sz w:val="24"/>
          <w:highlight w:val="none"/>
        </w:rPr>
      </w:pPr>
    </w:p>
    <w:p>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rPr>
          <w:rFonts w:ascii="仿宋_GB2312" w:hAnsi="仿宋_GB2312" w:eastAsia="仿宋_GB2312" w:cs="仿宋_GB2312"/>
          <w:color w:val="auto"/>
          <w:sz w:val="24"/>
          <w:highlight w:val="none"/>
        </w:rPr>
      </w:pPr>
    </w:p>
    <w:p>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shd w:val="clear"/>
        <w:rPr>
          <w:color w:val="auto"/>
          <w:highlight w:val="none"/>
        </w:rPr>
        <w:sectPr>
          <w:pgSz w:w="11906" w:h="16838"/>
          <w:pgMar w:top="1276" w:right="1418" w:bottom="1247" w:left="1418" w:header="851" w:footer="992" w:gutter="0"/>
          <w:cols w:space="720" w:num="1"/>
          <w:titlePg/>
          <w:docGrid w:linePitch="312" w:charSpace="0"/>
        </w:sectPr>
      </w:pPr>
    </w:p>
    <w:p>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hd w:val="clear"/>
        <w:spacing w:line="360" w:lineRule="auto"/>
        <w:jc w:val="center"/>
        <w:outlineLvl w:val="0"/>
        <w:rPr>
          <w:rFonts w:ascii="仿宋" w:hAnsi="仿宋" w:eastAsia="仿宋" w:cs="仿宋"/>
          <w:b/>
          <w:color w:val="auto"/>
          <w:kern w:val="0"/>
          <w:sz w:val="36"/>
          <w:szCs w:val="36"/>
          <w:highlight w:val="none"/>
        </w:rPr>
      </w:pP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
        <w:shd w:val="clear"/>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jc w:val="center"/>
        <w:rPr>
          <w:rFonts w:ascii="仿宋" w:hAnsi="仿宋" w:eastAsia="仿宋" w:cs="仿宋"/>
          <w:b/>
          <w:color w:val="auto"/>
          <w:kern w:val="0"/>
          <w:sz w:val="32"/>
          <w:szCs w:val="32"/>
          <w:highlight w:val="none"/>
        </w:rPr>
      </w:pPr>
    </w:p>
    <w:p>
      <w:pPr>
        <w:shd w:val="clear"/>
        <w:snapToGrid w:val="0"/>
        <w:spacing w:line="360" w:lineRule="auto"/>
        <w:ind w:right="480"/>
        <w:rPr>
          <w:rFonts w:ascii="仿宋" w:hAnsi="仿宋" w:eastAsia="仿宋" w:cs="仿宋"/>
          <w:b/>
          <w:color w:val="auto"/>
          <w:kern w:val="0"/>
          <w:sz w:val="32"/>
          <w:szCs w:val="32"/>
          <w:highlight w:val="none"/>
        </w:rPr>
      </w:pPr>
    </w:p>
    <w:p>
      <w:pPr>
        <w:pStyle w:val="691"/>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691"/>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hd w:val="clea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hd w:val="clea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ascii="仿宋" w:hAnsi="仿宋" w:eastAsia="仿宋" w:cs="仿宋"/>
          <w:b/>
          <w:color w:val="auto"/>
          <w:kern w:val="0"/>
          <w:sz w:val="24"/>
          <w:highlight w:val="none"/>
          <w:lang w:val="zh-CN"/>
        </w:rPr>
        <w:t>(单位均为人民币元)</w:t>
      </w:r>
    </w:p>
    <w:tbl>
      <w:tblPr>
        <w:tblStyle w:val="72"/>
        <w:tblW w:w="145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jc w:val="center"/>
        </w:trPr>
        <w:tc>
          <w:tcPr>
            <w:tcW w:w="534" w:type="dxa"/>
            <w:vAlign w:val="center"/>
          </w:tcPr>
          <w:p>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534" w:type="dxa"/>
            <w:vAlign w:val="center"/>
          </w:tcPr>
          <w:p>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1417" w:type="dxa"/>
            <w:vAlign w:val="center"/>
          </w:tcPr>
          <w:p>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184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534" w:type="dxa"/>
            <w:vAlign w:val="center"/>
          </w:tcPr>
          <w:p>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1417" w:type="dxa"/>
            <w:vAlign w:val="center"/>
          </w:tcPr>
          <w:p>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184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534" w:type="dxa"/>
            <w:vAlign w:val="center"/>
          </w:tcPr>
          <w:p>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84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53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417"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84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jc w:val="center"/>
        </w:trPr>
        <w:tc>
          <w:tcPr>
            <w:tcW w:w="6912" w:type="dxa"/>
            <w:gridSpan w:val="4"/>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6912" w:type="dxa"/>
            <w:gridSpan w:val="4"/>
            <w:vAlign w:val="center"/>
          </w:tcPr>
          <w:p>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bl>
    <w:p>
      <w:pPr>
        <w:shd w:val="clear"/>
        <w:snapToGrid w:val="0"/>
        <w:spacing w:line="360" w:lineRule="auto"/>
        <w:ind w:left="480"/>
        <w:rPr>
          <w:rFonts w:ascii="仿宋" w:hAnsi="仿宋" w:eastAsia="仿宋" w:cs="仿宋"/>
          <w:b/>
          <w:color w:val="auto"/>
          <w:kern w:val="0"/>
          <w:sz w:val="24"/>
          <w:highlight w:val="none"/>
          <w:lang w:val="zh-CN"/>
        </w:rPr>
      </w:pPr>
    </w:p>
    <w:p>
      <w:pPr>
        <w:shd w:val="clea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pPr>
        <w:shd w:val="clea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hd w:val="clea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hd w:val="clea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hd w:val="clear"/>
        <w:spacing w:line="360" w:lineRule="auto"/>
        <w:ind w:firstLine="482" w:firstLineChars="200"/>
        <w:rPr>
          <w:rFonts w:ascii="仿宋" w:hAnsi="仿宋" w:eastAsia="仿宋" w:cs="仿宋"/>
          <w:b/>
          <w:color w:val="auto"/>
          <w:kern w:val="0"/>
          <w:sz w:val="24"/>
          <w:highlight w:val="none"/>
        </w:rPr>
      </w:pPr>
    </w:p>
    <w:p>
      <w:pPr>
        <w:pStyle w:val="691"/>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1"/>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1"/>
        <w:keepNext w:val="0"/>
        <w:pageBreakBefore w:val="0"/>
        <w:shd w:val="clear"/>
        <w:tabs>
          <w:tab w:val="clear" w:pos="720"/>
        </w:tabs>
        <w:snapToGrid w:val="0"/>
        <w:spacing w:before="120" w:after="120"/>
        <w:jc w:val="left"/>
        <w:outlineLvl w:val="9"/>
        <w:rPr>
          <w:rFonts w:ascii="仿宋" w:hAnsi="仿宋" w:eastAsia="仿宋" w:cs="仿宋"/>
          <w:color w:val="auto"/>
          <w:kern w:val="2"/>
          <w:sz w:val="24"/>
          <w:szCs w:val="24"/>
          <w:highlight w:val="none"/>
        </w:rPr>
      </w:pPr>
      <w:r>
        <w:rPr>
          <w:rFonts w:hint="eastAsia" w:ascii="仿宋" w:hAnsi="仿宋" w:eastAsia="仿宋" w:cs="仿宋"/>
          <w:color w:val="auto"/>
          <w:kern w:val="2"/>
          <w:sz w:val="32"/>
          <w:szCs w:val="32"/>
          <w:highlight w:val="none"/>
          <w:lang w:eastAsia="zh-CN"/>
        </w:rPr>
        <w:t>附：</w:t>
      </w:r>
      <w:r>
        <w:rPr>
          <w:rFonts w:hint="eastAsia" w:ascii="仿宋" w:hAnsi="仿宋" w:eastAsia="仿宋" w:cs="仿宋"/>
          <w:color w:val="auto"/>
          <w:kern w:val="2"/>
          <w:sz w:val="32"/>
          <w:szCs w:val="32"/>
          <w:highlight w:val="none"/>
        </w:rPr>
        <w:t>报价</w:t>
      </w:r>
      <w:r>
        <w:rPr>
          <w:rFonts w:hint="eastAsia" w:ascii="仿宋" w:hAnsi="仿宋" w:eastAsia="仿宋" w:cs="仿宋"/>
          <w:color w:val="auto"/>
          <w:kern w:val="2"/>
          <w:sz w:val="32"/>
          <w:szCs w:val="32"/>
          <w:highlight w:val="none"/>
          <w:lang w:eastAsia="zh-CN"/>
        </w:rPr>
        <w:t>明细</w:t>
      </w:r>
      <w:r>
        <w:rPr>
          <w:rFonts w:hint="eastAsia" w:ascii="仿宋" w:hAnsi="仿宋" w:eastAsia="仿宋" w:cs="仿宋"/>
          <w:color w:val="auto"/>
          <w:kern w:val="2"/>
          <w:sz w:val="32"/>
          <w:szCs w:val="32"/>
          <w:highlight w:val="none"/>
        </w:rPr>
        <w:t>表</w:t>
      </w:r>
    </w:p>
    <w:p>
      <w:pPr>
        <w:shd w:val="clear"/>
        <w:spacing w:line="360" w:lineRule="auto"/>
        <w:jc w:val="center"/>
        <w:rPr>
          <w:rFonts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标项一报价明细表</w:t>
      </w:r>
    </w:p>
    <w:tbl>
      <w:tblPr>
        <w:tblStyle w:val="72"/>
        <w:tblW w:w="84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Layout w:type="fixed"/>
        <w:tblCellMar>
          <w:top w:w="0" w:type="dxa"/>
          <w:left w:w="0" w:type="dxa"/>
          <w:bottom w:w="0" w:type="dxa"/>
          <w:right w:w="0" w:type="dxa"/>
        </w:tblCellMar>
      </w:tblPr>
      <w:tblGrid>
        <w:gridCol w:w="873"/>
        <w:gridCol w:w="1651"/>
        <w:gridCol w:w="2037"/>
        <w:gridCol w:w="1196"/>
        <w:gridCol w:w="1335"/>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Layout w:type="fixed"/>
          <w:tblCellMar>
            <w:top w:w="0" w:type="dxa"/>
            <w:left w:w="0" w:type="dxa"/>
            <w:bottom w:w="0" w:type="dxa"/>
            <w:right w:w="0" w:type="dxa"/>
          </w:tblCellMar>
        </w:tblPrEx>
        <w:trPr>
          <w:trHeight w:val="378" w:hRule="atLeast"/>
          <w:jc w:val="center"/>
        </w:trPr>
        <w:tc>
          <w:tcPr>
            <w:tcW w:w="873" w:type="dxa"/>
            <w:shd w:val="clear" w:color="auto" w:fill="auto"/>
            <w:tcMar>
              <w:top w:w="80" w:type="dxa"/>
              <w:left w:w="80" w:type="dxa"/>
              <w:bottom w:w="80" w:type="dxa"/>
              <w:right w:w="80" w:type="dxa"/>
            </w:tcMar>
            <w:vAlign w:val="center"/>
          </w:tcPr>
          <w:p>
            <w:pPr>
              <w:pStyle w:val="876"/>
              <w:shd w:val="clear"/>
              <w:spacing w:line="440" w:lineRule="exact"/>
              <w:jc w:val="center"/>
              <w:rPr>
                <w:rFonts w:hint="eastAsia" w:ascii="仿宋" w:hAnsi="仿宋" w:eastAsia="仿宋" w:cs="仿宋"/>
                <w:b/>
                <w:color w:val="auto"/>
                <w:kern w:val="0"/>
                <w:sz w:val="24"/>
                <w:szCs w:val="24"/>
                <w:highlight w:val="none"/>
              </w:rPr>
            </w:pPr>
            <w:r>
              <w:rPr>
                <w:rStyle w:val="969"/>
                <w:rFonts w:hint="eastAsia" w:ascii="仿宋" w:hAnsi="仿宋" w:eastAsia="仿宋" w:cs="仿宋"/>
                <w:b/>
                <w:color w:val="auto"/>
                <w:kern w:val="0"/>
                <w:sz w:val="24"/>
                <w:szCs w:val="24"/>
                <w:highlight w:val="none"/>
                <w:lang w:val="zh-TW"/>
              </w:rPr>
              <w:t>标</w:t>
            </w:r>
            <w:r>
              <w:rPr>
                <w:rStyle w:val="969"/>
                <w:rFonts w:hint="eastAsia" w:ascii="仿宋" w:hAnsi="仿宋" w:eastAsia="仿宋" w:cs="仿宋"/>
                <w:b/>
                <w:color w:val="auto"/>
                <w:kern w:val="0"/>
                <w:sz w:val="24"/>
                <w:szCs w:val="24"/>
                <w:highlight w:val="none"/>
                <w:lang w:val="zh-TW" w:eastAsia="zh-CN"/>
              </w:rPr>
              <w:t>项</w:t>
            </w:r>
          </w:p>
        </w:tc>
        <w:tc>
          <w:tcPr>
            <w:tcW w:w="1651" w:type="dxa"/>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center"/>
              <w:rPr>
                <w:rFonts w:hint="eastAsia" w:ascii="仿宋" w:hAnsi="仿宋" w:eastAsia="仿宋" w:cs="仿宋"/>
                <w:b/>
                <w:color w:val="auto"/>
                <w:kern w:val="0"/>
                <w:sz w:val="24"/>
                <w:szCs w:val="24"/>
                <w:highlight w:val="none"/>
              </w:rPr>
            </w:pPr>
            <w:r>
              <w:rPr>
                <w:rStyle w:val="969"/>
                <w:rFonts w:hint="eastAsia" w:ascii="仿宋" w:hAnsi="仿宋" w:eastAsia="仿宋" w:cs="仿宋"/>
                <w:b/>
                <w:color w:val="auto"/>
                <w:kern w:val="0"/>
                <w:sz w:val="24"/>
                <w:szCs w:val="24"/>
                <w:highlight w:val="none"/>
                <w:lang w:val="zh-TW"/>
              </w:rPr>
              <w:t>标</w:t>
            </w:r>
            <w:r>
              <w:rPr>
                <w:rStyle w:val="969"/>
                <w:rFonts w:hint="eastAsia" w:ascii="仿宋" w:hAnsi="仿宋" w:eastAsia="仿宋" w:cs="仿宋"/>
                <w:b/>
                <w:color w:val="auto"/>
                <w:kern w:val="0"/>
                <w:sz w:val="24"/>
                <w:szCs w:val="24"/>
                <w:highlight w:val="none"/>
                <w:lang w:val="zh-TW" w:eastAsia="zh-CN"/>
              </w:rPr>
              <w:t>项</w:t>
            </w:r>
            <w:r>
              <w:rPr>
                <w:rStyle w:val="969"/>
                <w:rFonts w:hint="eastAsia" w:ascii="仿宋" w:hAnsi="仿宋" w:eastAsia="仿宋" w:cs="仿宋"/>
                <w:b/>
                <w:color w:val="auto"/>
                <w:kern w:val="0"/>
                <w:sz w:val="24"/>
                <w:szCs w:val="24"/>
                <w:highlight w:val="none"/>
                <w:lang w:val="zh-TW"/>
              </w:rPr>
              <w:t>名称</w:t>
            </w:r>
          </w:p>
        </w:tc>
        <w:tc>
          <w:tcPr>
            <w:tcW w:w="2037" w:type="dxa"/>
            <w:tcBorders>
              <w:left w:val="single" w:color="auto" w:sz="4" w:space="0"/>
            </w:tcBorders>
            <w:shd w:val="clear" w:color="auto" w:fill="auto"/>
            <w:vAlign w:val="center"/>
          </w:tcPr>
          <w:p>
            <w:pPr>
              <w:pStyle w:val="876"/>
              <w:shd w:val="clear"/>
              <w:spacing w:line="44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种类</w:t>
            </w:r>
          </w:p>
        </w:tc>
        <w:tc>
          <w:tcPr>
            <w:tcW w:w="1196" w:type="dxa"/>
            <w:shd w:val="clear" w:color="auto" w:fill="auto"/>
            <w:tcMar>
              <w:top w:w="80" w:type="dxa"/>
              <w:left w:w="80" w:type="dxa"/>
              <w:bottom w:w="80" w:type="dxa"/>
              <w:right w:w="80" w:type="dxa"/>
            </w:tcMar>
            <w:vAlign w:val="center"/>
          </w:tcPr>
          <w:p>
            <w:pPr>
              <w:pStyle w:val="876"/>
              <w:shd w:val="clear"/>
              <w:spacing w:line="440" w:lineRule="exact"/>
              <w:ind w:firstLine="120"/>
              <w:jc w:val="center"/>
              <w:rPr>
                <w:rFonts w:hint="eastAsia" w:ascii="仿宋" w:hAnsi="仿宋" w:eastAsia="仿宋" w:cs="仿宋"/>
                <w:b/>
                <w:color w:val="auto"/>
                <w:kern w:val="0"/>
                <w:sz w:val="24"/>
                <w:szCs w:val="24"/>
                <w:highlight w:val="none"/>
              </w:rPr>
            </w:pPr>
            <w:r>
              <w:rPr>
                <w:rStyle w:val="969"/>
                <w:rFonts w:hint="eastAsia" w:ascii="仿宋" w:hAnsi="仿宋" w:eastAsia="仿宋" w:cs="仿宋"/>
                <w:b/>
                <w:color w:val="auto"/>
                <w:kern w:val="0"/>
                <w:sz w:val="24"/>
                <w:szCs w:val="24"/>
                <w:highlight w:val="none"/>
                <w:lang w:val="zh-TW"/>
              </w:rPr>
              <w:t>下浮率</w:t>
            </w:r>
            <w:r>
              <w:rPr>
                <w:rStyle w:val="969"/>
                <w:rFonts w:hint="eastAsia" w:ascii="仿宋" w:hAnsi="仿宋" w:eastAsia="仿宋" w:cs="仿宋"/>
                <w:b/>
                <w:color w:val="auto"/>
                <w:kern w:val="0"/>
                <w:sz w:val="24"/>
                <w:szCs w:val="24"/>
                <w:highlight w:val="none"/>
                <w:lang w:val="zh-TW" w:eastAsia="zh-TW"/>
              </w:rPr>
              <w:t>（</w:t>
            </w:r>
            <w:r>
              <w:rPr>
                <w:rStyle w:val="969"/>
                <w:rFonts w:hint="eastAsia" w:ascii="仿宋" w:hAnsi="仿宋" w:eastAsia="仿宋" w:cs="仿宋"/>
                <w:b/>
                <w:color w:val="auto"/>
                <w:kern w:val="0"/>
                <w:sz w:val="24"/>
                <w:szCs w:val="24"/>
                <w:highlight w:val="none"/>
                <w:lang w:val="zh-TW"/>
              </w:rPr>
              <w:t>%</w:t>
            </w:r>
            <w:r>
              <w:rPr>
                <w:rStyle w:val="969"/>
                <w:rFonts w:hint="eastAsia" w:ascii="仿宋" w:hAnsi="仿宋" w:eastAsia="仿宋" w:cs="仿宋"/>
                <w:b/>
                <w:color w:val="auto"/>
                <w:kern w:val="0"/>
                <w:sz w:val="24"/>
                <w:szCs w:val="24"/>
                <w:highlight w:val="none"/>
                <w:lang w:val="zh-TW" w:eastAsia="zh-TW"/>
              </w:rPr>
              <w:t>）</w:t>
            </w:r>
          </w:p>
        </w:tc>
        <w:tc>
          <w:tcPr>
            <w:tcW w:w="1335" w:type="dxa"/>
            <w:shd w:val="clear" w:color="auto" w:fill="auto"/>
            <w:tcMar>
              <w:top w:w="80" w:type="dxa"/>
              <w:left w:w="80" w:type="dxa"/>
              <w:bottom w:w="80" w:type="dxa"/>
              <w:right w:w="80" w:type="dxa"/>
            </w:tcMar>
            <w:vAlign w:val="center"/>
          </w:tcPr>
          <w:p>
            <w:pPr>
              <w:pStyle w:val="876"/>
              <w:shd w:val="clear"/>
              <w:spacing w:line="440" w:lineRule="exact"/>
              <w:jc w:val="center"/>
              <w:rPr>
                <w:rFonts w:hint="eastAsia" w:ascii="仿宋" w:hAnsi="仿宋" w:eastAsia="仿宋" w:cs="仿宋"/>
                <w:b/>
                <w:color w:val="auto"/>
                <w:kern w:val="0"/>
                <w:sz w:val="24"/>
                <w:szCs w:val="24"/>
                <w:highlight w:val="none"/>
                <w:lang w:eastAsia="zh-CN"/>
              </w:rPr>
            </w:pPr>
            <w:r>
              <w:rPr>
                <w:rStyle w:val="969"/>
                <w:rFonts w:hint="eastAsia" w:ascii="仿宋" w:hAnsi="仿宋" w:eastAsia="仿宋" w:cs="仿宋"/>
                <w:b/>
                <w:color w:val="auto"/>
                <w:kern w:val="0"/>
                <w:sz w:val="24"/>
                <w:szCs w:val="24"/>
                <w:highlight w:val="none"/>
                <w:lang w:val="en-US" w:eastAsia="zh-CN"/>
              </w:rPr>
              <w:t>权重</w:t>
            </w:r>
          </w:p>
        </w:tc>
        <w:tc>
          <w:tcPr>
            <w:tcW w:w="1395" w:type="dxa"/>
            <w:shd w:val="clear" w:color="auto" w:fill="auto"/>
            <w:tcMar>
              <w:top w:w="80" w:type="dxa"/>
              <w:left w:w="80" w:type="dxa"/>
              <w:bottom w:w="80" w:type="dxa"/>
              <w:right w:w="80" w:type="dxa"/>
            </w:tcMar>
            <w:vAlign w:val="center"/>
          </w:tcPr>
          <w:p>
            <w:pPr>
              <w:pStyle w:val="876"/>
              <w:shd w:val="clear"/>
              <w:spacing w:line="440" w:lineRule="exact"/>
              <w:jc w:val="center"/>
              <w:rPr>
                <w:rStyle w:val="969"/>
                <w:rFonts w:hint="eastAsia" w:ascii="仿宋" w:hAnsi="仿宋" w:eastAsia="仿宋" w:cs="仿宋"/>
                <w:b/>
                <w:color w:val="auto"/>
                <w:kern w:val="0"/>
                <w:sz w:val="24"/>
                <w:szCs w:val="24"/>
                <w:highlight w:val="none"/>
                <w:lang w:val="en-US" w:eastAsia="zh-CN"/>
              </w:rPr>
            </w:pPr>
            <w:r>
              <w:rPr>
                <w:rStyle w:val="969"/>
                <w:rFonts w:hint="eastAsia" w:ascii="仿宋" w:hAnsi="仿宋" w:eastAsia="仿宋" w:cs="仿宋"/>
                <w:b/>
                <w:color w:val="auto"/>
                <w:kern w:val="0"/>
                <w:sz w:val="24"/>
                <w:szCs w:val="24"/>
                <w:highlight w:val="no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4" w:hRule="atLeast"/>
          <w:jc w:val="center"/>
        </w:trPr>
        <w:tc>
          <w:tcPr>
            <w:tcW w:w="873" w:type="dxa"/>
            <w:vMerge w:val="restart"/>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CN"/>
              </w:rPr>
            </w:pPr>
            <w:r>
              <w:rPr>
                <w:rStyle w:val="969"/>
                <w:rFonts w:hint="eastAsia" w:ascii="仿宋" w:hAnsi="仿宋" w:eastAsia="仿宋" w:cs="仿宋"/>
                <w:b/>
                <w:color w:val="auto"/>
                <w:kern w:val="0"/>
                <w:sz w:val="24"/>
                <w:szCs w:val="24"/>
                <w:highlight w:val="none"/>
                <w:lang w:val="zh-TW" w:eastAsia="zh-CN"/>
              </w:rPr>
              <w:t>一</w:t>
            </w:r>
          </w:p>
        </w:tc>
        <w:tc>
          <w:tcPr>
            <w:tcW w:w="1651" w:type="dxa"/>
            <w:vMerge w:val="restart"/>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rPr>
            </w:pPr>
            <w:r>
              <w:rPr>
                <w:rFonts w:hint="eastAsia" w:ascii="仿宋" w:hAnsi="仿宋" w:eastAsia="仿宋" w:cs="仿宋"/>
                <w:bCs/>
                <w:color w:val="auto"/>
                <w:sz w:val="24"/>
                <w:szCs w:val="24"/>
                <w:highlight w:val="none"/>
              </w:rPr>
              <w:t>绍兴市公共交通集团第一有限公司食堂</w:t>
            </w:r>
            <w:r>
              <w:rPr>
                <w:rFonts w:hint="eastAsia" w:ascii="仿宋" w:hAnsi="仿宋" w:eastAsia="仿宋" w:cs="仿宋"/>
                <w:bCs/>
                <w:color w:val="auto"/>
                <w:sz w:val="24"/>
                <w:szCs w:val="24"/>
                <w:highlight w:val="none"/>
                <w:lang w:val="en-US" w:eastAsia="zh-CN"/>
              </w:rPr>
              <w:t>食材</w:t>
            </w:r>
            <w:r>
              <w:rPr>
                <w:rFonts w:hint="eastAsia" w:ascii="仿宋" w:hAnsi="仿宋" w:eastAsia="仿宋" w:cs="仿宋"/>
                <w:bCs/>
                <w:color w:val="auto"/>
                <w:sz w:val="24"/>
                <w:szCs w:val="24"/>
                <w:highlight w:val="none"/>
              </w:rPr>
              <w:t>物资采购</w:t>
            </w:r>
          </w:p>
        </w:tc>
        <w:tc>
          <w:tcPr>
            <w:tcW w:w="2037"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蔬菜综合类（蔬菜、豆制品、面制品、干货）</w:t>
            </w:r>
          </w:p>
        </w:tc>
        <w:tc>
          <w:tcPr>
            <w:tcW w:w="1196" w:type="dxa"/>
            <w:tcBorders>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bottom w:val="single" w:color="auto" w:sz="4" w:space="0"/>
            </w:tcBorders>
            <w:shd w:val="clear" w:color="auto" w:fill="auto"/>
            <w:tcMar>
              <w:top w:w="80" w:type="dxa"/>
              <w:left w:w="80" w:type="dxa"/>
              <w:bottom w:w="80" w:type="dxa"/>
              <w:right w:w="80" w:type="dxa"/>
            </w:tcMar>
            <w:vAlign w:val="center"/>
          </w:tcPr>
          <w:p>
            <w:pPr>
              <w:shd w:val="clear"/>
              <w:spacing w:line="288"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21%</w:t>
            </w:r>
          </w:p>
        </w:tc>
        <w:tc>
          <w:tcPr>
            <w:tcW w:w="1395" w:type="dxa"/>
            <w:tcBorders>
              <w:bottom w:val="single" w:color="auto" w:sz="4" w:space="0"/>
            </w:tcBorders>
            <w:shd w:val="clear" w:color="auto" w:fill="auto"/>
            <w:tcMar>
              <w:top w:w="80" w:type="dxa"/>
              <w:left w:w="80" w:type="dxa"/>
              <w:bottom w:w="80" w:type="dxa"/>
              <w:right w:w="80" w:type="dxa"/>
            </w:tcMar>
            <w:vAlign w:val="top"/>
          </w:tcPr>
          <w:p>
            <w:pPr>
              <w:shd w:val="clear"/>
              <w:spacing w:line="288"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2037"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鲜活畜类（禽蛋）</w:t>
            </w:r>
          </w:p>
        </w:tc>
        <w:tc>
          <w:tcPr>
            <w:tcW w:w="1196"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widowControl/>
              <w:shd w:val="clear"/>
              <w:spacing w:line="255"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9"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2037"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肉类</w:t>
            </w:r>
          </w:p>
        </w:tc>
        <w:tc>
          <w:tcPr>
            <w:tcW w:w="1196"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widowControl/>
              <w:shd w:val="clear"/>
              <w:spacing w:line="255"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26</w:t>
            </w:r>
            <w:r>
              <w:rPr>
                <w:rFonts w:hint="eastAsia" w:ascii="仿宋" w:hAnsi="仿宋" w:eastAsia="仿宋" w:cs="仿宋"/>
                <w:color w:val="auto"/>
                <w:sz w:val="24"/>
                <w:szCs w:val="24"/>
                <w:highlight w:val="none"/>
              </w:rPr>
              <w:t>%</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2037"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冷冻类</w:t>
            </w:r>
          </w:p>
        </w:tc>
        <w:tc>
          <w:tcPr>
            <w:tcW w:w="1196"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widowControl/>
              <w:shd w:val="clear"/>
              <w:spacing w:line="255"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2"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2037"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鲜活水产品</w:t>
            </w:r>
          </w:p>
        </w:tc>
        <w:tc>
          <w:tcPr>
            <w:tcW w:w="1196"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widowControl/>
              <w:shd w:val="clear"/>
              <w:spacing w:line="255"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4"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2037"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调味品类</w:t>
            </w:r>
          </w:p>
        </w:tc>
        <w:tc>
          <w:tcPr>
            <w:tcW w:w="1196"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widowControl/>
              <w:shd w:val="clear"/>
              <w:spacing w:line="255"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4"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2037" w:type="dxa"/>
            <w:shd w:val="clear" w:color="auto" w:fill="auto"/>
            <w:vAlign w:val="top"/>
          </w:tcPr>
          <w:p>
            <w:pPr>
              <w:shd w:val="clear"/>
              <w:spacing w:line="42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eastAsia="zh-CN"/>
              </w:rPr>
              <w:t>大米</w:t>
            </w:r>
            <w:r>
              <w:rPr>
                <w:rFonts w:hint="eastAsia" w:ascii="仿宋" w:hAnsi="仿宋" w:eastAsia="仿宋" w:cs="仿宋"/>
                <w:color w:val="auto"/>
                <w:sz w:val="24"/>
                <w:szCs w:val="24"/>
                <w:highlight w:val="none"/>
              </w:rPr>
              <w:t>粮油类</w:t>
            </w:r>
          </w:p>
        </w:tc>
        <w:tc>
          <w:tcPr>
            <w:tcW w:w="1196" w:type="dxa"/>
            <w:tcBorders>
              <w:top w:val="single" w:color="auto" w:sz="4" w:space="0"/>
              <w:bottom w:val="single" w:color="auto" w:sz="4" w:space="0"/>
            </w:tcBorders>
            <w:shd w:val="clear" w:color="auto" w:fill="auto"/>
            <w:tcMar>
              <w:top w:w="80" w:type="dxa"/>
              <w:left w:w="80" w:type="dxa"/>
              <w:bottom w:w="80" w:type="dxa"/>
              <w:right w:w="80" w:type="dxa"/>
            </w:tcMar>
            <w:vAlign w:val="top"/>
          </w:tcPr>
          <w:p>
            <w:pPr>
              <w:shd w:val="clear"/>
              <w:spacing w:line="420" w:lineRule="exact"/>
              <w:jc w:val="both"/>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widowControl/>
              <w:shd w:val="clear"/>
              <w:spacing w:line="255"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19%</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4"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2037" w:type="dxa"/>
            <w:shd w:val="clear" w:color="auto" w:fill="auto"/>
            <w:vAlign w:val="top"/>
          </w:tcPr>
          <w:p>
            <w:pPr>
              <w:shd w:val="clear"/>
              <w:spacing w:line="42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日用品类</w:t>
            </w:r>
          </w:p>
        </w:tc>
        <w:tc>
          <w:tcPr>
            <w:tcW w:w="1196" w:type="dxa"/>
            <w:tcBorders>
              <w:top w:val="single" w:color="auto" w:sz="4" w:space="0"/>
              <w:bottom w:val="single" w:color="auto" w:sz="4" w:space="0"/>
            </w:tcBorders>
            <w:shd w:val="clear" w:color="auto" w:fill="auto"/>
            <w:tcMar>
              <w:top w:w="80" w:type="dxa"/>
              <w:left w:w="80" w:type="dxa"/>
              <w:bottom w:w="80" w:type="dxa"/>
              <w:right w:w="80" w:type="dxa"/>
            </w:tcMar>
            <w:vAlign w:val="top"/>
          </w:tcPr>
          <w:p>
            <w:pPr>
              <w:shd w:val="clear"/>
              <w:spacing w:line="420" w:lineRule="exact"/>
              <w:jc w:val="both"/>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widowControl/>
              <w:shd w:val="clear"/>
              <w:spacing w:line="255" w:lineRule="auto"/>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8" w:hRule="atLeast"/>
          <w:jc w:val="center"/>
        </w:trPr>
        <w:tc>
          <w:tcPr>
            <w:tcW w:w="4561" w:type="dxa"/>
            <w:gridSpan w:val="3"/>
            <w:shd w:val="clear" w:color="auto" w:fill="auto"/>
            <w:vAlign w:val="center"/>
          </w:tcPr>
          <w:p>
            <w:pPr>
              <w:shd w:val="clea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投标下浮率</w:t>
            </w:r>
            <w:r>
              <w:rPr>
                <w:rStyle w:val="969"/>
                <w:rFonts w:hint="eastAsia" w:ascii="仿宋" w:hAnsi="仿宋" w:eastAsia="仿宋" w:cs="仿宋"/>
                <w:b/>
                <w:color w:val="auto"/>
                <w:kern w:val="0"/>
                <w:sz w:val="24"/>
                <w:szCs w:val="24"/>
                <w:highlight w:val="none"/>
                <w:lang w:val="zh-TW" w:eastAsia="zh-TW"/>
              </w:rPr>
              <w:t>（</w:t>
            </w:r>
            <w:r>
              <w:rPr>
                <w:rStyle w:val="969"/>
                <w:rFonts w:hint="eastAsia" w:ascii="仿宋" w:hAnsi="仿宋" w:eastAsia="仿宋" w:cs="仿宋"/>
                <w:b/>
                <w:color w:val="auto"/>
                <w:kern w:val="0"/>
                <w:sz w:val="24"/>
                <w:szCs w:val="24"/>
                <w:highlight w:val="none"/>
                <w:lang w:val="zh-TW"/>
              </w:rPr>
              <w:t>%</w:t>
            </w:r>
            <w:r>
              <w:rPr>
                <w:rStyle w:val="969"/>
                <w:rFonts w:hint="eastAsia" w:ascii="仿宋" w:hAnsi="仿宋" w:eastAsia="仿宋" w:cs="仿宋"/>
                <w:b/>
                <w:color w:val="auto"/>
                <w:kern w:val="0"/>
                <w:sz w:val="24"/>
                <w:szCs w:val="24"/>
                <w:highlight w:val="none"/>
                <w:lang w:val="zh-TW" w:eastAsia="zh-TW"/>
              </w:rPr>
              <w:t>）</w:t>
            </w:r>
          </w:p>
        </w:tc>
        <w:tc>
          <w:tcPr>
            <w:tcW w:w="3926" w:type="dxa"/>
            <w:gridSpan w:val="3"/>
            <w:shd w:val="clear" w:color="auto" w:fill="auto"/>
            <w:vAlign w:val="center"/>
          </w:tcPr>
          <w:p>
            <w:pPr>
              <w:shd w:val="clear"/>
              <w:spacing w:line="440" w:lineRule="exact"/>
              <w:rPr>
                <w:rFonts w:hint="eastAsia" w:ascii="仿宋" w:hAnsi="仿宋" w:eastAsia="仿宋" w:cs="仿宋"/>
                <w:b/>
                <w:color w:val="auto"/>
                <w:sz w:val="24"/>
                <w:szCs w:val="24"/>
                <w:highlight w:val="none"/>
              </w:rPr>
            </w:pPr>
          </w:p>
        </w:tc>
      </w:tr>
    </w:tbl>
    <w:p>
      <w:pPr>
        <w:shd w:val="clear"/>
        <w:spacing w:line="360" w:lineRule="auto"/>
        <w:jc w:val="center"/>
        <w:rPr>
          <w:rFonts w:hint="eastAsia" w:ascii="仿宋" w:hAnsi="仿宋" w:eastAsia="仿宋" w:cs="仿宋"/>
          <w:b/>
          <w:color w:val="auto"/>
          <w:kern w:val="0"/>
          <w:sz w:val="24"/>
          <w:szCs w:val="24"/>
          <w:highlight w:val="none"/>
          <w:lang w:val="zh-CN"/>
        </w:rPr>
      </w:pPr>
    </w:p>
    <w:p>
      <w:pPr>
        <w:shd w:val="clear"/>
        <w:spacing w:line="360" w:lineRule="auto"/>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部分品牌清单</w:t>
      </w:r>
    </w:p>
    <w:tbl>
      <w:tblPr>
        <w:tblStyle w:val="72"/>
        <w:tblW w:w="854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09"/>
        <w:gridCol w:w="2160"/>
        <w:gridCol w:w="52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32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品类</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6" w:hRule="atLeast"/>
          <w:jc w:val="center"/>
        </w:trPr>
        <w:tc>
          <w:tcPr>
            <w:tcW w:w="11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大</w:t>
            </w:r>
          </w:p>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米</w:t>
            </w:r>
          </w:p>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粮</w:t>
            </w:r>
          </w:p>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油</w:t>
            </w:r>
          </w:p>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类</w:t>
            </w: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精炼一级大豆油</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一级粳米</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小麦粉</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馒头用小麦粉</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1" w:hRule="atLeast"/>
          <w:jc w:val="center"/>
        </w:trPr>
        <w:tc>
          <w:tcPr>
            <w:tcW w:w="11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kern w:val="0"/>
                <w:sz w:val="24"/>
                <w:szCs w:val="24"/>
                <w:highlight w:val="none"/>
                <w:u w:val="none"/>
                <w:lang w:val="en-US" w:eastAsia="zh-CN" w:bidi="ar"/>
              </w:rPr>
            </w:pPr>
          </w:p>
          <w:p>
            <w:pPr>
              <w:keepNext w:val="0"/>
              <w:keepLines w:val="0"/>
              <w:widowControl/>
              <w:suppressLineNumbers w:val="0"/>
              <w:shd w:val="clear"/>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日</w:t>
            </w:r>
          </w:p>
          <w:p>
            <w:pPr>
              <w:keepNext w:val="0"/>
              <w:keepLines w:val="0"/>
              <w:widowControl/>
              <w:suppressLineNumbers w:val="0"/>
              <w:shd w:val="clear"/>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用</w:t>
            </w:r>
          </w:p>
          <w:p>
            <w:pPr>
              <w:keepNext w:val="0"/>
              <w:keepLines w:val="0"/>
              <w:widowControl/>
              <w:suppressLineNumbers w:val="0"/>
              <w:shd w:val="clear"/>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品</w:t>
            </w:r>
          </w:p>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类</w:t>
            </w: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洗涤剂</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0"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催干剂</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1"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洗洁精</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洗碗巾</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钢丝球</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大保鲜膜</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PE保鲜膜</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jc w:val="center"/>
        </w:trPr>
        <w:tc>
          <w:tcPr>
            <w:tcW w:w="1109" w:type="dxa"/>
            <w:vMerge w:val="continue"/>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仿宋" w:hAnsi="仿宋" w:eastAsia="仿宋" w:cs="仿宋"/>
                <w:i w:val="0"/>
                <w:color w:val="auto"/>
                <w:sz w:val="24"/>
                <w:szCs w:val="24"/>
                <w:highlight w:val="none"/>
                <w:u w:val="none"/>
              </w:rPr>
            </w:pPr>
          </w:p>
        </w:tc>
        <w:tc>
          <w:tcPr>
            <w:tcW w:w="21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耐用性乳胶手套</w:t>
            </w:r>
          </w:p>
        </w:tc>
        <w:tc>
          <w:tcPr>
            <w:tcW w:w="527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jc w:val="center"/>
              <w:textAlignment w:val="center"/>
              <w:rPr>
                <w:rFonts w:hint="eastAsia" w:ascii="仿宋" w:hAnsi="仿宋" w:eastAsia="仿宋" w:cs="仿宋"/>
                <w:i w:val="0"/>
                <w:color w:val="auto"/>
                <w:sz w:val="24"/>
                <w:szCs w:val="24"/>
                <w:highlight w:val="none"/>
                <w:u w:val="none"/>
              </w:rPr>
            </w:pPr>
          </w:p>
        </w:tc>
      </w:tr>
    </w:tbl>
    <w:p>
      <w:pPr>
        <w:shd w:val="clear"/>
        <w:spacing w:line="360" w:lineRule="auto"/>
        <w:jc w:val="center"/>
        <w:rPr>
          <w:rFonts w:hint="eastAsia" w:ascii="仿宋" w:hAnsi="仿宋" w:eastAsia="仿宋" w:cs="仿宋"/>
          <w:b/>
          <w:color w:val="auto"/>
          <w:kern w:val="0"/>
          <w:sz w:val="24"/>
          <w:szCs w:val="24"/>
          <w:highlight w:val="none"/>
          <w:lang w:val="zh-CN"/>
        </w:rPr>
      </w:pPr>
    </w:p>
    <w:p>
      <w:pPr>
        <w:shd w:val="clear"/>
        <w:spacing w:line="360" w:lineRule="auto"/>
        <w:jc w:val="center"/>
        <w:rPr>
          <w:rFonts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标项二报价明细表</w:t>
      </w:r>
    </w:p>
    <w:tbl>
      <w:tblPr>
        <w:tblStyle w:val="72"/>
        <w:tblW w:w="84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Layout w:type="fixed"/>
        <w:tblCellMar>
          <w:top w:w="0" w:type="dxa"/>
          <w:left w:w="0" w:type="dxa"/>
          <w:bottom w:w="0" w:type="dxa"/>
          <w:right w:w="0" w:type="dxa"/>
        </w:tblCellMar>
      </w:tblPr>
      <w:tblGrid>
        <w:gridCol w:w="873"/>
        <w:gridCol w:w="1651"/>
        <w:gridCol w:w="1810"/>
        <w:gridCol w:w="1423"/>
        <w:gridCol w:w="1335"/>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Layout w:type="fixed"/>
          <w:tblCellMar>
            <w:top w:w="0" w:type="dxa"/>
            <w:left w:w="0" w:type="dxa"/>
            <w:bottom w:w="0" w:type="dxa"/>
            <w:right w:w="0" w:type="dxa"/>
          </w:tblCellMar>
        </w:tblPrEx>
        <w:trPr>
          <w:trHeight w:val="378" w:hRule="atLeast"/>
          <w:jc w:val="center"/>
        </w:trPr>
        <w:tc>
          <w:tcPr>
            <w:tcW w:w="873" w:type="dxa"/>
            <w:shd w:val="clear" w:color="auto" w:fill="auto"/>
            <w:tcMar>
              <w:top w:w="80" w:type="dxa"/>
              <w:left w:w="80" w:type="dxa"/>
              <w:bottom w:w="80" w:type="dxa"/>
              <w:right w:w="80" w:type="dxa"/>
            </w:tcMar>
            <w:vAlign w:val="center"/>
          </w:tcPr>
          <w:p>
            <w:pPr>
              <w:pStyle w:val="876"/>
              <w:shd w:val="clear"/>
              <w:spacing w:line="440" w:lineRule="exact"/>
              <w:jc w:val="center"/>
              <w:rPr>
                <w:rFonts w:hint="eastAsia" w:ascii="仿宋" w:hAnsi="仿宋" w:eastAsia="仿宋" w:cs="仿宋"/>
                <w:b/>
                <w:color w:val="auto"/>
                <w:kern w:val="0"/>
                <w:sz w:val="24"/>
                <w:szCs w:val="24"/>
                <w:highlight w:val="none"/>
              </w:rPr>
            </w:pPr>
            <w:r>
              <w:rPr>
                <w:rStyle w:val="969"/>
                <w:rFonts w:hint="eastAsia" w:ascii="仿宋" w:hAnsi="仿宋" w:eastAsia="仿宋" w:cs="仿宋"/>
                <w:b/>
                <w:color w:val="auto"/>
                <w:kern w:val="0"/>
                <w:sz w:val="24"/>
                <w:szCs w:val="24"/>
                <w:highlight w:val="none"/>
                <w:lang w:val="zh-TW"/>
              </w:rPr>
              <w:t>标</w:t>
            </w:r>
            <w:r>
              <w:rPr>
                <w:rStyle w:val="969"/>
                <w:rFonts w:hint="eastAsia" w:ascii="仿宋" w:hAnsi="仿宋" w:eastAsia="仿宋" w:cs="仿宋"/>
                <w:b/>
                <w:color w:val="auto"/>
                <w:kern w:val="0"/>
                <w:sz w:val="24"/>
                <w:szCs w:val="24"/>
                <w:highlight w:val="none"/>
                <w:lang w:val="zh-TW" w:eastAsia="zh-CN"/>
              </w:rPr>
              <w:t>项</w:t>
            </w:r>
          </w:p>
        </w:tc>
        <w:tc>
          <w:tcPr>
            <w:tcW w:w="1651" w:type="dxa"/>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center"/>
              <w:rPr>
                <w:rFonts w:hint="eastAsia" w:ascii="仿宋" w:hAnsi="仿宋" w:eastAsia="仿宋" w:cs="仿宋"/>
                <w:b/>
                <w:color w:val="auto"/>
                <w:kern w:val="0"/>
                <w:sz w:val="24"/>
                <w:szCs w:val="24"/>
                <w:highlight w:val="none"/>
              </w:rPr>
            </w:pPr>
            <w:r>
              <w:rPr>
                <w:rStyle w:val="969"/>
                <w:rFonts w:hint="eastAsia" w:ascii="仿宋" w:hAnsi="仿宋" w:eastAsia="仿宋" w:cs="仿宋"/>
                <w:b/>
                <w:color w:val="auto"/>
                <w:kern w:val="0"/>
                <w:sz w:val="24"/>
                <w:szCs w:val="24"/>
                <w:highlight w:val="none"/>
                <w:lang w:val="zh-TW"/>
              </w:rPr>
              <w:t>标</w:t>
            </w:r>
            <w:r>
              <w:rPr>
                <w:rStyle w:val="969"/>
                <w:rFonts w:hint="eastAsia" w:ascii="仿宋" w:hAnsi="仿宋" w:eastAsia="仿宋" w:cs="仿宋"/>
                <w:b/>
                <w:color w:val="auto"/>
                <w:kern w:val="0"/>
                <w:sz w:val="24"/>
                <w:szCs w:val="24"/>
                <w:highlight w:val="none"/>
                <w:lang w:val="zh-TW" w:eastAsia="zh-CN"/>
              </w:rPr>
              <w:t>项</w:t>
            </w:r>
            <w:r>
              <w:rPr>
                <w:rStyle w:val="969"/>
                <w:rFonts w:hint="eastAsia" w:ascii="仿宋" w:hAnsi="仿宋" w:eastAsia="仿宋" w:cs="仿宋"/>
                <w:b/>
                <w:color w:val="auto"/>
                <w:kern w:val="0"/>
                <w:sz w:val="24"/>
                <w:szCs w:val="24"/>
                <w:highlight w:val="none"/>
                <w:lang w:val="zh-TW"/>
              </w:rPr>
              <w:t>名称</w:t>
            </w:r>
          </w:p>
        </w:tc>
        <w:tc>
          <w:tcPr>
            <w:tcW w:w="1810" w:type="dxa"/>
            <w:tcBorders>
              <w:left w:val="single" w:color="auto" w:sz="4" w:space="0"/>
            </w:tcBorders>
            <w:shd w:val="clear" w:color="auto" w:fill="auto"/>
            <w:vAlign w:val="center"/>
          </w:tcPr>
          <w:p>
            <w:pPr>
              <w:pStyle w:val="876"/>
              <w:shd w:val="clear"/>
              <w:spacing w:line="44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种类</w:t>
            </w:r>
          </w:p>
        </w:tc>
        <w:tc>
          <w:tcPr>
            <w:tcW w:w="1423" w:type="dxa"/>
            <w:shd w:val="clear" w:color="auto" w:fill="auto"/>
            <w:tcMar>
              <w:top w:w="80" w:type="dxa"/>
              <w:left w:w="80" w:type="dxa"/>
              <w:bottom w:w="80" w:type="dxa"/>
              <w:right w:w="80" w:type="dxa"/>
            </w:tcMar>
            <w:vAlign w:val="center"/>
          </w:tcPr>
          <w:p>
            <w:pPr>
              <w:pStyle w:val="876"/>
              <w:shd w:val="clear"/>
              <w:spacing w:line="440" w:lineRule="exact"/>
              <w:ind w:firstLine="120"/>
              <w:jc w:val="center"/>
              <w:rPr>
                <w:rFonts w:hint="eastAsia" w:ascii="仿宋" w:hAnsi="仿宋" w:eastAsia="仿宋" w:cs="仿宋"/>
                <w:b/>
                <w:color w:val="auto"/>
                <w:kern w:val="0"/>
                <w:sz w:val="24"/>
                <w:szCs w:val="24"/>
                <w:highlight w:val="none"/>
              </w:rPr>
            </w:pPr>
            <w:r>
              <w:rPr>
                <w:rStyle w:val="969"/>
                <w:rFonts w:hint="eastAsia" w:ascii="仿宋" w:hAnsi="仿宋" w:eastAsia="仿宋" w:cs="仿宋"/>
                <w:b/>
                <w:color w:val="auto"/>
                <w:kern w:val="0"/>
                <w:sz w:val="24"/>
                <w:szCs w:val="24"/>
                <w:highlight w:val="none"/>
                <w:lang w:val="zh-TW"/>
              </w:rPr>
              <w:t>下浮率</w:t>
            </w:r>
            <w:r>
              <w:rPr>
                <w:rStyle w:val="969"/>
                <w:rFonts w:hint="eastAsia" w:ascii="仿宋" w:hAnsi="仿宋" w:eastAsia="仿宋" w:cs="仿宋"/>
                <w:b/>
                <w:color w:val="auto"/>
                <w:kern w:val="0"/>
                <w:sz w:val="24"/>
                <w:szCs w:val="24"/>
                <w:highlight w:val="none"/>
                <w:lang w:val="zh-TW" w:eastAsia="zh-TW"/>
              </w:rPr>
              <w:t>（</w:t>
            </w:r>
            <w:r>
              <w:rPr>
                <w:rStyle w:val="969"/>
                <w:rFonts w:hint="eastAsia" w:ascii="仿宋" w:hAnsi="仿宋" w:eastAsia="仿宋" w:cs="仿宋"/>
                <w:b/>
                <w:color w:val="auto"/>
                <w:kern w:val="0"/>
                <w:sz w:val="24"/>
                <w:szCs w:val="24"/>
                <w:highlight w:val="none"/>
                <w:lang w:val="zh-TW"/>
              </w:rPr>
              <w:t>%</w:t>
            </w:r>
            <w:r>
              <w:rPr>
                <w:rStyle w:val="969"/>
                <w:rFonts w:hint="eastAsia" w:ascii="仿宋" w:hAnsi="仿宋" w:eastAsia="仿宋" w:cs="仿宋"/>
                <w:b/>
                <w:color w:val="auto"/>
                <w:kern w:val="0"/>
                <w:sz w:val="24"/>
                <w:szCs w:val="24"/>
                <w:highlight w:val="none"/>
                <w:lang w:val="zh-TW" w:eastAsia="zh-TW"/>
              </w:rPr>
              <w:t>）</w:t>
            </w:r>
          </w:p>
        </w:tc>
        <w:tc>
          <w:tcPr>
            <w:tcW w:w="1335" w:type="dxa"/>
            <w:shd w:val="clear" w:color="auto" w:fill="auto"/>
            <w:tcMar>
              <w:top w:w="80" w:type="dxa"/>
              <w:left w:w="80" w:type="dxa"/>
              <w:bottom w:w="80" w:type="dxa"/>
              <w:right w:w="80" w:type="dxa"/>
            </w:tcMar>
            <w:vAlign w:val="center"/>
          </w:tcPr>
          <w:p>
            <w:pPr>
              <w:pStyle w:val="876"/>
              <w:shd w:val="clear"/>
              <w:spacing w:line="440" w:lineRule="exact"/>
              <w:jc w:val="center"/>
              <w:rPr>
                <w:rFonts w:hint="eastAsia" w:ascii="仿宋" w:hAnsi="仿宋" w:eastAsia="仿宋" w:cs="仿宋"/>
                <w:b/>
                <w:color w:val="auto"/>
                <w:kern w:val="0"/>
                <w:sz w:val="24"/>
                <w:szCs w:val="24"/>
                <w:highlight w:val="none"/>
                <w:lang w:eastAsia="zh-CN"/>
              </w:rPr>
            </w:pPr>
            <w:r>
              <w:rPr>
                <w:rStyle w:val="969"/>
                <w:rFonts w:hint="eastAsia" w:ascii="仿宋" w:hAnsi="仿宋" w:eastAsia="仿宋" w:cs="仿宋"/>
                <w:b/>
                <w:color w:val="auto"/>
                <w:kern w:val="0"/>
                <w:sz w:val="24"/>
                <w:szCs w:val="24"/>
                <w:highlight w:val="none"/>
                <w:lang w:val="en-US" w:eastAsia="zh-CN"/>
              </w:rPr>
              <w:t>权重</w:t>
            </w:r>
          </w:p>
        </w:tc>
        <w:tc>
          <w:tcPr>
            <w:tcW w:w="1395" w:type="dxa"/>
            <w:shd w:val="clear" w:color="auto" w:fill="auto"/>
            <w:tcMar>
              <w:top w:w="80" w:type="dxa"/>
              <w:left w:w="80" w:type="dxa"/>
              <w:bottom w:w="80" w:type="dxa"/>
              <w:right w:w="80" w:type="dxa"/>
            </w:tcMar>
            <w:vAlign w:val="center"/>
          </w:tcPr>
          <w:p>
            <w:pPr>
              <w:pStyle w:val="876"/>
              <w:shd w:val="clear"/>
              <w:spacing w:line="440" w:lineRule="exact"/>
              <w:jc w:val="center"/>
              <w:rPr>
                <w:rStyle w:val="969"/>
                <w:rFonts w:hint="eastAsia" w:ascii="仿宋" w:hAnsi="仿宋" w:eastAsia="仿宋" w:cs="仿宋"/>
                <w:b/>
                <w:color w:val="auto"/>
                <w:kern w:val="0"/>
                <w:sz w:val="24"/>
                <w:szCs w:val="24"/>
                <w:highlight w:val="none"/>
                <w:lang w:val="en-US" w:eastAsia="zh-CN"/>
              </w:rPr>
            </w:pPr>
            <w:r>
              <w:rPr>
                <w:rStyle w:val="969"/>
                <w:rFonts w:hint="eastAsia" w:ascii="仿宋" w:hAnsi="仿宋" w:eastAsia="仿宋" w:cs="仿宋"/>
                <w:b/>
                <w:color w:val="auto"/>
                <w:kern w:val="0"/>
                <w:sz w:val="24"/>
                <w:szCs w:val="24"/>
                <w:highlight w:val="no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Layout w:type="fixed"/>
          <w:tblCellMar>
            <w:top w:w="0" w:type="dxa"/>
            <w:left w:w="0" w:type="dxa"/>
            <w:bottom w:w="0" w:type="dxa"/>
            <w:right w:w="0" w:type="dxa"/>
          </w:tblCellMar>
        </w:tblPrEx>
        <w:trPr>
          <w:trHeight w:val="344" w:hRule="atLeast"/>
          <w:jc w:val="center"/>
        </w:trPr>
        <w:tc>
          <w:tcPr>
            <w:tcW w:w="873" w:type="dxa"/>
            <w:vMerge w:val="restart"/>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CN"/>
              </w:rPr>
            </w:pPr>
            <w:r>
              <w:rPr>
                <w:rStyle w:val="969"/>
                <w:rFonts w:hint="eastAsia" w:ascii="仿宋" w:hAnsi="仿宋" w:eastAsia="仿宋" w:cs="仿宋"/>
                <w:b/>
                <w:color w:val="auto"/>
                <w:kern w:val="0"/>
                <w:sz w:val="24"/>
                <w:szCs w:val="24"/>
                <w:highlight w:val="none"/>
                <w:lang w:val="zh-TW" w:eastAsia="zh-CN"/>
              </w:rPr>
              <w:t>二</w:t>
            </w:r>
          </w:p>
        </w:tc>
        <w:tc>
          <w:tcPr>
            <w:tcW w:w="1651" w:type="dxa"/>
            <w:vMerge w:val="restart"/>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rPr>
            </w:pPr>
            <w:r>
              <w:rPr>
                <w:rFonts w:hint="eastAsia" w:ascii="仿宋" w:hAnsi="仿宋" w:eastAsia="仿宋" w:cs="仿宋"/>
                <w:bCs/>
                <w:color w:val="auto"/>
                <w:sz w:val="24"/>
                <w:szCs w:val="24"/>
                <w:highlight w:val="none"/>
              </w:rPr>
              <w:t>绍兴市公共交通集团第</w:t>
            </w:r>
            <w:r>
              <w:rPr>
                <w:rFonts w:hint="eastAsia" w:ascii="仿宋" w:hAnsi="仿宋" w:eastAsia="仿宋" w:cs="仿宋"/>
                <w:bCs/>
                <w:color w:val="auto"/>
                <w:sz w:val="24"/>
                <w:szCs w:val="24"/>
                <w:highlight w:val="none"/>
                <w:lang w:eastAsia="zh-CN"/>
              </w:rPr>
              <w:t>二</w:t>
            </w:r>
            <w:r>
              <w:rPr>
                <w:rFonts w:hint="eastAsia" w:ascii="仿宋" w:hAnsi="仿宋" w:eastAsia="仿宋" w:cs="仿宋"/>
                <w:bCs/>
                <w:color w:val="auto"/>
                <w:sz w:val="24"/>
                <w:szCs w:val="24"/>
                <w:highlight w:val="none"/>
              </w:rPr>
              <w:t>有限公司食堂</w:t>
            </w:r>
            <w:r>
              <w:rPr>
                <w:rFonts w:hint="eastAsia" w:ascii="仿宋" w:hAnsi="仿宋" w:eastAsia="仿宋" w:cs="仿宋"/>
                <w:bCs/>
                <w:color w:val="auto"/>
                <w:sz w:val="24"/>
                <w:szCs w:val="24"/>
                <w:highlight w:val="none"/>
                <w:lang w:val="en-US" w:eastAsia="zh-CN"/>
              </w:rPr>
              <w:t>食材</w:t>
            </w:r>
            <w:r>
              <w:rPr>
                <w:rFonts w:hint="eastAsia" w:ascii="仿宋" w:hAnsi="仿宋" w:eastAsia="仿宋" w:cs="仿宋"/>
                <w:bCs/>
                <w:color w:val="auto"/>
                <w:sz w:val="24"/>
                <w:szCs w:val="24"/>
                <w:highlight w:val="none"/>
              </w:rPr>
              <w:t>物资采购</w:t>
            </w:r>
          </w:p>
        </w:tc>
        <w:tc>
          <w:tcPr>
            <w:tcW w:w="1810"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蔬菜综合类(蔬菜、豆制品、面制品、干货)</w:t>
            </w:r>
          </w:p>
        </w:tc>
        <w:tc>
          <w:tcPr>
            <w:tcW w:w="1423" w:type="dxa"/>
            <w:tcBorders>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bottom w:val="single" w:color="auto" w:sz="4" w:space="0"/>
            </w:tcBorders>
            <w:shd w:val="clear" w:color="auto" w:fill="auto"/>
            <w:tcMar>
              <w:top w:w="80" w:type="dxa"/>
              <w:left w:w="80" w:type="dxa"/>
              <w:bottom w:w="80" w:type="dxa"/>
              <w:right w:w="80" w:type="dxa"/>
            </w:tcMar>
            <w:vAlign w:val="center"/>
          </w:tcPr>
          <w:p>
            <w:pPr>
              <w:keepNext w:val="0"/>
              <w:keepLines w:val="0"/>
              <w:pageBreakBefore w:val="0"/>
              <w:widowControl w:val="0"/>
              <w:shd w:val="clear"/>
              <w:kinsoku/>
              <w:wordWrap/>
              <w:overflowPunct/>
              <w:topLinePunct w:val="0"/>
              <w:autoSpaceDE/>
              <w:autoSpaceDN/>
              <w:bidi w:val="0"/>
              <w:adjustRightInd w:val="0"/>
              <w:snapToGrid/>
              <w:spacing w:line="420" w:lineRule="exact"/>
              <w:ind w:left="0" w:leftChars="0" w:right="0" w:rightChars="0"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32%</w:t>
            </w:r>
          </w:p>
        </w:tc>
        <w:tc>
          <w:tcPr>
            <w:tcW w:w="1395" w:type="dxa"/>
            <w:tcBorders>
              <w:bottom w:val="single" w:color="auto" w:sz="4" w:space="0"/>
            </w:tcBorders>
            <w:shd w:val="clear" w:color="auto" w:fill="auto"/>
            <w:tcMar>
              <w:top w:w="80" w:type="dxa"/>
              <w:left w:w="80" w:type="dxa"/>
              <w:bottom w:w="80" w:type="dxa"/>
              <w:right w:w="80" w:type="dxa"/>
            </w:tcMar>
            <w:vAlign w:val="top"/>
          </w:tcPr>
          <w:p>
            <w:pPr>
              <w:shd w:val="clear"/>
              <w:spacing w:line="288"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810"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鲜活畜类（禽蛋）</w:t>
            </w:r>
          </w:p>
        </w:tc>
        <w:tc>
          <w:tcPr>
            <w:tcW w:w="1423"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9"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810"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肉类</w:t>
            </w:r>
          </w:p>
        </w:tc>
        <w:tc>
          <w:tcPr>
            <w:tcW w:w="1423"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21%</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810"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冷冻类</w:t>
            </w:r>
          </w:p>
        </w:tc>
        <w:tc>
          <w:tcPr>
            <w:tcW w:w="1423"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2"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810"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鲜活水产品</w:t>
            </w:r>
          </w:p>
        </w:tc>
        <w:tc>
          <w:tcPr>
            <w:tcW w:w="1423"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6%</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4"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810" w:type="dxa"/>
            <w:shd w:val="clear" w:color="auto" w:fill="auto"/>
            <w:vAlign w:val="center"/>
          </w:tcPr>
          <w:p>
            <w:pPr>
              <w:pStyle w:val="963"/>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SA"/>
              </w:rPr>
              <w:t>调味品类</w:t>
            </w:r>
          </w:p>
        </w:tc>
        <w:tc>
          <w:tcPr>
            <w:tcW w:w="1423"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shd w:val="clear"/>
              <w:spacing w:line="42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4" w:hRule="atLeast"/>
          <w:jc w:val="center"/>
        </w:trPr>
        <w:tc>
          <w:tcPr>
            <w:tcW w:w="873" w:type="dxa"/>
            <w:vMerge w:val="continue"/>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651" w:type="dxa"/>
            <w:vMerge w:val="continue"/>
            <w:tcBorders>
              <w:right w:val="single" w:color="auto" w:sz="4" w:space="0"/>
            </w:tcBorders>
            <w:shd w:val="clear" w:color="auto" w:fill="auto"/>
            <w:tcMar>
              <w:top w:w="80" w:type="dxa"/>
              <w:left w:w="80" w:type="dxa"/>
              <w:bottom w:w="80" w:type="dxa"/>
              <w:right w:w="80" w:type="dxa"/>
            </w:tcMar>
            <w:vAlign w:val="center"/>
          </w:tcPr>
          <w:p>
            <w:pPr>
              <w:pStyle w:val="876"/>
              <w:shd w:val="clear"/>
              <w:spacing w:line="440" w:lineRule="exact"/>
              <w:ind w:firstLine="120"/>
              <w:jc w:val="center"/>
              <w:rPr>
                <w:rStyle w:val="969"/>
                <w:rFonts w:hint="eastAsia" w:ascii="仿宋" w:hAnsi="仿宋" w:eastAsia="仿宋" w:cs="仿宋"/>
                <w:b/>
                <w:color w:val="auto"/>
                <w:kern w:val="0"/>
                <w:sz w:val="24"/>
                <w:szCs w:val="24"/>
                <w:highlight w:val="none"/>
                <w:lang w:val="zh-TW" w:eastAsia="zh-TW"/>
              </w:rPr>
            </w:pPr>
          </w:p>
        </w:tc>
        <w:tc>
          <w:tcPr>
            <w:tcW w:w="1810" w:type="dxa"/>
            <w:shd w:val="clear" w:color="auto" w:fill="auto"/>
            <w:vAlign w:val="top"/>
          </w:tcPr>
          <w:p>
            <w:pPr>
              <w:shd w:val="clea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大米</w:t>
            </w:r>
            <w:r>
              <w:rPr>
                <w:rFonts w:hint="eastAsia" w:ascii="仿宋" w:hAnsi="仿宋" w:eastAsia="仿宋" w:cs="仿宋"/>
                <w:color w:val="auto"/>
                <w:sz w:val="24"/>
                <w:szCs w:val="24"/>
                <w:highlight w:val="none"/>
              </w:rPr>
              <w:t>粮油类</w:t>
            </w:r>
          </w:p>
        </w:tc>
        <w:tc>
          <w:tcPr>
            <w:tcW w:w="1423"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pStyle w:val="876"/>
              <w:shd w:val="clear"/>
              <w:spacing w:line="440" w:lineRule="exact"/>
              <w:jc w:val="left"/>
              <w:rPr>
                <w:rFonts w:hint="eastAsia" w:ascii="仿宋" w:hAnsi="仿宋" w:eastAsia="仿宋" w:cs="仿宋"/>
                <w:b/>
                <w:color w:val="auto"/>
                <w:kern w:val="0"/>
                <w:sz w:val="24"/>
                <w:szCs w:val="24"/>
                <w:highlight w:val="none"/>
              </w:rPr>
            </w:pPr>
          </w:p>
        </w:tc>
        <w:tc>
          <w:tcPr>
            <w:tcW w:w="1335" w:type="dxa"/>
            <w:tcBorders>
              <w:top w:val="single" w:color="auto" w:sz="4" w:space="0"/>
              <w:bottom w:val="single" w:color="auto" w:sz="4" w:space="0"/>
            </w:tcBorders>
            <w:shd w:val="clear" w:color="auto" w:fill="auto"/>
            <w:tcMar>
              <w:top w:w="80" w:type="dxa"/>
              <w:left w:w="80" w:type="dxa"/>
              <w:bottom w:w="80" w:type="dxa"/>
              <w:right w:w="80" w:type="dxa"/>
            </w:tcMar>
            <w:vAlign w:val="center"/>
          </w:tcPr>
          <w:p>
            <w:pPr>
              <w:shd w:val="clea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p>
        </w:tc>
        <w:tc>
          <w:tcPr>
            <w:tcW w:w="1395" w:type="dxa"/>
            <w:tcBorders>
              <w:top w:val="single" w:color="auto" w:sz="4" w:space="0"/>
              <w:bottom w:val="single" w:color="auto" w:sz="4" w:space="0"/>
            </w:tcBorders>
            <w:shd w:val="clear" w:color="auto" w:fill="auto"/>
            <w:tcMar>
              <w:top w:w="80" w:type="dxa"/>
              <w:left w:w="80" w:type="dxa"/>
              <w:bottom w:w="80" w:type="dxa"/>
              <w:right w:w="80" w:type="dxa"/>
            </w:tcMar>
            <w:vAlign w:val="top"/>
          </w:tcPr>
          <w:p>
            <w:pPr>
              <w:widowControl/>
              <w:shd w:val="clear"/>
              <w:spacing w:line="255"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8" w:hRule="atLeast"/>
          <w:jc w:val="center"/>
        </w:trPr>
        <w:tc>
          <w:tcPr>
            <w:tcW w:w="4334" w:type="dxa"/>
            <w:gridSpan w:val="3"/>
            <w:shd w:val="clear" w:color="auto" w:fill="auto"/>
            <w:vAlign w:val="center"/>
          </w:tcPr>
          <w:p>
            <w:pPr>
              <w:shd w:val="clea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投标下浮率</w:t>
            </w:r>
            <w:r>
              <w:rPr>
                <w:rStyle w:val="969"/>
                <w:rFonts w:hint="eastAsia" w:ascii="仿宋" w:hAnsi="仿宋" w:eastAsia="仿宋" w:cs="仿宋"/>
                <w:b/>
                <w:color w:val="auto"/>
                <w:kern w:val="0"/>
                <w:sz w:val="24"/>
                <w:szCs w:val="24"/>
                <w:highlight w:val="none"/>
                <w:lang w:val="zh-TW" w:eastAsia="zh-TW"/>
              </w:rPr>
              <w:t>（</w:t>
            </w:r>
            <w:r>
              <w:rPr>
                <w:rStyle w:val="969"/>
                <w:rFonts w:hint="eastAsia" w:ascii="仿宋" w:hAnsi="仿宋" w:eastAsia="仿宋" w:cs="仿宋"/>
                <w:b/>
                <w:color w:val="auto"/>
                <w:kern w:val="0"/>
                <w:sz w:val="24"/>
                <w:szCs w:val="24"/>
                <w:highlight w:val="none"/>
                <w:lang w:val="zh-TW"/>
              </w:rPr>
              <w:t>%</w:t>
            </w:r>
            <w:r>
              <w:rPr>
                <w:rStyle w:val="969"/>
                <w:rFonts w:hint="eastAsia" w:ascii="仿宋" w:hAnsi="仿宋" w:eastAsia="仿宋" w:cs="仿宋"/>
                <w:b/>
                <w:color w:val="auto"/>
                <w:kern w:val="0"/>
                <w:sz w:val="24"/>
                <w:szCs w:val="24"/>
                <w:highlight w:val="none"/>
                <w:lang w:val="zh-TW" w:eastAsia="zh-TW"/>
              </w:rPr>
              <w:t>）</w:t>
            </w:r>
          </w:p>
        </w:tc>
        <w:tc>
          <w:tcPr>
            <w:tcW w:w="4153" w:type="dxa"/>
            <w:gridSpan w:val="3"/>
            <w:shd w:val="clear" w:color="auto" w:fill="auto"/>
            <w:vAlign w:val="center"/>
          </w:tcPr>
          <w:p>
            <w:pPr>
              <w:shd w:val="clear"/>
              <w:spacing w:line="440" w:lineRule="exact"/>
              <w:rPr>
                <w:rFonts w:hint="eastAsia" w:ascii="仿宋" w:hAnsi="仿宋" w:eastAsia="仿宋" w:cs="仿宋"/>
                <w:b/>
                <w:color w:val="auto"/>
                <w:sz w:val="24"/>
                <w:szCs w:val="24"/>
                <w:highlight w:val="none"/>
              </w:rPr>
            </w:pPr>
          </w:p>
        </w:tc>
      </w:tr>
    </w:tbl>
    <w:p>
      <w:pPr>
        <w:shd w:val="clear"/>
        <w:snapToGrid w:val="0"/>
        <w:spacing w:line="360" w:lineRule="auto"/>
        <w:ind w:left="480"/>
        <w:rPr>
          <w:rFonts w:hint="eastAsia" w:ascii="仿宋" w:hAnsi="仿宋" w:eastAsia="仿宋" w:cs="仿宋"/>
          <w:b/>
          <w:color w:val="auto"/>
          <w:kern w:val="0"/>
          <w:sz w:val="24"/>
          <w:highlight w:val="none"/>
          <w:lang w:val="zh-CN"/>
        </w:rPr>
      </w:pPr>
    </w:p>
    <w:p>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lang w:val="zh-CN"/>
        </w:rPr>
        <w:t>采购单位将根据以上附表中的报价下浮率与中标单位进行结算。如中标单位不遵守此项规则，采购单位在沟通无果的情况下有权立即终止合同，并由中标单位承担期间产生的全部费用。</w:t>
      </w:r>
    </w:p>
    <w:p>
      <w:pPr>
        <w:shd w:val="clear"/>
        <w:snapToGrid w:val="0"/>
        <w:spacing w:line="360" w:lineRule="auto"/>
        <w:ind w:firstLine="480" w:firstLineChars="20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2.投标下浮率=∑（每一项的下浮率*权重）</w:t>
      </w:r>
    </w:p>
    <w:p>
      <w:pPr>
        <w:pStyle w:val="691"/>
        <w:keepNext w:val="0"/>
        <w:pageBreakBefore w:val="0"/>
        <w:shd w:val="clear"/>
        <w:tabs>
          <w:tab w:val="clear" w:pos="720"/>
        </w:tabs>
        <w:snapToGrid w:val="0"/>
        <w:spacing w:before="120" w:after="120"/>
        <w:ind w:firstLine="482" w:firstLineChars="200"/>
        <w:jc w:val="left"/>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0"/>
          <w:sz w:val="24"/>
          <w:highlight w:val="none"/>
          <w:lang w:val="en-US" w:eastAsia="zh-CN"/>
        </w:rPr>
        <w:t>3.投标报价=上限价*（1-投标下浮率）</w:t>
      </w:r>
      <w:r>
        <w:rPr>
          <w:rFonts w:hint="eastAsia" w:ascii="仿宋" w:hAnsi="仿宋" w:eastAsia="仿宋" w:cs="仿宋"/>
          <w:color w:val="auto"/>
          <w:kern w:val="2"/>
          <w:sz w:val="32"/>
          <w:szCs w:val="32"/>
          <w:highlight w:val="none"/>
        </w:rPr>
        <w:br w:type="page"/>
      </w:r>
    </w:p>
    <w:p>
      <w:pPr>
        <w:pStyle w:val="691"/>
        <w:keepNext w:val="0"/>
        <w:pageBreakBefore w:val="0"/>
        <w:shd w:val="clear"/>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pPr>
        <w:widowControl/>
        <w:shd w:val="clear"/>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shd w:val="clear"/>
        <w:rPr>
          <w:rFonts w:ascii="仿宋" w:hAnsi="仿宋" w:eastAsia="仿宋" w:cs="仿宋"/>
          <w:b/>
          <w:color w:val="auto"/>
          <w:highlight w:val="none"/>
        </w:rPr>
      </w:pPr>
    </w:p>
    <w:p>
      <w:pPr>
        <w:pStyle w:val="80"/>
        <w:shd w:val="clear"/>
        <w:rPr>
          <w:rFonts w:ascii="仿宋" w:hAnsi="仿宋" w:eastAsia="仿宋" w:cs="仿宋"/>
          <w:b/>
          <w:color w:val="auto"/>
          <w:sz w:val="24"/>
          <w:highlight w:val="none"/>
        </w:rPr>
      </w:pPr>
    </w:p>
    <w:p>
      <w:pPr>
        <w:shd w:val="clear"/>
        <w:rPr>
          <w:rFonts w:ascii="仿宋" w:hAnsi="仿宋" w:eastAsia="仿宋" w:cs="仿宋"/>
          <w:b/>
          <w:color w:val="auto"/>
          <w:sz w:val="24"/>
          <w:highlight w:val="none"/>
        </w:rPr>
      </w:pPr>
    </w:p>
    <w:p>
      <w:pPr>
        <w:pStyle w:val="79"/>
        <w:shd w:val="clear"/>
        <w:rPr>
          <w:rFonts w:ascii="仿宋" w:hAnsi="仿宋" w:eastAsia="仿宋" w:cs="仿宋"/>
          <w:b/>
          <w:color w:val="auto"/>
          <w:highlight w:val="none"/>
        </w:rPr>
      </w:pPr>
    </w:p>
    <w:p>
      <w:pPr>
        <w:pStyle w:val="80"/>
        <w:shd w:val="clear"/>
        <w:rPr>
          <w:rFonts w:ascii="仿宋" w:hAnsi="仿宋" w:eastAsia="仿宋" w:cs="仿宋"/>
          <w:b/>
          <w:color w:val="auto"/>
          <w:sz w:val="24"/>
          <w:highlight w:val="none"/>
        </w:rPr>
      </w:pPr>
    </w:p>
    <w:p>
      <w:pPr>
        <w:shd w:val="clear"/>
        <w:rPr>
          <w:color w:val="auto"/>
          <w:highlight w:val="none"/>
        </w:rPr>
      </w:pPr>
    </w:p>
    <w:p>
      <w:pPr>
        <w:widowControl/>
        <w:shd w:val="clear"/>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pPr>
        <w:pStyle w:val="2"/>
        <w:widowControl/>
        <w:shd w:val="clear"/>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pPr>
        <w:pStyle w:val="691"/>
        <w:keepNext w:val="0"/>
        <w:pageBreakBefore w:val="0"/>
        <w:shd w:val="clear"/>
        <w:tabs>
          <w:tab w:val="clear" w:pos="720"/>
        </w:tabs>
        <w:snapToGrid w:val="0"/>
        <w:spacing w:before="120" w:after="120"/>
        <w:ind w:firstLine="643"/>
        <w:outlineLvl w:val="9"/>
        <w:rPr>
          <w:rFonts w:ascii="仿宋" w:hAnsi="仿宋" w:eastAsia="仿宋" w:cs="仿宋"/>
          <w:b w:val="0"/>
          <w:color w:val="auto"/>
          <w:sz w:val="32"/>
          <w:szCs w:val="32"/>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shd w:val="clear"/>
        <w:spacing w:line="360" w:lineRule="auto"/>
        <w:ind w:right="420" w:firstLine="3614" w:firstLineChars="1000"/>
        <w:rPr>
          <w:rFonts w:ascii="仿宋" w:hAnsi="仿宋" w:eastAsia="仿宋" w:cs="仿宋"/>
          <w:b/>
          <w:color w:val="auto"/>
          <w:kern w:val="0"/>
          <w:sz w:val="36"/>
          <w:szCs w:val="36"/>
          <w:highlight w:val="none"/>
        </w:rPr>
      </w:pPr>
    </w:p>
    <w:p>
      <w:pPr>
        <w:pStyle w:val="4"/>
        <w:keepNext w:val="0"/>
        <w:keepLines w:val="0"/>
        <w:pageBreakBefore/>
        <w:widowControl/>
        <w:shd w:val="clear"/>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hd w:val="clea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pPr>
        <w:shd w:val="clear"/>
        <w:snapToGrid w:val="0"/>
        <w:spacing w:line="360" w:lineRule="auto"/>
        <w:rPr>
          <w:rFonts w:ascii="仿宋" w:hAnsi="仿宋" w:eastAsia="仿宋" w:cs="仿宋"/>
          <w:color w:val="auto"/>
          <w:sz w:val="24"/>
          <w:highlight w:val="none"/>
        </w:rPr>
      </w:pP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pPr>
        <w:shd w:val="clear"/>
        <w:snapToGrid w:val="0"/>
        <w:spacing w:line="360" w:lineRule="auto"/>
        <w:rPr>
          <w:rFonts w:ascii="仿宋" w:hAnsi="仿宋" w:eastAsia="仿宋" w:cs="仿宋"/>
          <w:color w:val="auto"/>
          <w:sz w:val="24"/>
          <w:highlight w:val="none"/>
          <w:u w:val="dotted"/>
        </w:rPr>
      </w:pP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hd w:val="clear"/>
        <w:spacing w:line="360" w:lineRule="auto"/>
        <w:jc w:val="center"/>
        <w:rPr>
          <w:rFonts w:ascii="仿宋" w:hAnsi="仿宋" w:eastAsia="仿宋" w:cs="仿宋"/>
          <w:b/>
          <w:bCs/>
          <w:color w:val="auto"/>
          <w:sz w:val="24"/>
          <w:highlight w:val="none"/>
        </w:rPr>
      </w:pP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hd w:val="clear"/>
        <w:spacing w:line="360" w:lineRule="auto"/>
        <w:ind w:firstLine="600" w:firstLineChars="200"/>
        <w:jc w:val="left"/>
        <w:rPr>
          <w:rFonts w:ascii="仿宋" w:hAnsi="仿宋" w:eastAsia="仿宋" w:cs="仿宋"/>
          <w:color w:val="auto"/>
          <w:sz w:val="30"/>
          <w:szCs w:val="30"/>
          <w:highlight w:val="none"/>
        </w:rPr>
      </w:pPr>
    </w:p>
    <w:p>
      <w:pPr>
        <w:shd w:val="clear"/>
        <w:spacing w:line="360" w:lineRule="auto"/>
        <w:jc w:val="center"/>
        <w:rPr>
          <w:rFonts w:ascii="仿宋" w:hAnsi="仿宋" w:eastAsia="仿宋" w:cs="仿宋"/>
          <w:b/>
          <w:color w:val="auto"/>
          <w:spacing w:val="6"/>
          <w:sz w:val="32"/>
          <w:szCs w:val="32"/>
          <w:highlight w:val="none"/>
        </w:rPr>
      </w:pPr>
    </w:p>
    <w:p>
      <w:pPr>
        <w:shd w:val="clear"/>
        <w:spacing w:line="360" w:lineRule="auto"/>
        <w:jc w:val="center"/>
        <w:rPr>
          <w:rFonts w:ascii="仿宋" w:hAnsi="仿宋" w:eastAsia="仿宋" w:cs="仿宋"/>
          <w:b/>
          <w:color w:val="auto"/>
          <w:spacing w:val="6"/>
          <w:sz w:val="32"/>
          <w:szCs w:val="32"/>
          <w:highlight w:val="none"/>
        </w:rPr>
      </w:pPr>
    </w:p>
    <w:p>
      <w:pPr>
        <w:shd w:val="clear"/>
        <w:spacing w:line="360" w:lineRule="auto"/>
        <w:jc w:val="center"/>
        <w:rPr>
          <w:rFonts w:ascii="仿宋" w:hAnsi="仿宋" w:eastAsia="仿宋" w:cs="仿宋"/>
          <w:b/>
          <w:color w:val="auto"/>
          <w:spacing w:val="6"/>
          <w:sz w:val="32"/>
          <w:szCs w:val="32"/>
          <w:highlight w:val="none"/>
        </w:rPr>
      </w:pPr>
    </w:p>
    <w:p>
      <w:pPr>
        <w:shd w:val="clear"/>
        <w:spacing w:line="360" w:lineRule="auto"/>
        <w:jc w:val="center"/>
        <w:rPr>
          <w:rFonts w:ascii="仿宋" w:hAnsi="仿宋" w:eastAsia="仿宋" w:cs="仿宋"/>
          <w:b/>
          <w:color w:val="auto"/>
          <w:spacing w:val="6"/>
          <w:sz w:val="32"/>
          <w:szCs w:val="32"/>
          <w:highlight w:val="none"/>
        </w:rPr>
      </w:pPr>
    </w:p>
    <w:p>
      <w:pPr>
        <w:shd w:val="clear"/>
        <w:spacing w:line="360" w:lineRule="auto"/>
        <w:jc w:val="center"/>
        <w:rPr>
          <w:rFonts w:ascii="仿宋" w:hAnsi="仿宋" w:eastAsia="仿宋" w:cs="仿宋"/>
          <w:b/>
          <w:color w:val="auto"/>
          <w:spacing w:val="6"/>
          <w:sz w:val="32"/>
          <w:szCs w:val="32"/>
          <w:highlight w:val="none"/>
        </w:rPr>
      </w:pPr>
    </w:p>
    <w:p>
      <w:pPr>
        <w:shd w:val="clear"/>
        <w:spacing w:line="360" w:lineRule="auto"/>
        <w:jc w:val="center"/>
        <w:rPr>
          <w:rFonts w:ascii="仿宋" w:hAnsi="仿宋" w:eastAsia="仿宋" w:cs="仿宋"/>
          <w:b/>
          <w:color w:val="auto"/>
          <w:spacing w:val="6"/>
          <w:sz w:val="32"/>
          <w:szCs w:val="32"/>
          <w:highlight w:val="none"/>
        </w:rPr>
      </w:pPr>
    </w:p>
    <w:p>
      <w:pPr>
        <w:shd w:val="clear"/>
        <w:spacing w:line="360" w:lineRule="auto"/>
        <w:jc w:val="center"/>
        <w:rPr>
          <w:rFonts w:ascii="仿宋" w:hAnsi="仿宋" w:eastAsia="仿宋" w:cs="仿宋"/>
          <w:b/>
          <w:color w:val="auto"/>
          <w:spacing w:val="6"/>
          <w:sz w:val="32"/>
          <w:szCs w:val="32"/>
          <w:highlight w:val="none"/>
        </w:rPr>
      </w:pPr>
    </w:p>
    <w:p>
      <w:pPr>
        <w:shd w:val="clear"/>
        <w:spacing w:line="360" w:lineRule="auto"/>
        <w:jc w:val="left"/>
        <w:rPr>
          <w:rFonts w:ascii="仿宋" w:hAnsi="仿宋" w:eastAsia="仿宋" w:cs="仿宋"/>
          <w:b/>
          <w:color w:val="auto"/>
          <w:spacing w:val="6"/>
          <w:sz w:val="32"/>
          <w:szCs w:val="32"/>
          <w:highlight w:val="none"/>
        </w:rPr>
      </w:pPr>
    </w:p>
    <w:p>
      <w:pPr>
        <w:shd w:val="clear"/>
        <w:spacing w:line="360" w:lineRule="auto"/>
        <w:jc w:val="left"/>
        <w:rPr>
          <w:rFonts w:ascii="仿宋" w:hAnsi="仿宋" w:eastAsia="仿宋" w:cs="仿宋"/>
          <w:b/>
          <w:color w:val="auto"/>
          <w:spacing w:val="6"/>
          <w:sz w:val="32"/>
          <w:szCs w:val="32"/>
          <w:highlight w:val="none"/>
        </w:rPr>
      </w:pPr>
    </w:p>
    <w:p>
      <w:pPr>
        <w:shd w:val="clear"/>
        <w:spacing w:line="360" w:lineRule="auto"/>
        <w:jc w:val="left"/>
        <w:rPr>
          <w:rFonts w:ascii="仿宋" w:hAnsi="仿宋" w:eastAsia="仿宋" w:cs="仿宋"/>
          <w:b/>
          <w:color w:val="auto"/>
          <w:spacing w:val="6"/>
          <w:sz w:val="32"/>
          <w:szCs w:val="32"/>
          <w:highlight w:val="none"/>
        </w:rPr>
      </w:pPr>
    </w:p>
    <w:p>
      <w:pPr>
        <w:shd w:val="clear"/>
        <w:spacing w:line="360" w:lineRule="auto"/>
        <w:jc w:val="left"/>
        <w:rPr>
          <w:rFonts w:ascii="仿宋" w:hAnsi="仿宋" w:eastAsia="仿宋" w:cs="仿宋"/>
          <w:b/>
          <w:color w:val="auto"/>
          <w:spacing w:val="6"/>
          <w:sz w:val="32"/>
          <w:szCs w:val="32"/>
          <w:highlight w:val="none"/>
        </w:rPr>
      </w:pPr>
    </w:p>
    <w:p>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hd w:val="clear"/>
        <w:spacing w:line="360" w:lineRule="auto"/>
        <w:jc w:val="center"/>
        <w:rPr>
          <w:rFonts w:ascii="仿宋" w:hAnsi="仿宋" w:eastAsia="仿宋" w:cs="仿宋"/>
          <w:b/>
          <w:color w:val="auto"/>
          <w:sz w:val="24"/>
          <w:highlight w:val="none"/>
        </w:rPr>
      </w:pPr>
    </w:p>
    <w:p>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hd w:val="clea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pPr>
        <w:shd w:val="clea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hd w:val="clea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pPr>
        <w:shd w:val="clear"/>
        <w:spacing w:line="360" w:lineRule="auto"/>
        <w:rPr>
          <w:rFonts w:ascii="仿宋" w:hAnsi="仿宋" w:eastAsia="仿宋" w:cs="仿宋"/>
          <w:color w:val="auto"/>
          <w:sz w:val="24"/>
          <w:highlight w:val="none"/>
          <w:u w:val="dotted"/>
        </w:rPr>
      </w:pP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pPr>
        <w:shd w:val="clear"/>
        <w:spacing w:line="360" w:lineRule="auto"/>
        <w:rPr>
          <w:rFonts w:ascii="仿宋" w:hAnsi="仿宋" w:eastAsia="仿宋" w:cs="仿宋"/>
          <w:color w:val="auto"/>
          <w:sz w:val="24"/>
          <w:highlight w:val="none"/>
          <w:u w:val="dotted"/>
        </w:rPr>
      </w:pPr>
    </w:p>
    <w:p>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pPr>
        <w:shd w:val="clear"/>
        <w:spacing w:line="360" w:lineRule="auto"/>
        <w:rPr>
          <w:rFonts w:ascii="仿宋" w:hAnsi="仿宋" w:eastAsia="仿宋" w:cs="仿宋"/>
          <w:color w:val="auto"/>
          <w:sz w:val="24"/>
          <w:highlight w:val="none"/>
          <w:u w:val="dotted"/>
        </w:rPr>
      </w:pP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pPr>
        <w:shd w:val="clear"/>
        <w:spacing w:line="360" w:lineRule="auto"/>
        <w:rPr>
          <w:rFonts w:ascii="仿宋" w:hAnsi="仿宋" w:eastAsia="仿宋" w:cs="仿宋"/>
          <w:color w:val="auto"/>
          <w:sz w:val="24"/>
          <w:highlight w:val="none"/>
          <w:u w:val="single"/>
        </w:rPr>
      </w:pP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p>
    <w:p>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hd w:val="clea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hd w:val="clear"/>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hd w:val="clear"/>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hd w:val="clear"/>
        <w:spacing w:line="360" w:lineRule="auto"/>
        <w:rPr>
          <w:rFonts w:ascii="仿宋" w:hAnsi="仿宋" w:eastAsia="仿宋" w:cs="仿宋"/>
          <w:b/>
          <w:color w:val="auto"/>
          <w:sz w:val="24"/>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hd w:val="clear"/>
        <w:spacing w:line="360" w:lineRule="auto"/>
        <w:rPr>
          <w:rFonts w:ascii="仿宋" w:hAnsi="仿宋" w:eastAsia="仿宋" w:cs="仿宋"/>
          <w:color w:val="auto"/>
          <w:sz w:val="24"/>
          <w:highlight w:val="none"/>
          <w:u w:val="single"/>
        </w:rPr>
      </w:pP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hd w:val="clear"/>
        <w:spacing w:line="360" w:lineRule="auto"/>
        <w:ind w:firstLine="494"/>
        <w:rPr>
          <w:rFonts w:ascii="仿宋" w:hAnsi="仿宋" w:eastAsia="仿宋" w:cs="仿宋"/>
          <w:color w:val="auto"/>
          <w:sz w:val="24"/>
          <w:highlight w:val="none"/>
        </w:rPr>
      </w:pPr>
    </w:p>
    <w:p>
      <w:pPr>
        <w:shd w:val="clear"/>
        <w:spacing w:line="360" w:lineRule="auto"/>
        <w:ind w:firstLine="494"/>
        <w:rPr>
          <w:rFonts w:ascii="仿宋" w:hAnsi="仿宋" w:eastAsia="仿宋" w:cs="仿宋"/>
          <w:color w:val="auto"/>
          <w:sz w:val="24"/>
          <w:highlight w:val="none"/>
        </w:rPr>
      </w:pPr>
    </w:p>
    <w:p>
      <w:pPr>
        <w:shd w:val="clear"/>
        <w:spacing w:line="360" w:lineRule="auto"/>
        <w:ind w:firstLine="494"/>
        <w:rPr>
          <w:rFonts w:ascii="仿宋" w:hAnsi="仿宋" w:eastAsia="仿宋" w:cs="仿宋"/>
          <w:color w:val="auto"/>
          <w:sz w:val="24"/>
          <w:highlight w:val="none"/>
        </w:rPr>
      </w:pPr>
    </w:p>
    <w:p>
      <w:pPr>
        <w:shd w:val="clear"/>
        <w:spacing w:line="360" w:lineRule="auto"/>
        <w:ind w:firstLine="494"/>
        <w:rPr>
          <w:rFonts w:ascii="仿宋" w:hAnsi="仿宋" w:eastAsia="仿宋" w:cs="仿宋"/>
          <w:color w:val="auto"/>
          <w:sz w:val="24"/>
          <w:highlight w:val="none"/>
        </w:rPr>
      </w:pPr>
    </w:p>
    <w:p>
      <w:pPr>
        <w:shd w:val="clea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shd w:val="clea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hd w:val="clea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c/4wdgAAAAKAQAADwAAAAAAAAAB&#10;ACAAAAAiAAAAZHJzL2Rvd25yZXYueG1sUEsBAhQAFAAAAAgAh07iQFfUPJLXAQAA2gMAAA4AAAAA&#10;AAAAAQAgAAAAJwEAAGRycy9lMm9Eb2MueG1sUEsFBgAAAAAGAAYAWQEAAHAFA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dOwWNgAAAAKAQAADwAAAAAAAAAB&#10;ACAAAAAiAAAAZHJzL2Rvd25yZXYueG1sUEsBAhQAFAAAAAgAh07iQLV7Ve3XAQAA2gMAAA4AAAAA&#10;AAAAAQAgAAAAJwEAAGRycy9lMm9Eb2MueG1sUEsFBgAAAAAGAAYAWQEAAHA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hd w:val="clea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64" w:name="_Hlk101131882"/>
      <w:r>
        <w:rPr>
          <w:rFonts w:hint="eastAsia" w:ascii="仿宋" w:hAnsi="仿宋" w:eastAsia="仿宋" w:cs="仿宋"/>
          <w:color w:val="auto"/>
          <w:kern w:val="0"/>
          <w:sz w:val="24"/>
          <w:highlight w:val="none"/>
          <w:u w:val="single"/>
        </w:rPr>
        <w:t>联合体成员X,……</w:t>
      </w:r>
      <w:bookmarkEnd w:id="64"/>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b/>
          <w:color w:val="auto"/>
          <w:kern w:val="0"/>
          <w:sz w:val="24"/>
          <w:highlight w:val="none"/>
          <w:lang w:val="zh-CN"/>
        </w:rPr>
        <w:t>（</w:t>
      </w:r>
      <w:bookmarkStart w:id="65"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65"/>
      <w:r>
        <w:rPr>
          <w:rFonts w:hint="eastAsia" w:ascii="仿宋" w:hAnsi="仿宋" w:eastAsia="仿宋" w:cs="仿宋"/>
          <w:b/>
          <w:color w:val="auto"/>
          <w:kern w:val="0"/>
          <w:sz w:val="24"/>
          <w:highlight w:val="none"/>
          <w:lang w:val="zh-CN"/>
        </w:rPr>
        <w:t>）</w:t>
      </w:r>
    </w:p>
    <w:p>
      <w:pPr>
        <w:shd w:val="clea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6"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66"/>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hd w:val="clea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hd w:val="clea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hd w:val="clea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hd w:val="clea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snapToGrid w:val="0"/>
        <w:spacing w:line="360" w:lineRule="auto"/>
        <w:ind w:firstLine="3666" w:firstLineChars="1100"/>
        <w:rPr>
          <w:rFonts w:ascii="仿宋" w:hAnsi="仿宋" w:eastAsia="仿宋" w:cs="仿宋"/>
          <w:b/>
          <w:color w:val="auto"/>
          <w:spacing w:val="6"/>
          <w:sz w:val="32"/>
          <w:szCs w:val="32"/>
          <w:highlight w:val="none"/>
        </w:rPr>
      </w:pPr>
    </w:p>
    <w:p>
      <w:pPr>
        <w:widowControl/>
        <w:shd w:val="clear"/>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hd w:val="clear"/>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shd w:val="clear"/>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hd w:val="clear"/>
        <w:spacing w:line="440" w:lineRule="exact"/>
        <w:rPr>
          <w:rFonts w:ascii="仿宋" w:hAnsi="仿宋" w:eastAsia="仿宋" w:cs="仿宋"/>
          <w:color w:val="auto"/>
          <w:highlight w:val="none"/>
        </w:rPr>
      </w:pP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hd w:val="clea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w:t>
      </w:r>
      <w:r>
        <w:rPr>
          <w:rFonts w:ascii="仿宋" w:hAnsi="仿宋" w:eastAsia="仿宋" w:cs="仿宋"/>
          <w:color w:val="auto"/>
          <w:kern w:val="0"/>
          <w:sz w:val="24"/>
          <w:highlight w:val="none"/>
          <w:u w:val="single"/>
        </w:rPr>
        <w:t>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hd w:val="clea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hd w:val="clear"/>
        <w:snapToGrid w:val="0"/>
        <w:spacing w:line="440" w:lineRule="exact"/>
        <w:ind w:firstLine="576"/>
        <w:rPr>
          <w:rFonts w:ascii="仿宋" w:hAnsi="仿宋" w:eastAsia="仿宋" w:cs="仿宋"/>
          <w:color w:val="auto"/>
          <w:highlight w:val="none"/>
          <w:u w:val="single"/>
        </w:rPr>
      </w:pP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hd w:val="clear"/>
        <w:snapToGrid w:val="0"/>
        <w:spacing w:line="440" w:lineRule="exact"/>
        <w:ind w:firstLine="576"/>
        <w:rPr>
          <w:rFonts w:ascii="仿宋" w:hAnsi="仿宋" w:eastAsia="仿宋" w:cs="仿宋"/>
          <w:color w:val="auto"/>
          <w:kern w:val="0"/>
          <w:sz w:val="24"/>
          <w:highlight w:val="none"/>
          <w:lang w:val="zh-CN"/>
        </w:rPr>
      </w:pP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hd w:val="clear"/>
        <w:snapToGrid w:val="0"/>
        <w:spacing w:line="440" w:lineRule="exact"/>
        <w:ind w:firstLine="525" w:firstLineChars="250"/>
        <w:rPr>
          <w:rFonts w:ascii="仿宋" w:hAnsi="仿宋" w:eastAsia="仿宋" w:cs="仿宋"/>
          <w:color w:val="auto"/>
          <w:highlight w:val="none"/>
          <w:u w:val="single"/>
        </w:rPr>
      </w:pPr>
    </w:p>
    <w:p>
      <w:pPr>
        <w:shd w:val="clea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hd w:val="clear"/>
        <w:snapToGrid w:val="0"/>
        <w:spacing w:line="440" w:lineRule="exact"/>
        <w:ind w:firstLine="576"/>
        <w:rPr>
          <w:rFonts w:ascii="仿宋" w:hAnsi="仿宋" w:eastAsia="仿宋" w:cs="仿宋"/>
          <w:color w:val="auto"/>
          <w:kern w:val="0"/>
          <w:sz w:val="24"/>
          <w:highlight w:val="none"/>
          <w:lang w:val="zh-CN"/>
        </w:rPr>
      </w:pP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hd w:val="clear"/>
        <w:snapToGrid w:val="0"/>
        <w:spacing w:line="440" w:lineRule="exact"/>
        <w:ind w:firstLine="576"/>
        <w:rPr>
          <w:rFonts w:ascii="仿宋" w:hAnsi="仿宋" w:eastAsia="仿宋" w:cs="仿宋"/>
          <w:color w:val="auto"/>
          <w:kern w:val="0"/>
          <w:sz w:val="24"/>
          <w:highlight w:val="none"/>
          <w:lang w:val="zh-CN"/>
        </w:rPr>
      </w:pPr>
    </w:p>
    <w:p>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hd w:val="clea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pPr>
        <w:shd w:val="clea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hd w:val="clea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hd w:val="clea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pStyle w:val="79"/>
        <w:shd w:val="clear"/>
        <w:rPr>
          <w:rFonts w:ascii="仿宋" w:hAnsi="仿宋" w:eastAsia="仿宋" w:cs="仿宋"/>
          <w:b/>
          <w:color w:val="auto"/>
          <w:spacing w:val="6"/>
          <w:sz w:val="32"/>
          <w:szCs w:val="32"/>
          <w:highlight w:val="none"/>
        </w:rPr>
      </w:pPr>
    </w:p>
    <w:p>
      <w:pPr>
        <w:pStyle w:val="80"/>
        <w:shd w:val="clear"/>
        <w:rPr>
          <w:rFonts w:ascii="仿宋" w:hAnsi="仿宋" w:eastAsia="仿宋" w:cs="仿宋"/>
          <w:b/>
          <w:color w:val="auto"/>
          <w:spacing w:val="6"/>
          <w:sz w:val="32"/>
          <w:szCs w:val="32"/>
          <w:highlight w:val="none"/>
        </w:rPr>
      </w:pPr>
    </w:p>
    <w:p>
      <w:pPr>
        <w:shd w:val="clear"/>
        <w:rPr>
          <w:rFonts w:ascii="仿宋" w:hAnsi="仿宋" w:eastAsia="仿宋" w:cs="仿宋"/>
          <w:b/>
          <w:color w:val="auto"/>
          <w:spacing w:val="6"/>
          <w:sz w:val="32"/>
          <w:szCs w:val="32"/>
          <w:highlight w:val="none"/>
        </w:rPr>
      </w:pPr>
    </w:p>
    <w:p>
      <w:pPr>
        <w:pStyle w:val="79"/>
        <w:shd w:val="clear"/>
        <w:rPr>
          <w:rFonts w:ascii="仿宋" w:hAnsi="仿宋" w:eastAsia="仿宋" w:cs="仿宋"/>
          <w:b/>
          <w:color w:val="auto"/>
          <w:spacing w:val="6"/>
          <w:sz w:val="32"/>
          <w:szCs w:val="32"/>
          <w:highlight w:val="none"/>
        </w:rPr>
      </w:pPr>
    </w:p>
    <w:p>
      <w:pPr>
        <w:pStyle w:val="80"/>
        <w:shd w:val="clear"/>
        <w:rPr>
          <w:rFonts w:ascii="仿宋" w:hAnsi="仿宋" w:eastAsia="仿宋" w:cs="仿宋"/>
          <w:b/>
          <w:color w:val="auto"/>
          <w:spacing w:val="6"/>
          <w:sz w:val="32"/>
          <w:szCs w:val="32"/>
          <w:highlight w:val="none"/>
        </w:rPr>
      </w:pPr>
    </w:p>
    <w:p>
      <w:pPr>
        <w:shd w:val="clear"/>
        <w:rPr>
          <w:rFonts w:ascii="仿宋" w:hAnsi="仿宋" w:eastAsia="仿宋" w:cs="仿宋"/>
          <w:b/>
          <w:color w:val="auto"/>
          <w:spacing w:val="6"/>
          <w:sz w:val="32"/>
          <w:szCs w:val="32"/>
          <w:highlight w:val="none"/>
        </w:rPr>
      </w:pPr>
    </w:p>
    <w:p>
      <w:pPr>
        <w:pStyle w:val="79"/>
        <w:shd w:val="clear"/>
        <w:rPr>
          <w:rFonts w:ascii="仿宋" w:hAnsi="仿宋" w:eastAsia="仿宋" w:cs="仿宋"/>
          <w:b/>
          <w:color w:val="auto"/>
          <w:spacing w:val="6"/>
          <w:sz w:val="32"/>
          <w:szCs w:val="32"/>
          <w:highlight w:val="none"/>
        </w:rPr>
      </w:pPr>
    </w:p>
    <w:p>
      <w:pPr>
        <w:pStyle w:val="80"/>
        <w:shd w:val="clear"/>
        <w:rPr>
          <w:rFonts w:ascii="仿宋" w:hAnsi="仿宋" w:eastAsia="仿宋" w:cs="仿宋"/>
          <w:b/>
          <w:color w:val="auto"/>
          <w:spacing w:val="6"/>
          <w:sz w:val="32"/>
          <w:szCs w:val="32"/>
          <w:highlight w:val="none"/>
        </w:rPr>
      </w:pPr>
    </w:p>
    <w:p>
      <w:pPr>
        <w:shd w:val="clear"/>
        <w:rPr>
          <w:rFonts w:ascii="仿宋" w:hAnsi="仿宋" w:eastAsia="仿宋" w:cs="仿宋"/>
          <w:b/>
          <w:color w:val="auto"/>
          <w:spacing w:val="6"/>
          <w:sz w:val="32"/>
          <w:szCs w:val="32"/>
          <w:highlight w:val="none"/>
        </w:rPr>
      </w:pPr>
    </w:p>
    <w:p>
      <w:pPr>
        <w:pStyle w:val="79"/>
        <w:shd w:val="clear"/>
        <w:rPr>
          <w:rFonts w:ascii="仿宋" w:hAnsi="仿宋" w:eastAsia="仿宋" w:cs="仿宋"/>
          <w:b/>
          <w:color w:val="auto"/>
          <w:spacing w:val="6"/>
          <w:sz w:val="32"/>
          <w:szCs w:val="32"/>
          <w:highlight w:val="none"/>
        </w:rPr>
      </w:pPr>
    </w:p>
    <w:p>
      <w:pPr>
        <w:pStyle w:val="80"/>
        <w:shd w:val="clear"/>
        <w:rPr>
          <w:rFonts w:ascii="仿宋" w:hAnsi="仿宋" w:eastAsia="仿宋" w:cs="仿宋"/>
          <w:b/>
          <w:color w:val="auto"/>
          <w:spacing w:val="6"/>
          <w:sz w:val="32"/>
          <w:szCs w:val="32"/>
          <w:highlight w:val="none"/>
        </w:rPr>
      </w:pPr>
    </w:p>
    <w:p>
      <w:pPr>
        <w:shd w:val="clear"/>
        <w:rPr>
          <w:rFonts w:ascii="仿宋" w:hAnsi="仿宋" w:eastAsia="仿宋" w:cs="仿宋"/>
          <w:b/>
          <w:color w:val="auto"/>
          <w:spacing w:val="6"/>
          <w:sz w:val="32"/>
          <w:szCs w:val="32"/>
          <w:highlight w:val="none"/>
        </w:rPr>
      </w:pPr>
    </w:p>
    <w:p>
      <w:pPr>
        <w:pStyle w:val="79"/>
        <w:shd w:val="clear"/>
        <w:rPr>
          <w:rFonts w:ascii="仿宋" w:hAnsi="仿宋" w:eastAsia="仿宋" w:cs="仿宋"/>
          <w:b/>
          <w:color w:val="auto"/>
          <w:spacing w:val="6"/>
          <w:sz w:val="32"/>
          <w:szCs w:val="32"/>
          <w:highlight w:val="none"/>
        </w:rPr>
      </w:pPr>
    </w:p>
    <w:p>
      <w:pPr>
        <w:pStyle w:val="80"/>
        <w:shd w:val="clear"/>
        <w:rPr>
          <w:rFonts w:ascii="仿宋" w:hAnsi="仿宋" w:eastAsia="仿宋" w:cs="仿宋"/>
          <w:b/>
          <w:color w:val="auto"/>
          <w:spacing w:val="6"/>
          <w:sz w:val="32"/>
          <w:szCs w:val="32"/>
          <w:highlight w:val="none"/>
        </w:rPr>
      </w:pPr>
    </w:p>
    <w:p>
      <w:pPr>
        <w:shd w:val="clear"/>
        <w:rPr>
          <w:rFonts w:ascii="仿宋" w:hAnsi="仿宋" w:eastAsia="仿宋" w:cs="仿宋"/>
          <w:b/>
          <w:color w:val="auto"/>
          <w:spacing w:val="6"/>
          <w:sz w:val="32"/>
          <w:szCs w:val="32"/>
          <w:highlight w:val="none"/>
        </w:rPr>
      </w:pPr>
    </w:p>
    <w:p>
      <w:pPr>
        <w:pStyle w:val="79"/>
        <w:shd w:val="clear"/>
        <w:rPr>
          <w:rFonts w:ascii="仿宋" w:hAnsi="仿宋" w:eastAsia="仿宋" w:cs="仿宋"/>
          <w:b/>
          <w:color w:val="auto"/>
          <w:spacing w:val="6"/>
          <w:sz w:val="32"/>
          <w:szCs w:val="32"/>
          <w:highlight w:val="none"/>
        </w:rPr>
      </w:pPr>
    </w:p>
    <w:p>
      <w:pPr>
        <w:pStyle w:val="80"/>
        <w:shd w:val="clear"/>
        <w:rPr>
          <w:rFonts w:ascii="仿宋" w:hAnsi="仿宋" w:eastAsia="仿宋" w:cs="仿宋"/>
          <w:b/>
          <w:color w:val="auto"/>
          <w:spacing w:val="6"/>
          <w:sz w:val="32"/>
          <w:szCs w:val="32"/>
          <w:highlight w:val="none"/>
        </w:rPr>
      </w:pPr>
    </w:p>
    <w:p>
      <w:pPr>
        <w:shd w:val="clear"/>
        <w:rPr>
          <w:rFonts w:ascii="仿宋" w:hAnsi="仿宋" w:eastAsia="仿宋" w:cs="仿宋"/>
          <w:b/>
          <w:color w:val="auto"/>
          <w:spacing w:val="6"/>
          <w:sz w:val="32"/>
          <w:szCs w:val="32"/>
          <w:highlight w:val="none"/>
        </w:rPr>
      </w:pPr>
    </w:p>
    <w:p>
      <w:pPr>
        <w:pStyle w:val="79"/>
        <w:shd w:val="clear"/>
        <w:rPr>
          <w:color w:val="auto"/>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spacing w:line="360" w:lineRule="auto"/>
        <w:jc w:val="center"/>
        <w:rPr>
          <w:rFonts w:ascii="仿宋" w:hAnsi="仿宋" w:eastAsia="仿宋" w:cs="仿宋"/>
          <w:b/>
          <w:color w:val="auto"/>
          <w:spacing w:val="6"/>
          <w:sz w:val="32"/>
          <w:szCs w:val="32"/>
          <w:highlight w:val="none"/>
        </w:rPr>
      </w:pPr>
    </w:p>
    <w:p>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67" w:name="OLE_LINK14"/>
      <w:bookmarkStart w:id="68" w:name="OLE_LINK13"/>
      <w:r>
        <w:rPr>
          <w:rFonts w:hint="eastAsia" w:ascii="仿宋" w:hAnsi="仿宋" w:eastAsia="仿宋" w:cs="仿宋"/>
          <w:b/>
          <w:color w:val="auto"/>
          <w:spacing w:val="6"/>
          <w:sz w:val="32"/>
          <w:szCs w:val="32"/>
          <w:highlight w:val="none"/>
        </w:rPr>
        <w:t>残疾人福利性单位声明函</w:t>
      </w:r>
    </w:p>
    <w:bookmarkEnd w:id="67"/>
    <w:bookmarkEnd w:id="68"/>
    <w:p>
      <w:pPr>
        <w:shd w:val="clear"/>
        <w:spacing w:line="360" w:lineRule="auto"/>
        <w:rPr>
          <w:rFonts w:ascii="仿宋" w:hAnsi="仿宋" w:eastAsia="仿宋" w:cs="仿宋"/>
          <w:b/>
          <w:color w:val="auto"/>
          <w:spacing w:val="6"/>
          <w:sz w:val="30"/>
          <w:szCs w:val="30"/>
          <w:highlight w:val="none"/>
        </w:rPr>
      </w:pP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hd w:val="clear"/>
        <w:spacing w:line="360" w:lineRule="auto"/>
        <w:ind w:firstLine="480" w:firstLineChars="200"/>
        <w:rPr>
          <w:rFonts w:ascii="仿宋" w:hAnsi="仿宋" w:eastAsia="仿宋" w:cs="仿宋"/>
          <w:color w:val="auto"/>
          <w:sz w:val="24"/>
          <w:highlight w:val="none"/>
        </w:rPr>
      </w:pPr>
    </w:p>
    <w:p>
      <w:pPr>
        <w:shd w:val="clear"/>
        <w:spacing w:line="360" w:lineRule="auto"/>
        <w:ind w:firstLine="480" w:firstLineChars="200"/>
        <w:rPr>
          <w:rFonts w:ascii="仿宋" w:hAnsi="仿宋" w:eastAsia="仿宋" w:cs="仿宋"/>
          <w:color w:val="auto"/>
          <w:sz w:val="24"/>
          <w:highlight w:val="none"/>
        </w:rPr>
      </w:pPr>
    </w:p>
    <w:p>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shd w:val="clear"/>
        <w:autoSpaceDE w:val="0"/>
        <w:autoSpaceDN w:val="0"/>
        <w:jc w:val="center"/>
        <w:rPr>
          <w:rFonts w:ascii="仿宋" w:hAnsi="仿宋" w:eastAsia="仿宋" w:cs="仿宋"/>
          <w:b/>
          <w:color w:val="auto"/>
          <w:spacing w:val="6"/>
          <w:sz w:val="32"/>
          <w:szCs w:val="32"/>
          <w:highlight w:val="none"/>
        </w:rPr>
      </w:pPr>
    </w:p>
    <w:p>
      <w:pPr>
        <w:pStyle w:val="2"/>
        <w:shd w:val="clear"/>
        <w:rPr>
          <w:rFonts w:ascii="仿宋" w:hAnsi="仿宋" w:eastAsia="仿宋" w:cs="仿宋"/>
          <w:color w:val="auto"/>
          <w:highlight w:val="none"/>
        </w:rPr>
      </w:pPr>
    </w:p>
    <w:p>
      <w:pPr>
        <w:shd w:val="clear"/>
        <w:snapToGrid w:val="0"/>
        <w:spacing w:line="360" w:lineRule="auto"/>
        <w:rPr>
          <w:rFonts w:ascii="仿宋" w:hAnsi="仿宋" w:eastAsia="仿宋" w:cs="仿宋"/>
          <w:b/>
          <w:color w:val="auto"/>
          <w:kern w:val="0"/>
          <w:sz w:val="32"/>
          <w:szCs w:val="32"/>
          <w:highlight w:val="none"/>
        </w:rPr>
      </w:pPr>
    </w:p>
    <w:p>
      <w:pPr>
        <w:shd w:val="clear"/>
        <w:snapToGrid w:val="0"/>
        <w:spacing w:line="360" w:lineRule="auto"/>
        <w:rPr>
          <w:rFonts w:ascii="仿宋" w:hAnsi="仿宋" w:eastAsia="仿宋" w:cs="仿宋"/>
          <w:b/>
          <w:color w:val="auto"/>
          <w:kern w:val="0"/>
          <w:sz w:val="32"/>
          <w:szCs w:val="32"/>
          <w:highlight w:val="none"/>
        </w:rPr>
      </w:pPr>
    </w:p>
    <w:p>
      <w:pPr>
        <w:shd w:val="clear"/>
        <w:snapToGrid w:val="0"/>
        <w:spacing w:line="360" w:lineRule="auto"/>
        <w:rPr>
          <w:rFonts w:ascii="仿宋" w:hAnsi="仿宋" w:eastAsia="仿宋" w:cs="仿宋"/>
          <w:b/>
          <w:color w:val="auto"/>
          <w:kern w:val="0"/>
          <w:sz w:val="32"/>
          <w:szCs w:val="32"/>
          <w:highlight w:val="none"/>
        </w:rPr>
      </w:pPr>
    </w:p>
    <w:p>
      <w:pPr>
        <w:shd w:val="clea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shd w:val="clear"/>
        <w:spacing w:line="360" w:lineRule="auto"/>
        <w:jc w:val="center"/>
        <w:rPr>
          <w:rFonts w:ascii="仿宋" w:hAnsi="仿宋" w:eastAsia="仿宋" w:cs="仿宋"/>
          <w:color w:val="auto"/>
          <w:sz w:val="24"/>
          <w:highlight w:val="none"/>
          <w:u w:val="single"/>
        </w:rPr>
      </w:pPr>
    </w:p>
    <w:p>
      <w:pPr>
        <w:shd w:val="clea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hd w:val="clea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hd w:val="clea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hd w:val="clear"/>
        <w:spacing w:line="360" w:lineRule="auto"/>
        <w:ind w:right="420"/>
        <w:rPr>
          <w:rFonts w:ascii="仿宋" w:hAnsi="仿宋" w:eastAsia="仿宋" w:cs="仿宋"/>
          <w:color w:val="auto"/>
          <w:sz w:val="24"/>
          <w:highlight w:val="none"/>
        </w:rPr>
      </w:pPr>
    </w:p>
    <w:p>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hd w:val="clea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hd w:val="clea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shd w:val="clear"/>
        <w:rPr>
          <w:rFonts w:ascii="仿宋" w:eastAsia="仿宋" w:cs="仿宋"/>
          <w:color w:val="auto"/>
          <w:highlight w:val="none"/>
          <w:lang w:val="en-US"/>
        </w:rPr>
      </w:pPr>
    </w:p>
    <w:p>
      <w:pPr>
        <w:pageBreakBefore/>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
        <w:shd w:val="clear"/>
        <w:rPr>
          <w:color w:val="auto"/>
          <w:highlight w:val="none"/>
          <w:lang w:val="en-US"/>
        </w:rPr>
      </w:pP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shd w:val="clear"/>
        <w:jc w:val="left"/>
        <w:rPr>
          <w:rFonts w:ascii="仿宋" w:hAnsi="仿宋" w:eastAsia="仿宋" w:cs="仿宋"/>
          <w:color w:val="auto"/>
          <w:kern w:val="0"/>
          <w:sz w:val="24"/>
          <w:highlight w:val="none"/>
        </w:rPr>
      </w:pP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72"/>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 w:hAnsi="仿宋" w:eastAsia="仿宋" w:cs="仿宋"/>
                <w:color w:val="auto"/>
                <w:kern w:val="0"/>
                <w:sz w:val="24"/>
                <w:highlight w:val="none"/>
              </w:rPr>
            </w:pP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shd w:val="clear"/>
        <w:jc w:val="left"/>
        <w:rPr>
          <w:rFonts w:ascii="仿宋" w:hAnsi="仿宋" w:eastAsia="仿宋" w:cs="仿宋"/>
          <w:color w:val="auto"/>
          <w:kern w:val="0"/>
          <w:sz w:val="24"/>
          <w:highlight w:val="none"/>
        </w:rPr>
      </w:pPr>
    </w:p>
    <w:p>
      <w:pPr>
        <w:widowControl/>
        <w:shd w:val="clear"/>
        <w:jc w:val="left"/>
        <w:rPr>
          <w:rFonts w:ascii="仿宋" w:hAnsi="仿宋" w:eastAsia="仿宋" w:cs="仿宋"/>
          <w:color w:val="auto"/>
          <w:kern w:val="0"/>
          <w:sz w:val="24"/>
          <w:highlight w:val="none"/>
        </w:rPr>
      </w:pP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shd w:val="clear"/>
        <w:jc w:val="left"/>
        <w:rPr>
          <w:rFonts w:ascii="仿宋" w:hAnsi="仿宋" w:eastAsia="仿宋" w:cs="仿宋"/>
          <w:color w:val="auto"/>
          <w:kern w:val="0"/>
          <w:sz w:val="18"/>
          <w:szCs w:val="18"/>
          <w:highlight w:val="none"/>
        </w:rPr>
      </w:pPr>
    </w:p>
    <w:p>
      <w:pPr>
        <w:widowControl/>
        <w:shd w:val="clear"/>
        <w:jc w:val="left"/>
        <w:rPr>
          <w:rFonts w:ascii="仿宋" w:hAnsi="仿宋" w:eastAsia="仿宋" w:cs="仿宋"/>
          <w:color w:val="auto"/>
          <w:kern w:val="0"/>
          <w:sz w:val="18"/>
          <w:szCs w:val="18"/>
          <w:highlight w:val="none"/>
        </w:rPr>
      </w:pPr>
    </w:p>
    <w:p>
      <w:pPr>
        <w:widowControl/>
        <w:shd w:val="clear"/>
        <w:jc w:val="left"/>
        <w:rPr>
          <w:rFonts w:ascii="仿宋" w:hAnsi="仿宋" w:eastAsia="仿宋" w:cs="仿宋"/>
          <w:color w:val="auto"/>
          <w:kern w:val="0"/>
          <w:sz w:val="18"/>
          <w:szCs w:val="18"/>
          <w:highlight w:val="none"/>
        </w:rPr>
      </w:pPr>
    </w:p>
    <w:p>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72"/>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 w:hAnsi="仿宋" w:eastAsia="仿宋" w:cs="仿宋"/>
                <w:color w:val="auto"/>
                <w:kern w:val="0"/>
                <w:sz w:val="24"/>
                <w:highlight w:val="none"/>
              </w:rPr>
            </w:pPr>
          </w:p>
        </w:tc>
        <w:tc>
          <w:tcPr>
            <w:tcW w:w="1025" w:type="dxa"/>
            <w:vMerge w:val="continue"/>
            <w:vAlign w:val="center"/>
          </w:tcPr>
          <w:p>
            <w:pPr>
              <w:widowControl/>
              <w:shd w:val="clear"/>
              <w:jc w:val="left"/>
              <w:rPr>
                <w:rFonts w:ascii="仿宋" w:hAnsi="仿宋" w:eastAsia="仿宋" w:cs="仿宋"/>
                <w:color w:val="auto"/>
                <w:kern w:val="0"/>
                <w:sz w:val="24"/>
                <w:highlight w:val="none"/>
              </w:rPr>
            </w:pPr>
          </w:p>
        </w:tc>
        <w:tc>
          <w:tcPr>
            <w:tcW w:w="2836" w:type="dxa"/>
            <w:vMerge w:val="continue"/>
            <w:vAlign w:val="center"/>
          </w:tcPr>
          <w:p>
            <w:pPr>
              <w:widowControl/>
              <w:shd w:val="clear"/>
              <w:jc w:val="left"/>
              <w:rPr>
                <w:rFonts w:ascii="仿宋" w:hAnsi="仿宋" w:eastAsia="仿宋" w:cs="仿宋"/>
                <w:color w:val="auto"/>
                <w:kern w:val="0"/>
                <w:sz w:val="24"/>
                <w:highlight w:val="none"/>
              </w:rPr>
            </w:pPr>
          </w:p>
        </w:tc>
        <w:tc>
          <w:tcPr>
            <w:tcW w:w="60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shd w:val="clear"/>
        <w:rPr>
          <w:rFonts w:ascii="仿宋" w:hAnsi="仿宋" w:eastAsia="仿宋" w:cs="仿宋"/>
          <w:color w:val="auto"/>
          <w:sz w:val="24"/>
          <w:highlight w:val="none"/>
        </w:rPr>
      </w:pPr>
    </w:p>
    <w:p>
      <w:pPr>
        <w:shd w:val="clear"/>
        <w:ind w:firstLine="420" w:firstLineChars="200"/>
        <w:rPr>
          <w:rFonts w:ascii="仿宋" w:hAnsi="仿宋" w:eastAsia="仿宋" w:cs="仿宋"/>
          <w:color w:val="auto"/>
          <w:highlight w:val="none"/>
        </w:rPr>
      </w:pPr>
    </w:p>
    <w:p>
      <w:pPr>
        <w:shd w:val="clear"/>
        <w:spacing w:line="360" w:lineRule="auto"/>
        <w:ind w:right="420"/>
        <w:rPr>
          <w:rFonts w:ascii="仿宋" w:hAnsi="仿宋" w:eastAsia="仿宋" w:cs="仿宋"/>
          <w:color w:val="auto"/>
          <w:highlight w:val="none"/>
        </w:rPr>
      </w:pPr>
    </w:p>
    <w:p>
      <w:pPr>
        <w:shd w:val="clea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华文中宋"/>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65"/>
      </w:rPr>
    </w:pPr>
    <w:r>
      <w:fldChar w:fldCharType="begin"/>
    </w:r>
    <w:r>
      <w:rPr>
        <w:rStyle w:val="65"/>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fldChar w:fldCharType="begin"/>
    </w:r>
    <w:r>
      <w:instrText xml:space="preserve"> PAGE   \* MERGEFORMAT </w:instrText>
    </w:r>
    <w:r>
      <w:fldChar w:fldCharType="separate"/>
    </w:r>
    <w:r>
      <w:rPr>
        <w:lang w:val="zh-CN"/>
      </w:rPr>
      <w:t>66</w:t>
    </w:r>
    <w:r>
      <w:rPr>
        <w:lang w:val="zh-CN"/>
      </w:rPr>
      <w:fldChar w:fldCharType="end"/>
    </w:r>
  </w:p>
  <w:p>
    <w:pPr>
      <w:pStyle w:val="41"/>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4"/>
    </w:sdtPr>
    <w:sdtContent>
      <w:p>
        <w:pPr>
          <w:pStyle w:val="41"/>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5"/>
    </w:sdtPr>
    <w:sdtContent>
      <w:p>
        <w:pPr>
          <w:pStyle w:val="41"/>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41"/>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6"/>
    </w:sdtPr>
    <w:sdtContent>
      <w:p>
        <w:pPr>
          <w:pStyle w:val="41"/>
          <w:jc w:val="center"/>
        </w:pPr>
        <w:r>
          <w:fldChar w:fldCharType="begin"/>
        </w:r>
        <w:r>
          <w:instrText xml:space="preserve"> PAGE   \* MERGEFORMAT </w:instrText>
        </w:r>
        <w:r>
          <w:fldChar w:fldCharType="separate"/>
        </w:r>
        <w:r>
          <w:rPr>
            <w:lang w:val="zh-CN"/>
          </w:rPr>
          <w:t>31</w:t>
        </w:r>
        <w:r>
          <w:rPr>
            <w:lang w:val="zh-CN"/>
          </w:rPr>
          <w:fldChar w:fldCharType="end"/>
        </w:r>
      </w:p>
    </w:sdtContent>
  </w:sdt>
  <w:p>
    <w:pPr>
      <w:pStyle w:val="41"/>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02259"/>
    </w:sdtPr>
    <w:sdtContent>
      <w:p>
        <w:pPr>
          <w:pStyle w:val="41"/>
          <w:jc w:val="center"/>
        </w:pPr>
        <w:r>
          <w:fldChar w:fldCharType="begin"/>
        </w:r>
        <w:r>
          <w:instrText xml:space="preserve"> PAGE   \* MERGEFORMAT </w:instrText>
        </w:r>
        <w:r>
          <w:fldChar w:fldCharType="separate"/>
        </w:r>
        <w:r>
          <w:rPr>
            <w:lang w:val="zh-CN"/>
          </w:rPr>
          <w:t>30</w:t>
        </w:r>
        <w:r>
          <w:fldChar w:fldCharType="end"/>
        </w:r>
      </w:p>
    </w:sdtContent>
  </w:sdt>
  <w:p>
    <w:pPr>
      <w:snapToGrid w:val="0"/>
      <w:jc w:val="left"/>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60"/>
    </w:sdtPr>
    <w:sdtContent>
      <w:p>
        <w:pPr>
          <w:pStyle w:val="41"/>
          <w:jc w:val="center"/>
        </w:pPr>
        <w:r>
          <w:fldChar w:fldCharType="begin"/>
        </w:r>
        <w:r>
          <w:instrText xml:space="preserve"> PAGE   \* MERGEFORMAT </w:instrText>
        </w:r>
        <w:r>
          <w:fldChar w:fldCharType="separate"/>
        </w:r>
        <w:r>
          <w:rPr>
            <w:lang w:val="zh-CN"/>
          </w:rPr>
          <w:t>65</w:t>
        </w:r>
        <w:r>
          <w:rPr>
            <w:lang w:val="zh-CN"/>
          </w:rPr>
          <w:fldChar w:fldCharType="end"/>
        </w:r>
      </w:p>
    </w:sdtContent>
  </w:sdt>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9"/>
    </w:sdtPr>
    <w:sdtContent>
      <w:p>
        <w:pPr>
          <w:pStyle w:val="41"/>
          <w:jc w:val="center"/>
        </w:pPr>
        <w:r>
          <w:fldChar w:fldCharType="begin"/>
        </w:r>
        <w:r>
          <w:instrText xml:space="preserve"> PAGE   \* MERGEFORMAT </w:instrText>
        </w:r>
        <w:r>
          <w:fldChar w:fldCharType="separate"/>
        </w:r>
        <w:r>
          <w:rPr>
            <w:lang w:val="zh-CN"/>
          </w:rPr>
          <w:t>64</w:t>
        </w:r>
        <w:r>
          <w:rPr>
            <w:lang w:val="zh-CN"/>
          </w:rPr>
          <w:fldChar w:fldCharType="end"/>
        </w:r>
      </w:p>
    </w:sdtContent>
  </w:sdt>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fldChar w:fldCharType="begin"/>
    </w:r>
    <w:r>
      <w:instrText xml:space="preserve"> PAGE   \* MERGEFORMAT </w:instrText>
    </w:r>
    <w:r>
      <w:fldChar w:fldCharType="separate"/>
    </w:r>
    <w:r>
      <w:rPr>
        <w:lang w:val="zh-CN"/>
      </w:rPr>
      <w:t>85</w:t>
    </w:r>
    <w:r>
      <w:rPr>
        <w:lang w:val="zh-CN"/>
      </w:rPr>
      <w:fldChar w:fldCharType="end"/>
    </w:r>
  </w:p>
  <w:p>
    <w:pPr>
      <w:pStyle w:val="41"/>
      <w:jc w:val="center"/>
      <w:rPr>
        <w:rFonts w:ascii="仿宋_GB2312" w:eastAsia="仿宋_GB2312"/>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65"/>
      </w:rPr>
    </w:pPr>
    <w:r>
      <w:fldChar w:fldCharType="begin"/>
    </w:r>
    <w:r>
      <w:rPr>
        <w:rStyle w:val="65"/>
      </w:rPr>
      <w:instrText xml:space="preserve">PAGE  </w:instrText>
    </w:r>
    <w: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rPr>
      <w:t>浙江天源工程管理咨询有限公司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文件编号:CGSHZJ-2025-N001129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rPr>
      <w:t>浙江天源工程管理咨询有限公司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文件编号:CGSHZJ-2025-N001129</w:t>
    </w:r>
  </w:p>
  <w:p>
    <w:pPr>
      <w:pStyle w:val="43"/>
      <w:pBdr>
        <w:bottom w:val="none" w:color="auto" w:sz="0" w:space="0"/>
      </w:pBdr>
      <w:tabs>
        <w:tab w:val="clear" w:pos="4153"/>
        <w:tab w:val="clear" w:pos="8306"/>
      </w:tabs>
      <w:jc w:val="both"/>
    </w:pPr>
  </w:p>
  <w:p>
    <w:pPr>
      <w:pStyle w:val="43"/>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jc w:val="cent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rPr>
      <w:t>浙江天源工程管理咨询有限公司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文件编号:CGSHZJ-2025-N001129</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rPr>
      <w:t>浙江天源工程管理咨询有限公司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文件编号:CGSHZJ-2025-N001129</w:t>
    </w:r>
  </w:p>
  <w:p>
    <w:pPr>
      <w:pStyle w:val="43"/>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i/>
        <w:iCs/>
        <w:u w:val="single"/>
      </w:rPr>
    </w:pPr>
    <w:r>
      <w:rPr>
        <w:rFonts w:hint="eastAsia"/>
      </w:rPr>
      <w:t>浙江天源工程管理咨询有限公司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文件编号:CGSHZJ-2025-N001129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rPr>
      <w:t>浙江天源工程管理咨询有限公司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文件编号:CGSHZJ-2025-N001129</w:t>
    </w:r>
  </w:p>
  <w:p>
    <w:pPr>
      <w:pStyle w:val="43"/>
      <w:pBdr>
        <w:bottom w:val="none" w:color="auto" w:sz="0" w:space="1"/>
      </w:pBdr>
      <w:jc w:val="both"/>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42D03F"/>
    <w:multiLevelType w:val="singleLevel"/>
    <w:tmpl w:val="A942D03F"/>
    <w:lvl w:ilvl="0" w:tentative="0">
      <w:start w:val="1"/>
      <w:numFmt w:val="decimal"/>
      <w:suff w:val="nothing"/>
      <w:lvlText w:val="%1）"/>
      <w:lvlJc w:val="left"/>
      <w:pPr>
        <w:ind w:left="0" w:firstLine="0"/>
      </w:p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abstractNum w:abstractNumId="5">
    <w:nsid w:val="7E027865"/>
    <w:multiLevelType w:val="singleLevel"/>
    <w:tmpl w:val="7E027865"/>
    <w:lvl w:ilvl="0" w:tentative="0">
      <w:start w:val="1"/>
      <w:numFmt w:val="decimal"/>
      <w:suff w:val="nothing"/>
      <w:lvlText w:val="（%1）"/>
      <w:lvlJc w:val="left"/>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356AB"/>
    <w:rsid w:val="00086534"/>
    <w:rsid w:val="000879E9"/>
    <w:rsid w:val="000A3BBA"/>
    <w:rsid w:val="000F1D16"/>
    <w:rsid w:val="000F42A9"/>
    <w:rsid w:val="00113BBC"/>
    <w:rsid w:val="001431BA"/>
    <w:rsid w:val="0014427C"/>
    <w:rsid w:val="00171F80"/>
    <w:rsid w:val="00172A27"/>
    <w:rsid w:val="001C7082"/>
    <w:rsid w:val="00333943"/>
    <w:rsid w:val="003A1CB6"/>
    <w:rsid w:val="003B343A"/>
    <w:rsid w:val="003E71D6"/>
    <w:rsid w:val="00495FB0"/>
    <w:rsid w:val="004A51B6"/>
    <w:rsid w:val="004F2AEC"/>
    <w:rsid w:val="00541EED"/>
    <w:rsid w:val="00571863"/>
    <w:rsid w:val="005744AC"/>
    <w:rsid w:val="005D3310"/>
    <w:rsid w:val="006710A4"/>
    <w:rsid w:val="00741F56"/>
    <w:rsid w:val="007F5110"/>
    <w:rsid w:val="00853FF5"/>
    <w:rsid w:val="00873969"/>
    <w:rsid w:val="008B6518"/>
    <w:rsid w:val="008B653E"/>
    <w:rsid w:val="008C2E87"/>
    <w:rsid w:val="009267D6"/>
    <w:rsid w:val="009B75CC"/>
    <w:rsid w:val="00A828E1"/>
    <w:rsid w:val="00AE144E"/>
    <w:rsid w:val="00AF14D6"/>
    <w:rsid w:val="00B34AC1"/>
    <w:rsid w:val="00B36CA7"/>
    <w:rsid w:val="00BF10C7"/>
    <w:rsid w:val="00C131E2"/>
    <w:rsid w:val="00CA30C5"/>
    <w:rsid w:val="00CB3523"/>
    <w:rsid w:val="00CD6A59"/>
    <w:rsid w:val="00CF3473"/>
    <w:rsid w:val="00CF6C90"/>
    <w:rsid w:val="00D64740"/>
    <w:rsid w:val="00E02671"/>
    <w:rsid w:val="00E26725"/>
    <w:rsid w:val="00E76B8C"/>
    <w:rsid w:val="00E94627"/>
    <w:rsid w:val="00F01683"/>
    <w:rsid w:val="00F6631E"/>
    <w:rsid w:val="00F87B35"/>
    <w:rsid w:val="00FD2E45"/>
    <w:rsid w:val="00FE71CC"/>
    <w:rsid w:val="030E7667"/>
    <w:rsid w:val="035BEF8B"/>
    <w:rsid w:val="047222CB"/>
    <w:rsid w:val="06131C8F"/>
    <w:rsid w:val="071250B8"/>
    <w:rsid w:val="079D10D8"/>
    <w:rsid w:val="0A303C33"/>
    <w:rsid w:val="0A762DF1"/>
    <w:rsid w:val="0E2E4CCD"/>
    <w:rsid w:val="0E8B0DDC"/>
    <w:rsid w:val="0F096B8F"/>
    <w:rsid w:val="0F63063F"/>
    <w:rsid w:val="136503F0"/>
    <w:rsid w:val="18E60774"/>
    <w:rsid w:val="1AA20F5E"/>
    <w:rsid w:val="1B1D3999"/>
    <w:rsid w:val="1BCA5866"/>
    <w:rsid w:val="1D2F1C3B"/>
    <w:rsid w:val="1FAF5268"/>
    <w:rsid w:val="1FBF54A5"/>
    <w:rsid w:val="1FBFFEB0"/>
    <w:rsid w:val="275DFFED"/>
    <w:rsid w:val="2AFE06EA"/>
    <w:rsid w:val="2F0C0A43"/>
    <w:rsid w:val="2FFB2870"/>
    <w:rsid w:val="30CD01D9"/>
    <w:rsid w:val="3167375D"/>
    <w:rsid w:val="325B1320"/>
    <w:rsid w:val="326F4556"/>
    <w:rsid w:val="32ED47A2"/>
    <w:rsid w:val="34CA788F"/>
    <w:rsid w:val="36D92405"/>
    <w:rsid w:val="39F65B4C"/>
    <w:rsid w:val="3A2E41F2"/>
    <w:rsid w:val="3B3A1B71"/>
    <w:rsid w:val="3C1D2C4D"/>
    <w:rsid w:val="3E6DF6DC"/>
    <w:rsid w:val="3FCFDA4A"/>
    <w:rsid w:val="427E60E8"/>
    <w:rsid w:val="43012C00"/>
    <w:rsid w:val="47B52535"/>
    <w:rsid w:val="4C4B24E5"/>
    <w:rsid w:val="4CFD0CBC"/>
    <w:rsid w:val="4F4B3D85"/>
    <w:rsid w:val="54C96121"/>
    <w:rsid w:val="56AC3D38"/>
    <w:rsid w:val="575C7FE1"/>
    <w:rsid w:val="5B0271D5"/>
    <w:rsid w:val="5B73EE39"/>
    <w:rsid w:val="5CFAC9C4"/>
    <w:rsid w:val="5E3A534E"/>
    <w:rsid w:val="5F561B6F"/>
    <w:rsid w:val="5F57E5CA"/>
    <w:rsid w:val="64AFCBD0"/>
    <w:rsid w:val="665C316B"/>
    <w:rsid w:val="669C35D3"/>
    <w:rsid w:val="67A53191"/>
    <w:rsid w:val="6AFF2A6C"/>
    <w:rsid w:val="6D0252E3"/>
    <w:rsid w:val="6D0D0FED"/>
    <w:rsid w:val="6EBAEEF7"/>
    <w:rsid w:val="6FC37AD4"/>
    <w:rsid w:val="71F44681"/>
    <w:rsid w:val="72C40814"/>
    <w:rsid w:val="730E3D09"/>
    <w:rsid w:val="74963B59"/>
    <w:rsid w:val="77054ADF"/>
    <w:rsid w:val="778CFDC4"/>
    <w:rsid w:val="77BF1A10"/>
    <w:rsid w:val="77EDE09C"/>
    <w:rsid w:val="78AD1F79"/>
    <w:rsid w:val="79FE65A3"/>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2">
    <w:name w:val="Default Paragraph Font"/>
    <w:unhideWhenUsed/>
    <w:qFormat/>
    <w:uiPriority w:val="1"/>
  </w:style>
  <w:style w:type="table" w:default="1" w:styleId="72">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annotation subject"/>
    <w:basedOn w:val="15"/>
    <w:next w:val="15"/>
    <w:link w:val="95"/>
    <w:qFormat/>
    <w:uiPriority w:val="0"/>
    <w:rPr>
      <w:b/>
      <w:bCs/>
    </w:rPr>
  </w:style>
  <w:style w:type="paragraph" w:styleId="15">
    <w:name w:val="annotation text"/>
    <w:basedOn w:val="1"/>
    <w:link w:val="342"/>
    <w:qFormat/>
    <w:uiPriority w:val="99"/>
    <w:pPr>
      <w:jc w:val="left"/>
    </w:p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28"/>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1"/>
    <w:qFormat/>
    <w:uiPriority w:val="0"/>
    <w:pPr>
      <w:shd w:val="clear" w:color="auto" w:fill="000080"/>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2"/>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next w:val="29"/>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Body Text First Indent 2"/>
    <w:basedOn w:val="26"/>
    <w:link w:val="120"/>
    <w:qFormat/>
    <w:uiPriority w:val="0"/>
    <w:pPr>
      <w:adjustRightInd/>
      <w:spacing w:after="120" w:line="240" w:lineRule="auto"/>
      <w:ind w:left="420" w:leftChars="200" w:firstLine="210"/>
    </w:pPr>
    <w:rPr>
      <w:sz w:val="21"/>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character" w:styleId="63">
    <w:name w:val="Strong"/>
    <w:qFormat/>
    <w:uiPriority w:val="22"/>
    <w:rPr>
      <w:b/>
      <w:bCs/>
    </w:rPr>
  </w:style>
  <w:style w:type="character" w:styleId="64">
    <w:name w:val="endnote reference"/>
    <w:qFormat/>
    <w:uiPriority w:val="0"/>
    <w:rPr>
      <w:vertAlign w:val="superscript"/>
    </w:rPr>
  </w:style>
  <w:style w:type="character" w:styleId="65">
    <w:name w:val="page number"/>
    <w:basedOn w:val="62"/>
    <w:qFormat/>
    <w:uiPriority w:val="0"/>
    <w:rPr>
      <w:rFonts w:ascii="Arial" w:hAnsi="Arial" w:eastAsia="黑体" w:cs="Arial"/>
      <w:snapToGrid w:val="0"/>
      <w:kern w:val="0"/>
      <w:szCs w:val="21"/>
    </w:rPr>
  </w:style>
  <w:style w:type="character" w:styleId="66">
    <w:name w:val="FollowedHyperlink"/>
    <w:qFormat/>
    <w:uiPriority w:val="99"/>
    <w:rPr>
      <w:rFonts w:ascii="Arial" w:hAnsi="Arial" w:eastAsia="黑体" w:cs="Arial"/>
      <w:snapToGrid w:val="0"/>
      <w:color w:val="000000"/>
      <w:kern w:val="0"/>
      <w:sz w:val="18"/>
      <w:szCs w:val="18"/>
      <w:u w:val="none"/>
    </w:rPr>
  </w:style>
  <w:style w:type="character" w:styleId="67">
    <w:name w:val="Emphasis"/>
    <w:qFormat/>
    <w:uiPriority w:val="20"/>
    <w:rPr>
      <w:color w:val="CC0033"/>
    </w:rPr>
  </w:style>
  <w:style w:type="character" w:styleId="68">
    <w:name w:val="line number"/>
    <w:basedOn w:val="62"/>
    <w:qFormat/>
    <w:uiPriority w:val="0"/>
    <w:rPr>
      <w:rFonts w:ascii="Arial" w:hAnsi="Arial" w:eastAsia="黑体" w:cs="Arial"/>
      <w:snapToGrid w:val="0"/>
      <w:kern w:val="0"/>
      <w:szCs w:val="21"/>
    </w:rPr>
  </w:style>
  <w:style w:type="character" w:styleId="69">
    <w:name w:val="Hyperlink"/>
    <w:qFormat/>
    <w:uiPriority w:val="99"/>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table" w:styleId="73">
    <w:name w:val="Table Grid"/>
    <w:basedOn w:val="7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4">
    <w:name w:val="Table Theme"/>
    <w:basedOn w:val="7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5">
    <w:name w:val="Table Elegant"/>
    <w:basedOn w:val="7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76">
    <w:name w:val="Table Grid 5"/>
    <w:basedOn w:val="7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77">
    <w:name w:val="Table Grid 8"/>
    <w:basedOn w:val="7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78">
    <w:name w:val="Table Professional"/>
    <w:basedOn w:val="7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14"/>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4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2"/>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2"/>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2"/>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20"/>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9"/>
    <w:qFormat/>
    <w:uiPriority w:val="0"/>
    <w:rPr>
      <w:rFonts w:ascii="黑体" w:hAnsi="Courier New" w:eastAsia="黑体"/>
    </w:rPr>
  </w:style>
  <w:style w:type="character" w:customStyle="1" w:styleId="300">
    <w:name w:val="正文文本 2 Char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5"/>
    <w:qFormat/>
    <w:uiPriority w:val="99"/>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2"/>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2"/>
    <w:qFormat/>
    <w:uiPriority w:val="0"/>
    <w:rPr>
      <w:rFonts w:ascii="Arial" w:hAnsi="Arial" w:eastAsia="黑体" w:cs="Arial"/>
      <w:snapToGrid w:val="0"/>
      <w:kern w:val="0"/>
      <w:szCs w:val="21"/>
    </w:rPr>
  </w:style>
  <w:style w:type="character" w:customStyle="1" w:styleId="430">
    <w:name w:val="hui"/>
    <w:basedOn w:val="62"/>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2"/>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0">
    <w:name w:val="网格型1"/>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1">
    <w:name w:val="网格型6"/>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2">
    <w:name w:val="网格型3"/>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3">
    <w:name w:val="网格型4"/>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4">
    <w:name w:val="网格型5"/>
    <w:basedOn w:val="7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2"/>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正文_0"/>
    <w:basedOn w:val="965"/>
    <w:next w:val="3"/>
    <w:qFormat/>
    <w:uiPriority w:val="0"/>
    <w:pPr>
      <w:widowControl w:val="0"/>
      <w:jc w:val="both"/>
    </w:pPr>
    <w:rPr>
      <w:rFonts w:ascii="Calibri" w:hAnsi="Calibri" w:eastAsia="宋体" w:cs="Times New Roman"/>
      <w:kern w:val="2"/>
      <w:sz w:val="21"/>
      <w:szCs w:val="22"/>
      <w:lang w:val="en-US" w:eastAsia="zh-CN" w:bidi="ar-SA"/>
    </w:rPr>
  </w:style>
  <w:style w:type="paragraph" w:customStyle="1" w:styleId="965">
    <w:name w:val="正文_1"/>
    <w:basedOn w:val="966"/>
    <w:qFormat/>
    <w:uiPriority w:val="0"/>
    <w:pPr>
      <w:widowControl w:val="0"/>
      <w:jc w:val="both"/>
    </w:pPr>
    <w:rPr>
      <w:rFonts w:ascii="Calibri" w:hAnsi="Calibri" w:eastAsia="宋体" w:cs="Times New Roman"/>
      <w:kern w:val="2"/>
      <w:sz w:val="21"/>
      <w:szCs w:val="22"/>
      <w:lang w:val="en-US" w:eastAsia="zh-CN" w:bidi="ar-SA"/>
    </w:rPr>
  </w:style>
  <w:style w:type="paragraph" w:customStyle="1" w:styleId="966">
    <w:name w:val="正文_2"/>
    <w:basedOn w:val="96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7">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8">
    <w:name w:val="浅色列表1"/>
    <w:basedOn w:val="1"/>
    <w:next w:val="61"/>
    <w:qFormat/>
    <w:uiPriority w:val="0"/>
    <w:pPr>
      <w:widowControl/>
      <w:adjustRightInd w:val="0"/>
      <w:spacing w:after="200" w:line="276" w:lineRule="auto"/>
      <w:ind w:left="720"/>
      <w:contextualSpacing/>
      <w:jc w:val="left"/>
    </w:pPr>
    <w:rPr>
      <w:rFonts w:ascii="Calibri" w:hAnsi="Calibri" w:eastAsia="宋体" w:cs="Times New Roman"/>
      <w:kern w:val="0"/>
      <w:sz w:val="22"/>
      <w:szCs w:val="22"/>
      <w:lang w:val="en-US" w:eastAsia="zh-CN" w:bidi="ar-SA"/>
    </w:rPr>
  </w:style>
  <w:style w:type="character" w:customStyle="1" w:styleId="969">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106</Pages>
  <Words>6360</Words>
  <Characters>7002</Characters>
  <Lines>338</Lines>
  <Paragraphs>95</Paragraphs>
  <TotalTime>0</TotalTime>
  <ScaleCrop>false</ScaleCrop>
  <LinksUpToDate>false</LinksUpToDate>
  <CharactersWithSpaces>7204</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倪立</cp:lastModifiedBy>
  <cp:lastPrinted>2021-12-31T19:06:00Z</cp:lastPrinted>
  <dcterms:modified xsi:type="dcterms:W3CDTF">2025-04-07T07:38:55Z</dcterms:modified>
  <dc:title>杭州市市民卡扩大发卡工程</dc:title>
  <cp:revision>333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085D9F0533CF4E018068959B8F9A3E17_13</vt:lpwstr>
  </property>
  <property fmtid="{D5CDD505-2E9C-101B-9397-08002B2CF9AE}" pid="5" name="KSOTemplateDocerSaveRecord">
    <vt:lpwstr>eyJoZGlkIjoiNjFiMmY2NDlmMGUwZDM4MWM5YTU3NTdmMzVlZDZjNDYiLCJ1c2VySWQiOiI4ODcwNTg5MDMifQ==</vt:lpwstr>
  </property>
</Properties>
</file>