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C3323">
      <w:pPr>
        <w:spacing w:line="360" w:lineRule="auto"/>
        <w:jc w:val="center"/>
        <w:outlineLvl w:val="0"/>
        <w:rPr>
          <w:rFonts w:hint="eastAsia" w:ascii="仿宋" w:hAnsi="仿宋" w:eastAsia="仿宋" w:cs="仿宋"/>
          <w:b/>
          <w:color w:val="auto"/>
          <w:sz w:val="52"/>
          <w:szCs w:val="52"/>
          <w:highlight w:val="none"/>
          <w:lang w:eastAsia="zh-CN"/>
        </w:rPr>
      </w:pPr>
      <w:bookmarkStart w:id="52" w:name="_GoBack"/>
      <w:bookmarkEnd w:id="52"/>
      <w:bookmarkStart w:id="0" w:name="_Hlt67893495"/>
      <w:bookmarkEnd w:id="0"/>
      <w:r>
        <w:rPr>
          <w:rFonts w:hint="eastAsia" w:ascii="仿宋" w:hAnsi="仿宋" w:eastAsia="仿宋" w:cs="仿宋"/>
          <w:b/>
          <w:color w:val="auto"/>
          <w:sz w:val="52"/>
          <w:szCs w:val="52"/>
          <w:highlight w:val="none"/>
          <w:lang w:eastAsia="zh-CN"/>
        </w:rPr>
        <w:t>绍兴市公共交通集团有限公司2025年度场站维管项目</w:t>
      </w:r>
    </w:p>
    <w:p w14:paraId="7DBFB01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7E19634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3FF57F0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58713F7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8EE9BD4">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02CF030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17E97FB1">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6AD7B33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9E38466">
      <w:pPr>
        <w:topLinePunct/>
        <w:spacing w:line="360" w:lineRule="auto"/>
        <w:ind w:firstLine="2249" w:firstLineChars="800"/>
        <w:rPr>
          <w:rFonts w:hint="eastAsia" w:ascii="仿宋" w:hAnsi="仿宋" w:eastAsia="仿宋" w:cs="仿宋"/>
          <w:b/>
          <w:color w:val="auto"/>
          <w:sz w:val="28"/>
          <w:szCs w:val="28"/>
          <w:highlight w:val="none"/>
        </w:rPr>
      </w:pPr>
    </w:p>
    <w:p w14:paraId="7B07D6E0">
      <w:pPr>
        <w:topLinePunct/>
        <w:spacing w:line="360" w:lineRule="auto"/>
        <w:ind w:firstLine="3092" w:firstLineChars="11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招标编号:</w:t>
      </w:r>
      <w:r>
        <w:rPr>
          <w:rFonts w:hint="eastAsia" w:ascii="仿宋" w:hAnsi="仿宋" w:eastAsia="仿宋" w:cs="仿宋"/>
          <w:color w:val="auto"/>
          <w:sz w:val="28"/>
          <w:szCs w:val="28"/>
          <w:highlight w:val="none"/>
          <w:lang w:eastAsia="zh-CN"/>
        </w:rPr>
        <w:t>TYJZ2025016</w:t>
      </w:r>
    </w:p>
    <w:tbl>
      <w:tblPr>
        <w:tblStyle w:val="21"/>
        <w:tblW w:w="8236" w:type="dxa"/>
        <w:jc w:val="center"/>
        <w:tblLayout w:type="fixed"/>
        <w:tblCellMar>
          <w:top w:w="0" w:type="dxa"/>
          <w:left w:w="108" w:type="dxa"/>
          <w:bottom w:w="0" w:type="dxa"/>
          <w:right w:w="108" w:type="dxa"/>
        </w:tblCellMar>
      </w:tblPr>
      <w:tblGrid>
        <w:gridCol w:w="2660"/>
        <w:gridCol w:w="5576"/>
      </w:tblGrid>
      <w:tr w14:paraId="0811CAB4">
        <w:tblPrEx>
          <w:tblCellMar>
            <w:top w:w="0" w:type="dxa"/>
            <w:left w:w="108" w:type="dxa"/>
            <w:bottom w:w="0" w:type="dxa"/>
            <w:right w:w="108" w:type="dxa"/>
          </w:tblCellMar>
        </w:tblPrEx>
        <w:trPr>
          <w:trHeight w:val="588" w:hRule="atLeast"/>
          <w:jc w:val="center"/>
        </w:trPr>
        <w:tc>
          <w:tcPr>
            <w:tcW w:w="2660" w:type="dxa"/>
            <w:noWrap w:val="0"/>
            <w:vAlign w:val="top"/>
          </w:tcPr>
          <w:p w14:paraId="7E27E73F">
            <w:pPr>
              <w:autoSpaceDE w:val="0"/>
              <w:autoSpaceDN w:val="0"/>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576" w:type="dxa"/>
            <w:noWrap w:val="0"/>
            <w:vAlign w:val="center"/>
          </w:tcPr>
          <w:p w14:paraId="0C34C5DA">
            <w:pPr>
              <w:keepNext/>
              <w:keepLines/>
              <w:tabs>
                <w:tab w:val="left" w:pos="900"/>
              </w:tabs>
              <w:spacing w:line="520" w:lineRule="exact"/>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绍兴市公共交通集团有限公司</w:t>
            </w:r>
          </w:p>
        </w:tc>
      </w:tr>
      <w:tr w14:paraId="303FE61B">
        <w:tblPrEx>
          <w:tblCellMar>
            <w:top w:w="0" w:type="dxa"/>
            <w:left w:w="108" w:type="dxa"/>
            <w:bottom w:w="0" w:type="dxa"/>
            <w:right w:w="108" w:type="dxa"/>
          </w:tblCellMar>
        </w:tblPrEx>
        <w:trPr>
          <w:trHeight w:val="664" w:hRule="atLeast"/>
          <w:jc w:val="center"/>
        </w:trPr>
        <w:tc>
          <w:tcPr>
            <w:tcW w:w="2660" w:type="dxa"/>
            <w:noWrap w:val="0"/>
            <w:vAlign w:val="top"/>
          </w:tcPr>
          <w:p w14:paraId="25647E84">
            <w:pPr>
              <w:autoSpaceDE w:val="0"/>
              <w:autoSpaceDN w:val="0"/>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w w:val="93"/>
                <w:kern w:val="0"/>
                <w:sz w:val="28"/>
                <w:szCs w:val="28"/>
                <w:highlight w:val="none"/>
              </w:rPr>
              <w:t>采购代理机</w:t>
            </w:r>
            <w:r>
              <w:rPr>
                <w:rFonts w:hint="eastAsia" w:ascii="仿宋" w:hAnsi="仿宋" w:eastAsia="仿宋" w:cs="仿宋"/>
                <w:color w:val="auto"/>
                <w:spacing w:val="30"/>
                <w:w w:val="93"/>
                <w:kern w:val="0"/>
                <w:sz w:val="28"/>
                <w:szCs w:val="28"/>
                <w:highlight w:val="none"/>
              </w:rPr>
              <w:t>构</w:t>
            </w:r>
            <w:r>
              <w:rPr>
                <w:rFonts w:hint="eastAsia" w:ascii="仿宋" w:hAnsi="仿宋" w:eastAsia="仿宋" w:cs="仿宋"/>
                <w:color w:val="auto"/>
                <w:sz w:val="28"/>
                <w:szCs w:val="28"/>
                <w:highlight w:val="none"/>
              </w:rPr>
              <w:t>：</w:t>
            </w:r>
          </w:p>
        </w:tc>
        <w:tc>
          <w:tcPr>
            <w:tcW w:w="5576" w:type="dxa"/>
            <w:noWrap w:val="0"/>
            <w:vAlign w:val="top"/>
          </w:tcPr>
          <w:p w14:paraId="14A18A29">
            <w:pPr>
              <w:keepNext/>
              <w:keepLines/>
              <w:tabs>
                <w:tab w:val="left" w:pos="900"/>
              </w:tabs>
              <w:spacing w:line="520" w:lineRule="exact"/>
              <w:ind w:hanging="72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浙江 泰宇建筑工程技术咨询有限公司</w:t>
            </w:r>
          </w:p>
        </w:tc>
      </w:tr>
      <w:tr w14:paraId="28006B60">
        <w:tblPrEx>
          <w:tblCellMar>
            <w:top w:w="0" w:type="dxa"/>
            <w:left w:w="108" w:type="dxa"/>
            <w:bottom w:w="0" w:type="dxa"/>
            <w:right w:w="108" w:type="dxa"/>
          </w:tblCellMar>
        </w:tblPrEx>
        <w:trPr>
          <w:trHeight w:val="397" w:hRule="atLeast"/>
          <w:jc w:val="center"/>
        </w:trPr>
        <w:tc>
          <w:tcPr>
            <w:tcW w:w="2660" w:type="dxa"/>
            <w:noWrap w:val="0"/>
            <w:vAlign w:val="center"/>
          </w:tcPr>
          <w:p w14:paraId="268F782E">
            <w:pPr>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1650094075"/>
              </w:rPr>
              <w:t>监督单</w:t>
            </w:r>
            <w:r>
              <w:rPr>
                <w:rFonts w:hint="eastAsia" w:ascii="仿宋" w:hAnsi="仿宋" w:eastAsia="仿宋" w:cs="仿宋"/>
                <w:color w:val="auto"/>
                <w:spacing w:val="1"/>
                <w:kern w:val="0"/>
                <w:sz w:val="28"/>
                <w:szCs w:val="28"/>
                <w:highlight w:val="none"/>
                <w:fitText w:val="1680" w:id="1650094075"/>
              </w:rPr>
              <w:t>位</w:t>
            </w:r>
            <w:r>
              <w:rPr>
                <w:rFonts w:hint="eastAsia" w:ascii="仿宋" w:hAnsi="仿宋" w:eastAsia="仿宋" w:cs="仿宋"/>
                <w:color w:val="auto"/>
                <w:sz w:val="28"/>
                <w:szCs w:val="28"/>
                <w:highlight w:val="none"/>
              </w:rPr>
              <w:t>：</w:t>
            </w:r>
          </w:p>
        </w:tc>
        <w:tc>
          <w:tcPr>
            <w:tcW w:w="5576" w:type="dxa"/>
            <w:noWrap w:val="0"/>
            <w:vAlign w:val="top"/>
          </w:tcPr>
          <w:p w14:paraId="5B4AA096">
            <w:pPr>
              <w:keepNext/>
              <w:keepLines/>
              <w:tabs>
                <w:tab w:val="left" w:pos="900"/>
              </w:tabs>
              <w:spacing w:line="520" w:lineRule="exact"/>
              <w:ind w:hanging="720"/>
              <w:outlineLvl w:val="2"/>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绍兴 </w:t>
            </w:r>
            <w:r>
              <w:rPr>
                <w:rFonts w:hint="eastAsia" w:ascii="仿宋" w:hAnsi="仿宋" w:eastAsia="仿宋" w:cs="仿宋"/>
                <w:color w:val="auto"/>
                <w:sz w:val="28"/>
                <w:szCs w:val="28"/>
                <w:highlight w:val="none"/>
                <w:lang w:eastAsia="zh-CN"/>
              </w:rPr>
              <w:t>绍兴市公共交通集团有限公司</w:t>
            </w:r>
          </w:p>
        </w:tc>
      </w:tr>
      <w:tr w14:paraId="46A9E8D4">
        <w:tblPrEx>
          <w:tblCellMar>
            <w:top w:w="0" w:type="dxa"/>
            <w:left w:w="108" w:type="dxa"/>
            <w:bottom w:w="0" w:type="dxa"/>
            <w:right w:w="108" w:type="dxa"/>
          </w:tblCellMar>
        </w:tblPrEx>
        <w:trPr>
          <w:trHeight w:val="572" w:hRule="atLeast"/>
          <w:jc w:val="center"/>
        </w:trPr>
        <w:tc>
          <w:tcPr>
            <w:tcW w:w="8236" w:type="dxa"/>
            <w:gridSpan w:val="2"/>
            <w:noWrap w:val="0"/>
            <w:vAlign w:val="top"/>
          </w:tcPr>
          <w:p w14:paraId="58388EDA">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月</w:t>
            </w:r>
          </w:p>
        </w:tc>
      </w:tr>
    </w:tbl>
    <w:p w14:paraId="5C5EC46D">
      <w:pPr>
        <w:pStyle w:val="29"/>
        <w:rPr>
          <w:rFonts w:hint="eastAsia" w:ascii="仿宋" w:hAnsi="仿宋" w:eastAsia="仿宋" w:cs="仿宋"/>
          <w:color w:val="auto"/>
          <w:highlight w:val="none"/>
        </w:rPr>
        <w:sectPr>
          <w:footerReference r:id="rId5" w:type="first"/>
          <w:headerReference r:id="rId3" w:type="default"/>
          <w:footerReference r:id="rId4" w:type="even"/>
          <w:pgSz w:w="11906" w:h="16838"/>
          <w:pgMar w:top="1814" w:right="1474" w:bottom="1814" w:left="1474" w:header="1417" w:footer="1247" w:gutter="0"/>
          <w:pgNumType w:start="1"/>
          <w:cols w:space="720" w:num="1"/>
          <w:titlePg/>
          <w:docGrid w:linePitch="312" w:charSpace="0"/>
        </w:sectPr>
      </w:pPr>
    </w:p>
    <w:p w14:paraId="6CA4A484">
      <w:pPr>
        <w:spacing w:line="360" w:lineRule="auto"/>
        <w:jc w:val="center"/>
        <w:rPr>
          <w:rFonts w:hint="eastAsia" w:ascii="仿宋" w:hAnsi="仿宋" w:eastAsia="仿宋" w:cs="仿宋"/>
          <w:color w:val="auto"/>
          <w:sz w:val="24"/>
          <w:highlight w:val="none"/>
        </w:rPr>
      </w:pPr>
    </w:p>
    <w:p w14:paraId="64D59ADE">
      <w:pPr>
        <w:spacing w:line="360" w:lineRule="auto"/>
        <w:jc w:val="center"/>
        <w:rPr>
          <w:rFonts w:hint="eastAsia" w:ascii="仿宋" w:hAnsi="仿宋" w:eastAsia="仿宋" w:cs="仿宋"/>
          <w:b/>
          <w:color w:val="auto"/>
          <w:sz w:val="44"/>
          <w:szCs w:val="44"/>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目录</w:t>
      </w:r>
    </w:p>
    <w:p w14:paraId="38C4C77B">
      <w:pPr>
        <w:spacing w:line="360" w:lineRule="auto"/>
        <w:jc w:val="center"/>
        <w:rPr>
          <w:rFonts w:hint="eastAsia" w:ascii="仿宋" w:hAnsi="仿宋" w:eastAsia="仿宋" w:cs="仿宋"/>
          <w:b/>
          <w:color w:val="auto"/>
          <w:sz w:val="44"/>
          <w:szCs w:val="44"/>
          <w:highlight w:val="none"/>
        </w:rPr>
      </w:pPr>
    </w:p>
    <w:p w14:paraId="15EAC6E9">
      <w:pPr>
        <w:spacing w:line="360" w:lineRule="auto"/>
        <w:jc w:val="center"/>
        <w:rPr>
          <w:rFonts w:hint="eastAsia" w:ascii="仿宋" w:hAnsi="仿宋" w:eastAsia="仿宋" w:cs="仿宋"/>
          <w:color w:val="auto"/>
          <w:highlight w:val="none"/>
        </w:rPr>
      </w:pPr>
    </w:p>
    <w:p w14:paraId="495AF525">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4643D653">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3A101B9E">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965D3BA">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5FA1C7A7">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w:t>
      </w:r>
      <w:r>
        <w:rPr>
          <w:rFonts w:hint="eastAsia" w:ascii="仿宋" w:hAnsi="仿宋" w:eastAsia="仿宋" w:cs="仿宋"/>
          <w:b/>
          <w:color w:val="auto"/>
          <w:sz w:val="36"/>
          <w:szCs w:val="36"/>
          <w:highlight w:val="none"/>
          <w:lang w:val="en-US" w:eastAsia="zh-CN"/>
        </w:rPr>
        <w:t>标</w:t>
      </w:r>
      <w:r>
        <w:rPr>
          <w:rFonts w:hint="eastAsia" w:ascii="仿宋" w:hAnsi="仿宋" w:eastAsia="仿宋" w:cs="仿宋"/>
          <w:b/>
          <w:color w:val="auto"/>
          <w:sz w:val="36"/>
          <w:szCs w:val="36"/>
          <w:highlight w:val="none"/>
        </w:rPr>
        <w:t>方法及标准</w:t>
      </w:r>
    </w:p>
    <w:p w14:paraId="032FAB06">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571E6133">
      <w:pPr>
        <w:spacing w:line="360" w:lineRule="auto"/>
        <w:ind w:firstLine="549" w:firstLineChars="229"/>
        <w:rPr>
          <w:rFonts w:hint="eastAsia" w:ascii="仿宋" w:hAnsi="仿宋" w:eastAsia="仿宋" w:cs="仿宋"/>
          <w:color w:val="auto"/>
          <w:sz w:val="24"/>
          <w:highlight w:val="none"/>
        </w:rPr>
      </w:pPr>
    </w:p>
    <w:p w14:paraId="22B95396">
      <w:pPr>
        <w:spacing w:line="360" w:lineRule="auto"/>
        <w:ind w:firstLine="549" w:firstLineChars="229"/>
        <w:rPr>
          <w:rFonts w:hint="eastAsia" w:ascii="仿宋" w:hAnsi="仿宋" w:eastAsia="仿宋" w:cs="仿宋"/>
          <w:color w:val="auto"/>
          <w:sz w:val="24"/>
          <w:highlight w:val="none"/>
        </w:rPr>
      </w:pPr>
    </w:p>
    <w:p w14:paraId="6442F93C">
      <w:pPr>
        <w:spacing w:line="360" w:lineRule="auto"/>
        <w:ind w:firstLine="549" w:firstLineChars="229"/>
        <w:rPr>
          <w:rFonts w:hint="eastAsia" w:ascii="仿宋" w:hAnsi="仿宋" w:eastAsia="仿宋" w:cs="仿宋"/>
          <w:color w:val="auto"/>
          <w:sz w:val="24"/>
          <w:highlight w:val="none"/>
        </w:rPr>
      </w:pPr>
    </w:p>
    <w:p w14:paraId="13066437">
      <w:pPr>
        <w:spacing w:line="360" w:lineRule="auto"/>
        <w:ind w:firstLine="549" w:firstLineChars="229"/>
        <w:rPr>
          <w:rFonts w:hint="eastAsia" w:ascii="仿宋" w:hAnsi="仿宋" w:eastAsia="仿宋" w:cs="仿宋"/>
          <w:color w:val="auto"/>
          <w:sz w:val="24"/>
          <w:highlight w:val="none"/>
        </w:rPr>
      </w:pPr>
    </w:p>
    <w:p w14:paraId="5612607D">
      <w:pPr>
        <w:spacing w:line="360" w:lineRule="auto"/>
        <w:ind w:firstLine="549" w:firstLineChars="229"/>
        <w:rPr>
          <w:rFonts w:hint="eastAsia" w:ascii="仿宋" w:hAnsi="仿宋" w:eastAsia="仿宋" w:cs="仿宋"/>
          <w:color w:val="auto"/>
          <w:sz w:val="24"/>
          <w:highlight w:val="none"/>
        </w:rPr>
      </w:pPr>
    </w:p>
    <w:p w14:paraId="3779C02A">
      <w:pPr>
        <w:spacing w:line="360" w:lineRule="auto"/>
        <w:ind w:firstLine="549" w:firstLineChars="229"/>
        <w:rPr>
          <w:rFonts w:hint="eastAsia" w:ascii="仿宋" w:hAnsi="仿宋" w:eastAsia="仿宋" w:cs="仿宋"/>
          <w:color w:val="auto"/>
          <w:sz w:val="24"/>
          <w:highlight w:val="none"/>
        </w:rPr>
      </w:pPr>
    </w:p>
    <w:p w14:paraId="0D691BE1">
      <w:pPr>
        <w:spacing w:line="360" w:lineRule="auto"/>
        <w:ind w:firstLine="549" w:firstLineChars="229"/>
        <w:rPr>
          <w:rFonts w:hint="eastAsia" w:ascii="仿宋" w:hAnsi="仿宋" w:eastAsia="仿宋" w:cs="仿宋"/>
          <w:color w:val="auto"/>
          <w:sz w:val="24"/>
          <w:highlight w:val="none"/>
        </w:rPr>
      </w:pPr>
    </w:p>
    <w:p w14:paraId="4F4F56CB">
      <w:pPr>
        <w:spacing w:line="360" w:lineRule="auto"/>
        <w:ind w:firstLine="549" w:firstLineChars="229"/>
        <w:rPr>
          <w:rFonts w:hint="eastAsia" w:ascii="仿宋" w:hAnsi="仿宋" w:eastAsia="仿宋" w:cs="仿宋"/>
          <w:color w:val="auto"/>
          <w:sz w:val="24"/>
          <w:highlight w:val="none"/>
        </w:rPr>
      </w:pPr>
    </w:p>
    <w:p w14:paraId="479BC605">
      <w:pPr>
        <w:spacing w:line="360" w:lineRule="auto"/>
        <w:ind w:firstLine="549" w:firstLineChars="229"/>
        <w:rPr>
          <w:rFonts w:hint="eastAsia" w:ascii="仿宋" w:hAnsi="仿宋" w:eastAsia="仿宋" w:cs="仿宋"/>
          <w:color w:val="auto"/>
          <w:sz w:val="24"/>
          <w:highlight w:val="none"/>
        </w:rPr>
      </w:pPr>
    </w:p>
    <w:p w14:paraId="266AA588">
      <w:pPr>
        <w:spacing w:line="360" w:lineRule="auto"/>
        <w:ind w:firstLine="549" w:firstLineChars="229"/>
        <w:rPr>
          <w:rFonts w:hint="eastAsia" w:ascii="仿宋" w:hAnsi="仿宋" w:eastAsia="仿宋" w:cs="仿宋"/>
          <w:color w:val="auto"/>
          <w:sz w:val="24"/>
          <w:highlight w:val="none"/>
        </w:rPr>
      </w:pPr>
    </w:p>
    <w:p w14:paraId="19DA9D1D">
      <w:pPr>
        <w:spacing w:line="360" w:lineRule="auto"/>
        <w:ind w:firstLine="549" w:firstLineChars="229"/>
        <w:rPr>
          <w:rFonts w:hint="eastAsia" w:ascii="仿宋" w:hAnsi="仿宋" w:eastAsia="仿宋" w:cs="仿宋"/>
          <w:color w:val="auto"/>
          <w:sz w:val="24"/>
          <w:highlight w:val="none"/>
        </w:rPr>
      </w:pPr>
    </w:p>
    <w:p w14:paraId="4B25353F">
      <w:pPr>
        <w:spacing w:line="360" w:lineRule="auto"/>
        <w:ind w:firstLine="549" w:firstLineChars="229"/>
        <w:rPr>
          <w:rFonts w:hint="eastAsia" w:ascii="仿宋" w:hAnsi="仿宋" w:eastAsia="仿宋" w:cs="仿宋"/>
          <w:color w:val="auto"/>
          <w:sz w:val="24"/>
          <w:highlight w:val="none"/>
        </w:rPr>
      </w:pPr>
    </w:p>
    <w:p w14:paraId="34992CB0">
      <w:pPr>
        <w:spacing w:line="360" w:lineRule="auto"/>
        <w:ind w:firstLine="549" w:firstLineChars="229"/>
        <w:rPr>
          <w:rFonts w:hint="eastAsia" w:ascii="仿宋" w:hAnsi="仿宋" w:eastAsia="仿宋" w:cs="仿宋"/>
          <w:color w:val="auto"/>
          <w:sz w:val="24"/>
          <w:highlight w:val="none"/>
        </w:rPr>
      </w:pPr>
    </w:p>
    <w:p w14:paraId="1DFE2733">
      <w:pPr>
        <w:spacing w:line="360" w:lineRule="auto"/>
        <w:rPr>
          <w:rFonts w:hint="eastAsia" w:ascii="仿宋" w:hAnsi="仿宋" w:eastAsia="仿宋" w:cs="仿宋"/>
          <w:color w:val="auto"/>
          <w:sz w:val="24"/>
          <w:highlight w:val="none"/>
        </w:rPr>
      </w:pPr>
    </w:p>
    <w:bookmarkEnd w:id="2"/>
    <w:p w14:paraId="428AEA0F">
      <w:pPr>
        <w:adjustRightInd/>
        <w:spacing w:line="360" w:lineRule="auto"/>
        <w:jc w:val="center"/>
        <w:outlineLvl w:val="0"/>
        <w:rPr>
          <w:rFonts w:hint="eastAsia" w:ascii="仿宋" w:hAnsi="仿宋" w:eastAsia="仿宋" w:cs="仿宋"/>
          <w:b/>
          <w:color w:val="auto"/>
          <w:sz w:val="36"/>
          <w:szCs w:val="20"/>
          <w:highlight w:val="none"/>
        </w:rPr>
        <w:sectPr>
          <w:footerReference r:id="rId9" w:type="first"/>
          <w:headerReference r:id="rId6" w:type="default"/>
          <w:footerReference r:id="rId7" w:type="default"/>
          <w:footerReference r:id="rId8" w:type="even"/>
          <w:pgSz w:w="11906" w:h="16838"/>
          <w:pgMar w:top="1814" w:right="1474" w:bottom="1814" w:left="1474" w:header="1417" w:footer="992" w:gutter="0"/>
          <w:cols w:space="720" w:num="1"/>
          <w:titlePg/>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01F9188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908963B">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EE71233">
      <w:pPr>
        <w:pBdr>
          <w:top w:val="single" w:color="auto" w:sz="4" w:space="1"/>
          <w:left w:val="single" w:color="auto" w:sz="4" w:space="4"/>
          <w:bottom w:val="single" w:color="auto" w:sz="4" w:space="1"/>
          <w:right w:val="single" w:color="auto" w:sz="4" w:space="4"/>
        </w:pBdr>
        <w:spacing w:line="44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kern w:val="0"/>
          <w:sz w:val="24"/>
          <w:highlight w:val="none"/>
          <w:u w:val="single"/>
          <w:lang w:eastAsia="zh-CN"/>
        </w:rPr>
        <w:t>绍兴市公共交通集团有限公司2025年度场站维管项目</w:t>
      </w:r>
      <w:r>
        <w:rPr>
          <w:rFonts w:hint="eastAsia" w:ascii="仿宋" w:hAnsi="仿宋" w:eastAsia="仿宋" w:cs="仿宋"/>
          <w:color w:val="auto"/>
          <w:sz w:val="24"/>
          <w:highlight w:val="none"/>
        </w:rPr>
        <w:t>的潜在供应商应在绍兴市阳光采购服务平台（</w:t>
      </w:r>
      <w:r>
        <w:rPr>
          <w:rStyle w:val="25"/>
          <w:rFonts w:hint="eastAsia" w:ascii="仿宋" w:hAnsi="仿宋" w:eastAsia="仿宋" w:cs="仿宋"/>
          <w:color w:val="auto"/>
          <w:sz w:val="24"/>
          <w:highlight w:val="none"/>
        </w:rPr>
        <w:t>https://ygcg.sxjypt.com</w:t>
      </w:r>
      <w:r>
        <w:rPr>
          <w:rStyle w:val="25"/>
          <w:rFonts w:hint="eastAsia" w:ascii="仿宋" w:hAnsi="仿宋" w:eastAsia="仿宋" w:cs="仿宋"/>
          <w:snapToGrid/>
          <w:color w:val="auto"/>
          <w:kern w:val="2"/>
          <w:sz w:val="24"/>
          <w:szCs w:val="24"/>
          <w:highlight w:val="none"/>
        </w:rPr>
        <w:t>）获取（下载）招标文件，并于</w:t>
      </w:r>
      <w:r>
        <w:rPr>
          <w:rStyle w:val="25"/>
          <w:rFonts w:hint="eastAsia" w:ascii="仿宋" w:hAnsi="仿宋" w:eastAsia="仿宋" w:cs="仿宋"/>
          <w:snapToGrid/>
          <w:color w:val="auto"/>
          <w:kern w:val="2"/>
          <w:sz w:val="24"/>
          <w:szCs w:val="24"/>
          <w:highlight w:val="none"/>
          <w:lang w:eastAsia="zh-CN"/>
        </w:rPr>
        <w:t>2025</w:t>
      </w:r>
      <w:r>
        <w:rPr>
          <w:rStyle w:val="25"/>
          <w:rFonts w:hint="eastAsia" w:ascii="仿宋" w:hAnsi="仿宋" w:eastAsia="仿宋" w:cs="仿宋"/>
          <w:snapToGrid/>
          <w:color w:val="auto"/>
          <w:kern w:val="2"/>
          <w:sz w:val="24"/>
          <w:szCs w:val="24"/>
          <w:highlight w:val="none"/>
        </w:rPr>
        <w:t>年</w:t>
      </w:r>
      <w:r>
        <w:rPr>
          <w:rStyle w:val="25"/>
          <w:rFonts w:hint="eastAsia" w:ascii="仿宋" w:hAnsi="仿宋" w:eastAsia="仿宋" w:cs="仿宋"/>
          <w:snapToGrid/>
          <w:color w:val="auto"/>
          <w:kern w:val="2"/>
          <w:sz w:val="24"/>
          <w:szCs w:val="24"/>
          <w:highlight w:val="none"/>
          <w:lang w:val="en-US" w:eastAsia="zh-CN"/>
        </w:rPr>
        <w:t>04</w:t>
      </w:r>
      <w:r>
        <w:rPr>
          <w:rStyle w:val="25"/>
          <w:rFonts w:hint="eastAsia" w:ascii="仿宋" w:hAnsi="仿宋" w:eastAsia="仿宋" w:cs="仿宋"/>
          <w:snapToGrid/>
          <w:color w:val="auto"/>
          <w:kern w:val="2"/>
          <w:sz w:val="24"/>
          <w:szCs w:val="24"/>
          <w:highlight w:val="none"/>
        </w:rPr>
        <w:t>月</w:t>
      </w:r>
      <w:r>
        <w:rPr>
          <w:rStyle w:val="25"/>
          <w:rFonts w:hint="eastAsia" w:ascii="仿宋" w:hAnsi="仿宋" w:eastAsia="仿宋" w:cs="仿宋"/>
          <w:snapToGrid/>
          <w:color w:val="auto"/>
          <w:kern w:val="2"/>
          <w:sz w:val="24"/>
          <w:szCs w:val="24"/>
          <w:highlight w:val="none"/>
          <w:lang w:val="en-US" w:eastAsia="zh-CN"/>
        </w:rPr>
        <w:t>02</w:t>
      </w:r>
      <w:r>
        <w:rPr>
          <w:rStyle w:val="25"/>
          <w:rFonts w:hint="eastAsia" w:ascii="仿宋" w:hAnsi="仿宋" w:eastAsia="仿宋" w:cs="仿宋"/>
          <w:snapToGrid/>
          <w:color w:val="auto"/>
          <w:kern w:val="2"/>
          <w:sz w:val="24"/>
          <w:szCs w:val="24"/>
          <w:highlight w:val="none"/>
        </w:rPr>
        <w:t>日09点</w:t>
      </w:r>
      <w:r>
        <w:rPr>
          <w:rStyle w:val="25"/>
          <w:rFonts w:hint="eastAsia" w:ascii="仿宋" w:hAnsi="仿宋" w:eastAsia="仿宋" w:cs="仿宋"/>
          <w:snapToGrid/>
          <w:color w:val="auto"/>
          <w:kern w:val="2"/>
          <w:sz w:val="24"/>
          <w:szCs w:val="24"/>
          <w:highlight w:val="none"/>
          <w:lang w:val="en-US" w:eastAsia="zh-CN"/>
        </w:rPr>
        <w:t>3</w:t>
      </w:r>
      <w:r>
        <w:rPr>
          <w:rStyle w:val="25"/>
          <w:rFonts w:hint="eastAsia" w:ascii="仿宋" w:hAnsi="仿宋" w:eastAsia="仿宋" w:cs="仿宋"/>
          <w:snapToGrid/>
          <w:color w:val="auto"/>
          <w:kern w:val="2"/>
          <w:sz w:val="24"/>
          <w:szCs w:val="24"/>
          <w:highlight w:val="none"/>
        </w:rPr>
        <w:t>0分</w:t>
      </w:r>
      <w:r>
        <w:rPr>
          <w:rStyle w:val="25"/>
          <w:rFonts w:hint="eastAsia" w:ascii="仿宋" w:hAnsi="仿宋" w:eastAsia="仿宋" w:cs="仿宋"/>
          <w:bCs/>
          <w:snapToGrid/>
          <w:color w:val="auto"/>
          <w:kern w:val="2"/>
          <w:sz w:val="24"/>
          <w:szCs w:val="24"/>
          <w:highlight w:val="none"/>
        </w:rPr>
        <w:t>00秒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5489E0B">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FE87589">
      <w:pPr>
        <w:spacing w:line="44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项目编号：</w:t>
      </w:r>
      <w:r>
        <w:rPr>
          <w:rFonts w:hint="eastAsia" w:ascii="仿宋" w:hAnsi="仿宋" w:eastAsia="仿宋" w:cs="仿宋"/>
          <w:b/>
          <w:bCs/>
          <w:color w:val="auto"/>
          <w:sz w:val="24"/>
          <w:highlight w:val="none"/>
          <w:lang w:eastAsia="zh-CN"/>
        </w:rPr>
        <w:t>TYJZ2025016</w:t>
      </w:r>
    </w:p>
    <w:p w14:paraId="3D54EDE5">
      <w:pPr>
        <w:spacing w:line="44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项目名称：</w:t>
      </w:r>
      <w:r>
        <w:rPr>
          <w:rFonts w:hint="eastAsia" w:ascii="仿宋" w:hAnsi="仿宋" w:eastAsia="仿宋" w:cs="仿宋"/>
          <w:b/>
          <w:bCs/>
          <w:color w:val="auto"/>
          <w:sz w:val="24"/>
          <w:highlight w:val="none"/>
          <w:lang w:eastAsia="zh-CN"/>
        </w:rPr>
        <w:t>绍兴市公共交通集团有限公司2025年度场站维管项目</w:t>
      </w:r>
    </w:p>
    <w:p w14:paraId="05998E44">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预算金额（元）：</w:t>
      </w:r>
      <w:r>
        <w:rPr>
          <w:rFonts w:hint="eastAsia" w:ascii="仿宋" w:hAnsi="仿宋" w:eastAsia="仿宋" w:cs="仿宋"/>
          <w:b/>
          <w:bCs/>
          <w:color w:val="auto"/>
          <w:sz w:val="24"/>
          <w:highlight w:val="none"/>
          <w:lang w:eastAsia="zh-CN"/>
        </w:rPr>
        <w:t>13800000</w:t>
      </w:r>
      <w:r>
        <w:rPr>
          <w:rFonts w:hint="eastAsia" w:ascii="仿宋" w:hAnsi="仿宋" w:eastAsia="仿宋" w:cs="仿宋"/>
          <w:b/>
          <w:bCs/>
          <w:color w:val="auto"/>
          <w:sz w:val="24"/>
          <w:highlight w:val="none"/>
        </w:rPr>
        <w:t xml:space="preserve">元 </w:t>
      </w:r>
    </w:p>
    <w:p w14:paraId="0744A04F">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最高限价（元）：</w:t>
      </w:r>
      <w:r>
        <w:rPr>
          <w:rFonts w:hint="eastAsia" w:ascii="仿宋" w:hAnsi="仿宋" w:eastAsia="仿宋" w:cs="仿宋"/>
          <w:b/>
          <w:bCs/>
          <w:color w:val="auto"/>
          <w:sz w:val="24"/>
          <w:highlight w:val="none"/>
          <w:lang w:eastAsia="zh-CN"/>
        </w:rPr>
        <w:t>13800000</w:t>
      </w:r>
      <w:r>
        <w:rPr>
          <w:rFonts w:hint="eastAsia" w:ascii="仿宋" w:hAnsi="仿宋" w:eastAsia="仿宋" w:cs="仿宋"/>
          <w:b/>
          <w:bCs/>
          <w:color w:val="auto"/>
          <w:sz w:val="24"/>
          <w:highlight w:val="none"/>
        </w:rPr>
        <w:t xml:space="preserve">元 </w:t>
      </w:r>
    </w:p>
    <w:p w14:paraId="5A876AE5">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6D3C03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270763AC">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
          <w:bCs/>
          <w:color w:val="auto"/>
          <w:sz w:val="24"/>
          <w:highlight w:val="none"/>
          <w:lang w:eastAsia="zh-CN"/>
        </w:rPr>
        <w:t>绍兴市公共交通集团有限公司2025年度场站维管项目</w:t>
      </w:r>
    </w:p>
    <w:p w14:paraId="1BFACF0E">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14:paraId="0F9FF784">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预算金额：</w:t>
      </w:r>
      <w:r>
        <w:rPr>
          <w:rFonts w:hint="eastAsia" w:ascii="仿宋" w:hAnsi="仿宋" w:eastAsia="仿宋" w:cs="仿宋"/>
          <w:b/>
          <w:bCs/>
          <w:color w:val="auto"/>
          <w:sz w:val="24"/>
          <w:highlight w:val="none"/>
          <w:lang w:eastAsia="zh-CN"/>
        </w:rPr>
        <w:t>13800000</w:t>
      </w:r>
      <w:r>
        <w:rPr>
          <w:rFonts w:hint="eastAsia" w:ascii="仿宋" w:hAnsi="仿宋" w:eastAsia="仿宋" w:cs="仿宋"/>
          <w:b/>
          <w:bCs/>
          <w:color w:val="auto"/>
          <w:sz w:val="24"/>
          <w:highlight w:val="none"/>
        </w:rPr>
        <w:t xml:space="preserve">元 </w:t>
      </w:r>
    </w:p>
    <w:p w14:paraId="2CC45AA1">
      <w:pPr>
        <w:spacing w:line="440" w:lineRule="exact"/>
        <w:ind w:left="1679" w:leftChars="228" w:hanging="1200" w:hangingChars="500"/>
        <w:jc w:val="both"/>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eastAsia="zh-CN"/>
        </w:rPr>
        <w:t>为绍兴市公共交通集团有限公司第一、第二、第三有限公司提供场站维管，候车亭维管，站架、站杆、站牌制作和维护，零星维管项目（零星维修）等内容</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eastAsia="zh-CN"/>
        </w:rPr>
        <w:t>，具体详见招标文件第三部分《招标项目范围及要求》</w:t>
      </w:r>
      <w:r>
        <w:rPr>
          <w:rFonts w:hint="eastAsia" w:ascii="仿宋" w:hAnsi="仿宋" w:eastAsia="仿宋" w:cs="仿宋"/>
          <w:b/>
          <w:color w:val="auto"/>
          <w:sz w:val="24"/>
          <w:highlight w:val="none"/>
        </w:rPr>
        <w:t>。</w:t>
      </w:r>
    </w:p>
    <w:p w14:paraId="3D181FD8">
      <w:pPr>
        <w:spacing w:line="44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合同</w:t>
      </w:r>
      <w:r>
        <w:rPr>
          <w:rFonts w:hint="eastAsia" w:ascii="仿宋" w:hAnsi="仿宋" w:eastAsia="仿宋" w:cs="仿宋"/>
          <w:b/>
          <w:color w:val="auto"/>
          <w:sz w:val="24"/>
          <w:highlight w:val="none"/>
          <w:lang w:val="en-US" w:eastAsia="zh-CN"/>
        </w:rPr>
        <w:t>履行</w:t>
      </w:r>
      <w:r>
        <w:rPr>
          <w:rFonts w:hint="eastAsia" w:ascii="仿宋" w:hAnsi="仿宋" w:eastAsia="仿宋" w:cs="仿宋"/>
          <w:b/>
          <w:color w:val="auto"/>
          <w:sz w:val="24"/>
          <w:highlight w:val="none"/>
        </w:rPr>
        <w:t>期限</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合同签订日起至2025年</w:t>
      </w: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月3</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日止。</w:t>
      </w:r>
    </w:p>
    <w:p w14:paraId="56E8DC54">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Cs/>
          <w:color w:val="auto"/>
          <w:sz w:val="24"/>
          <w:highlight w:val="none"/>
        </w:rPr>
        <w:t>否</w:t>
      </w:r>
      <w:r>
        <w:rPr>
          <w:rFonts w:hint="eastAsia" w:ascii="仿宋" w:hAnsi="仿宋" w:eastAsia="仿宋" w:cs="仿宋"/>
          <w:b/>
          <w:color w:val="auto"/>
          <w:sz w:val="24"/>
          <w:highlight w:val="none"/>
        </w:rPr>
        <w:t>。</w:t>
      </w:r>
    </w:p>
    <w:p w14:paraId="51E2F3AE">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0963A74">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1.未被“信用中国”（www.creditchina.gov.cn)、中国政府采购网（www.ccgp.gov.cn）列入失信被执行人、重大税收违法失信主体、政府采购严重违法失信行为记录名单；</w:t>
      </w:r>
    </w:p>
    <w:p w14:paraId="1544234F">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2.以联合体形式投标的，提供联合协议(本项目不接受联合体投标或者供应商不以联合体形式投标的，则不需要提供)；</w:t>
      </w:r>
    </w:p>
    <w:p w14:paraId="6AB47B9E">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snapToGrid w:val="0"/>
          <w:color w:val="auto"/>
          <w:kern w:val="28"/>
          <w:sz w:val="24"/>
          <w:szCs w:val="20"/>
          <w:highlight w:val="none"/>
        </w:rPr>
        <w:t>3.落实采购政策需满足的资格要求：</w:t>
      </w:r>
      <w:r>
        <w:rPr>
          <w:rFonts w:hint="eastAsia" w:ascii="仿宋" w:hAnsi="仿宋" w:eastAsia="仿宋" w:cs="仿宋"/>
          <w:color w:val="auto"/>
          <w:sz w:val="24"/>
          <w:highlight w:val="none"/>
        </w:rPr>
        <w:t>无。</w:t>
      </w:r>
    </w:p>
    <w:p w14:paraId="24BC378D">
      <w:pPr>
        <w:spacing w:line="4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4.本项目的特定资格要求：</w:t>
      </w:r>
      <w:r>
        <w:rPr>
          <w:rFonts w:hint="eastAsia" w:ascii="仿宋" w:hAnsi="仿宋" w:eastAsia="仿宋" w:cs="仿宋"/>
          <w:b/>
          <w:bCs/>
          <w:color w:val="auto"/>
          <w:sz w:val="24"/>
          <w:highlight w:val="none"/>
          <w:lang w:val="en-US" w:eastAsia="zh-CN"/>
        </w:rPr>
        <w:t>（1）投标单位应具备建设行政主管部门核发的建筑工程施工总承包三级及以上和市政公用工程施工总承包三级及以上资质（对应资质应在“浙江省建筑市场监管公共服务系统”上资质动态核查结果处于“合格”状态），具有安全生产许可证；省外企业须浙江省住建厅备案（有效期内）或在“浙江省建筑市场监管公共服务系统”企业信息备案（省内企业不作要求）。</w:t>
      </w:r>
    </w:p>
    <w:p w14:paraId="1DDF7513">
      <w:pPr>
        <w:spacing w:line="4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项目负责人须具备建筑工程二级及以上和市政公用工程二级及以上注册建造师执业资格，具有安全生产考核合格证（B证），且无在建工程。拟派项目负责人必须为本单位在职职工（在职职工不包括离、退休返聘人员），须提供缴费期限包含2024年11月至2025年1月的投标人所属社保机构养老保险交纳清单或证明（缴费单位和投标人名称必须一致，并加盖社保缴费证明专用章）；</w:t>
      </w:r>
    </w:p>
    <w:p w14:paraId="65BBED3D">
      <w:pPr>
        <w:spacing w:line="4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在投标截止日存在在其他任何在建合同工程上现任项目负责人（包括工程总承包项目中的施工负责人）的，不得以拟派项目负责人的身份参加本次投标。在建合同工程的开始时间为合同工程中标通知书发出日期（不通过招标方式的，开始时间为合同签订日期），结束时间为该合同工程通过验收或合同解除日期。</w:t>
      </w:r>
    </w:p>
    <w:p w14:paraId="7ED4CFF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10C4391">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F1443C7">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w:t>
      </w:r>
    </w:p>
    <w:p w14:paraId="1A34494F">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绍兴市阳光采购服务平台（https://ygcg.sxjypt.com） </w:t>
      </w:r>
    </w:p>
    <w:p w14:paraId="6A0451F4">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供应商登录绍兴市阳光采购服务平台（https://ygcg.sxjypt.com），在线申请获取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（在绍兴市阳光采购服务平台主页“供应商入口”登录后，点击【网上报名】-【项目报名】，找到对应项目，点击报名。完成后在【已报名项目】-【报名详细】中获取招标文件）。</w:t>
      </w:r>
    </w:p>
    <w:p w14:paraId="3221BAC9">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73D49767">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B9B449A">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4AFE1F0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绍兴市阳光采购服务平台（https://ygcg.sxjypt.com）</w:t>
      </w:r>
    </w:p>
    <w:p w14:paraId="28ACB2EA">
      <w:pPr>
        <w:spacing w:line="440" w:lineRule="exact"/>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5F8E2F80">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绍兴市阳光采购服务平台（https://ygcg.sxjypt.com）</w:t>
      </w:r>
    </w:p>
    <w:p w14:paraId="1C7496C1">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五、其他补充事宜</w:t>
      </w:r>
    </w:p>
    <w:p w14:paraId="5E3D2C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在招标文件获取期间，在绍兴市阳光采购服务平台以书面形式向采购人和采购代理机构提出质疑。质疑供应商对采购人、采购代理机构的答复不满意或者采购人、采购代理机构未在规定的时间内作出答复的，</w:t>
      </w:r>
      <w:r>
        <w:rPr>
          <w:rFonts w:hint="eastAsia" w:ascii="仿宋" w:hAnsi="仿宋" w:eastAsia="仿宋" w:cs="仿宋"/>
          <w:color w:val="auto"/>
          <w:sz w:val="24"/>
          <w:highlight w:val="none"/>
          <w:u w:val="single"/>
        </w:rPr>
        <w:t>可以在答复期满后15个工作日内向本项目采购监督单位投诉</w:t>
      </w:r>
      <w:r>
        <w:rPr>
          <w:rFonts w:hint="eastAsia" w:ascii="仿宋" w:hAnsi="仿宋" w:eastAsia="仿宋" w:cs="仿宋"/>
          <w:color w:val="auto"/>
          <w:sz w:val="24"/>
          <w:highlight w:val="none"/>
        </w:rPr>
        <w:t>。质疑函范本、投诉书范本请到绍兴市阳光采购服务平台“资料下载”专区下载。</w:t>
      </w:r>
    </w:p>
    <w:p w14:paraId="1BA1E7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本项目为通过绍兴市阳光采购服务平台进行的全流程电子招投标项目，须通过绍兴市阳光采购服务平台（https://ygcg.sxjypt.com）进行电子投标，无法接受线下投标文件，请供应商合理安排好时间准时投标。</w:t>
      </w:r>
    </w:p>
    <w:p w14:paraId="43F60532">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说明：如遇两家（含）以上已签到供应商的IP地址等相同，系统自动触发预警，并提示"响应无效"的当场拒收此类响应文件。</w:t>
      </w:r>
    </w:p>
    <w:p w14:paraId="262BC14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3.系统使用费：平台系统使用费收取按照绍兴市阳光采购服务平台公示的收费标准执行（https://ygcg.sxjypt.com/detail?articleId=347），本项目成交系统使用费为</w:t>
      </w:r>
      <w:r>
        <w:rPr>
          <w:rFonts w:hint="eastAsia" w:ascii="仿宋" w:hAnsi="仿宋" w:eastAsia="仿宋" w:cs="仿宋"/>
          <w:color w:val="auto"/>
          <w:sz w:val="24"/>
          <w:highlight w:val="none"/>
          <w:lang w:val="en-US" w:eastAsia="zh-CN"/>
        </w:rPr>
        <w:t>每标1500元</w:t>
      </w:r>
      <w:r>
        <w:rPr>
          <w:rFonts w:hint="eastAsia" w:ascii="仿宋" w:hAnsi="仿宋" w:eastAsia="仿宋" w:cs="仿宋"/>
          <w:color w:val="auto"/>
          <w:sz w:val="24"/>
          <w:highlight w:val="none"/>
        </w:rPr>
        <w:t>。中标供应商在系统使用费订单生成后五日内未完成支付的，采购人有权取消其中标资格。</w:t>
      </w:r>
    </w:p>
    <w:p w14:paraId="792E88F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4.本项目为非依法必须招标项目。</w:t>
      </w:r>
    </w:p>
    <w:p w14:paraId="2B8A8FB2">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六、对本次采购提出询问、质疑、投诉，请按以下方式联系</w:t>
      </w:r>
    </w:p>
    <w:p w14:paraId="00012472">
      <w:pPr>
        <w:pStyle w:val="3"/>
        <w:spacing w:line="440" w:lineRule="exact"/>
        <w:ind w:left="0" w:firstLine="482" w:firstLineChars="200"/>
        <w:rPr>
          <w:rFonts w:hint="eastAsia" w:ascii="仿宋" w:hAnsi="仿宋" w:eastAsia="仿宋" w:cs="仿宋"/>
          <w:color w:val="auto"/>
          <w:sz w:val="24"/>
          <w:szCs w:val="24"/>
          <w:highlight w:val="none"/>
        </w:rPr>
      </w:pPr>
      <w:bookmarkStart w:id="10" w:name="_Toc35393637"/>
      <w:bookmarkStart w:id="11" w:name="_Toc28359096"/>
      <w:bookmarkStart w:id="12" w:name="_Toc35393806"/>
      <w:bookmarkStart w:id="13" w:name="_Toc28359019"/>
      <w:r>
        <w:rPr>
          <w:rFonts w:hint="eastAsia" w:ascii="仿宋" w:hAnsi="仿宋" w:eastAsia="仿宋" w:cs="仿宋"/>
          <w:color w:val="auto"/>
          <w:sz w:val="24"/>
          <w:szCs w:val="24"/>
          <w:highlight w:val="none"/>
        </w:rPr>
        <w:t>1.采购人信息</w:t>
      </w:r>
      <w:bookmarkEnd w:id="10"/>
      <w:bookmarkEnd w:id="11"/>
      <w:bookmarkEnd w:id="12"/>
      <w:bookmarkEnd w:id="13"/>
      <w:r>
        <w:rPr>
          <w:rFonts w:hint="eastAsia" w:ascii="仿宋" w:hAnsi="仿宋" w:eastAsia="仿宋" w:cs="仿宋"/>
          <w:color w:val="auto"/>
          <w:sz w:val="24"/>
          <w:szCs w:val="24"/>
          <w:highlight w:val="none"/>
        </w:rPr>
        <w:t>：</w:t>
      </w:r>
    </w:p>
    <w:p w14:paraId="0FF863ED">
      <w:pPr>
        <w:widowControl/>
        <w:snapToGrid w:val="0"/>
        <w:spacing w:line="420" w:lineRule="exact"/>
        <w:ind w:left="42" w:leftChars="20" w:right="42" w:rightChars="20" w:firstLine="480" w:firstLineChars="200"/>
        <w:rPr>
          <w:rFonts w:hint="eastAsia" w:ascii="仿宋" w:hAnsi="仿宋" w:eastAsia="仿宋" w:cs="仿宋"/>
          <w:color w:val="auto"/>
          <w:kern w:val="0"/>
          <w:sz w:val="24"/>
          <w:highlight w:val="none"/>
          <w:lang w:val="zh-CN"/>
        </w:rPr>
      </w:pPr>
      <w:bookmarkStart w:id="14" w:name="_Toc28359020"/>
      <w:bookmarkStart w:id="15" w:name="_Toc28359097"/>
      <w:bookmarkStart w:id="16" w:name="_Toc35393807"/>
      <w:bookmarkStart w:id="17" w:name="_Toc35393638"/>
      <w:r>
        <w:rPr>
          <w:rFonts w:hint="eastAsia" w:ascii="仿宋" w:hAnsi="仿宋" w:eastAsia="仿宋" w:cs="仿宋"/>
          <w:color w:val="auto"/>
          <w:kern w:val="0"/>
          <w:sz w:val="24"/>
          <w:highlight w:val="none"/>
          <w:lang w:val="zh-CN"/>
        </w:rPr>
        <w:t>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称：绍兴市公共交通集团有限公司</w:t>
      </w:r>
    </w:p>
    <w:p w14:paraId="2E1D0EF8">
      <w:pPr>
        <w:widowControl/>
        <w:snapToGrid w:val="0"/>
        <w:spacing w:line="420" w:lineRule="exact"/>
        <w:ind w:left="42" w:leftChars="20" w:right="42" w:rightChars="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地</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址：</w:t>
      </w:r>
      <w:r>
        <w:rPr>
          <w:rFonts w:hint="eastAsia" w:ascii="仿宋" w:hAnsi="仿宋" w:eastAsia="仿宋" w:cs="仿宋"/>
          <w:color w:val="auto"/>
          <w:kern w:val="0"/>
          <w:sz w:val="24"/>
          <w:highlight w:val="none"/>
        </w:rPr>
        <w:t>绍兴市润沁路 19 号</w:t>
      </w:r>
    </w:p>
    <w:p w14:paraId="65C9506A">
      <w:pPr>
        <w:widowControl/>
        <w:snapToGrid w:val="0"/>
        <w:spacing w:line="420" w:lineRule="exact"/>
        <w:ind w:left="42" w:leftChars="20" w:right="42" w:rightChars="2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项目联系人（询问）：</w:t>
      </w:r>
      <w:r>
        <w:rPr>
          <w:rFonts w:hint="eastAsia" w:ascii="仿宋" w:hAnsi="仿宋" w:eastAsia="仿宋" w:cs="仿宋"/>
          <w:color w:val="auto"/>
          <w:kern w:val="0"/>
          <w:sz w:val="24"/>
          <w:highlight w:val="none"/>
          <w:lang w:val="en-US" w:eastAsia="zh-CN"/>
        </w:rPr>
        <w:t>吕</w:t>
      </w:r>
      <w:r>
        <w:rPr>
          <w:rFonts w:hint="eastAsia" w:ascii="仿宋" w:hAnsi="仿宋" w:eastAsia="仿宋" w:cs="仿宋"/>
          <w:color w:val="auto"/>
          <w:kern w:val="0"/>
          <w:sz w:val="24"/>
          <w:highlight w:val="none"/>
          <w:lang w:val="zh-CN"/>
        </w:rPr>
        <w:t>工</w:t>
      </w:r>
    </w:p>
    <w:p w14:paraId="1C6F151D">
      <w:pPr>
        <w:widowControl/>
        <w:snapToGrid w:val="0"/>
        <w:spacing w:line="420" w:lineRule="exact"/>
        <w:ind w:left="42" w:leftChars="20" w:right="42" w:rightChars="20"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项目联系方式（询问）：</w:t>
      </w:r>
      <w:r>
        <w:rPr>
          <w:rFonts w:hint="eastAsia" w:ascii="仿宋" w:hAnsi="仿宋" w:eastAsia="仿宋" w:cs="仿宋"/>
          <w:color w:val="auto"/>
          <w:kern w:val="0"/>
          <w:sz w:val="24"/>
          <w:highlight w:val="none"/>
          <w:lang w:val="en-US" w:eastAsia="zh-CN"/>
        </w:rPr>
        <w:t>0575-88023892</w:t>
      </w:r>
    </w:p>
    <w:p w14:paraId="1C07A9DE">
      <w:pPr>
        <w:widowControl/>
        <w:snapToGrid w:val="0"/>
        <w:spacing w:line="420" w:lineRule="exact"/>
        <w:ind w:left="42" w:leftChars="20" w:right="42" w:rightChars="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质疑联系人：许经理</w:t>
      </w:r>
    </w:p>
    <w:p w14:paraId="7F102799">
      <w:pPr>
        <w:pStyle w:val="3"/>
        <w:spacing w:line="440" w:lineRule="exact"/>
        <w:ind w:left="0" w:firstLine="482"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kern w:val="0"/>
          <w:sz w:val="24"/>
          <w:highlight w:val="none"/>
        </w:rPr>
        <w:t>质疑联系方式：</w:t>
      </w:r>
      <w:r>
        <w:rPr>
          <w:rFonts w:hint="eastAsia" w:ascii="仿宋" w:hAnsi="仿宋" w:eastAsia="仿宋" w:cs="仿宋"/>
          <w:b w:val="0"/>
          <w:bCs w:val="0"/>
          <w:color w:val="auto"/>
          <w:sz w:val="24"/>
          <w:szCs w:val="24"/>
          <w:highlight w:val="none"/>
          <w:lang w:val="en-US"/>
        </w:rPr>
        <w:t>0575-88318786</w:t>
      </w:r>
    </w:p>
    <w:p w14:paraId="142D6352">
      <w:pPr>
        <w:pStyle w:val="3"/>
        <w:spacing w:line="440" w:lineRule="exact"/>
        <w:ind w:left="0"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2.采购代理机构信息</w:t>
      </w:r>
      <w:bookmarkEnd w:id="14"/>
      <w:bookmarkEnd w:id="15"/>
      <w:bookmarkEnd w:id="16"/>
      <w:bookmarkEnd w:id="17"/>
      <w:r>
        <w:rPr>
          <w:rFonts w:hint="eastAsia" w:ascii="仿宋" w:hAnsi="仿宋" w:eastAsia="仿宋" w:cs="仿宋"/>
          <w:color w:val="auto"/>
          <w:sz w:val="24"/>
          <w:szCs w:val="24"/>
          <w:highlight w:val="none"/>
        </w:rPr>
        <w:t>：</w:t>
      </w:r>
    </w:p>
    <w:p w14:paraId="76D3F5B0">
      <w:pPr>
        <w:spacing w:line="440" w:lineRule="exact"/>
        <w:ind w:firstLine="480" w:firstLineChars="200"/>
        <w:rPr>
          <w:rFonts w:hint="eastAsia" w:ascii="仿宋" w:hAnsi="仿宋" w:eastAsia="仿宋" w:cs="仿宋"/>
          <w:color w:val="auto"/>
          <w:sz w:val="24"/>
          <w:highlight w:val="none"/>
        </w:rPr>
      </w:pPr>
      <w:bookmarkStart w:id="18" w:name="_Toc35393808"/>
      <w:bookmarkStart w:id="19" w:name="_Toc28359021"/>
      <w:bookmarkStart w:id="20" w:name="_Toc35393639"/>
      <w:bookmarkStart w:id="21" w:name="_Toc28359098"/>
      <w:r>
        <w:rPr>
          <w:rFonts w:hint="eastAsia" w:ascii="仿宋" w:hAnsi="仿宋" w:eastAsia="仿宋" w:cs="仿宋"/>
          <w:color w:val="auto"/>
          <w:sz w:val="24"/>
          <w:highlight w:val="none"/>
        </w:rPr>
        <w:t xml:space="preserve">名    称：泰宇建筑工程技术咨询有限公司 </w:t>
      </w:r>
    </w:p>
    <w:p w14:paraId="78AECAB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kern w:val="0"/>
          <w:sz w:val="24"/>
          <w:highlight w:val="none"/>
        </w:rPr>
        <w:t>绍兴市越城区迎凤路87号鑫海大厦1601</w:t>
      </w:r>
      <w:r>
        <w:rPr>
          <w:rFonts w:hint="eastAsia" w:ascii="仿宋" w:hAnsi="仿宋" w:eastAsia="仿宋" w:cs="仿宋"/>
          <w:color w:val="auto"/>
          <w:sz w:val="24"/>
          <w:highlight w:val="none"/>
        </w:rPr>
        <w:t xml:space="preserve"> </w:t>
      </w:r>
    </w:p>
    <w:p w14:paraId="49AEB39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kern w:val="0"/>
          <w:sz w:val="24"/>
          <w:highlight w:val="none"/>
        </w:rPr>
        <w:t>金锦英</w:t>
      </w:r>
    </w:p>
    <w:p w14:paraId="40FE93D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kern w:val="0"/>
          <w:sz w:val="24"/>
          <w:highlight w:val="none"/>
        </w:rPr>
        <w:t>0575-88226969/13656752180</w:t>
      </w:r>
    </w:p>
    <w:p w14:paraId="645EEEF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kern w:val="0"/>
          <w:sz w:val="24"/>
          <w:highlight w:val="none"/>
        </w:rPr>
        <w:t>胡泽宇</w:t>
      </w:r>
    </w:p>
    <w:p w14:paraId="5199C50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kern w:val="0"/>
          <w:sz w:val="24"/>
          <w:highlight w:val="none"/>
        </w:rPr>
        <w:t>0575-85080066</w:t>
      </w:r>
    </w:p>
    <w:p w14:paraId="4EC7049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监督单位信息： </w:t>
      </w:r>
    </w:p>
    <w:bookmarkEnd w:id="18"/>
    <w:bookmarkEnd w:id="19"/>
    <w:bookmarkEnd w:id="20"/>
    <w:bookmarkEnd w:id="21"/>
    <w:p w14:paraId="39D4FCF0">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绍兴市公共交通集团有限公司</w:t>
      </w:r>
    </w:p>
    <w:p w14:paraId="154F3793">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址：绍兴市润沁路 19 号</w:t>
      </w:r>
    </w:p>
    <w:p w14:paraId="798921F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联系 人：</w:t>
      </w:r>
      <w:r>
        <w:rPr>
          <w:rFonts w:hint="eastAsia" w:ascii="仿宋" w:hAnsi="仿宋" w:eastAsia="仿宋" w:cs="仿宋"/>
          <w:color w:val="auto"/>
          <w:sz w:val="24"/>
          <w:highlight w:val="none"/>
        </w:rPr>
        <w:t xml:space="preserve">郑林飞   </w:t>
      </w:r>
    </w:p>
    <w:p w14:paraId="73A2E635">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监督投诉电话：0575-88376900</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w:t>
      </w:r>
    </w:p>
    <w:p w14:paraId="6DD6C2A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若对项目采购电子交易系统操作有疑问，拨打绍兴市阳光采购服务平台服务热线</w:t>
      </w:r>
      <w:r>
        <w:rPr>
          <w:rFonts w:hint="eastAsia" w:ascii="仿宋" w:hAnsi="仿宋" w:eastAsia="仿宋" w:cs="仿宋"/>
          <w:color w:val="auto"/>
          <w:sz w:val="24"/>
          <w:highlight w:val="none"/>
          <w:lang w:eastAsia="zh-CN"/>
        </w:rPr>
        <w:t>0575-88163055/137</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8514411</w:t>
      </w:r>
      <w:r>
        <w:rPr>
          <w:rFonts w:hint="eastAsia" w:ascii="仿宋" w:hAnsi="仿宋" w:eastAsia="仿宋" w:cs="仿宋"/>
          <w:color w:val="auto"/>
          <w:sz w:val="24"/>
          <w:highlight w:val="none"/>
        </w:rPr>
        <w:t>/15381628176获取热线服务帮助。</w:t>
      </w:r>
    </w:p>
    <w:p w14:paraId="36E212C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CA问题详见https://ygcg.sxjypt.com/detail?articleId=298。</w:t>
      </w:r>
    </w:p>
    <w:p w14:paraId="0A0304DD">
      <w:pPr>
        <w:widowControl/>
        <w:adjustRightInd/>
        <w:jc w:val="left"/>
        <w:rPr>
          <w:rFonts w:hint="eastAsia"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7"/>
    <w:bookmarkEnd w:id="8"/>
    <w:p w14:paraId="33E8241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投标须知</w:t>
      </w:r>
    </w:p>
    <w:p w14:paraId="1E90535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187F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noWrap w:val="0"/>
            <w:vAlign w:val="center"/>
          </w:tcPr>
          <w:p w14:paraId="7CCF0170">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noWrap w:val="0"/>
            <w:vAlign w:val="center"/>
          </w:tcPr>
          <w:p w14:paraId="206B0D7C">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44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noWrap w:val="0"/>
            <w:vAlign w:val="center"/>
          </w:tcPr>
          <w:p w14:paraId="4D813BFB">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noWrap w:val="0"/>
            <w:vAlign w:val="center"/>
          </w:tcPr>
          <w:p w14:paraId="49742D0D">
            <w:pPr>
              <w:autoSpaceDE w:val="0"/>
              <w:autoSpaceDN w:val="0"/>
              <w:snapToGrid w:val="0"/>
              <w:spacing w:line="440" w:lineRule="exact"/>
              <w:textAlignment w:val="center"/>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供应商按照项目要求特许资格、资信证明文件（如果有）：</w:t>
            </w:r>
          </w:p>
          <w:p w14:paraId="193F0AEF">
            <w:pPr>
              <w:autoSpaceDE w:val="0"/>
              <w:autoSpaceDN w:val="0"/>
              <w:spacing w:line="440" w:lineRule="exact"/>
              <w:ind w:firstLine="480" w:firstLineChars="200"/>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14:paraId="523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noWrap w:val="0"/>
            <w:vAlign w:val="center"/>
          </w:tcPr>
          <w:p w14:paraId="0064C509">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noWrap w:val="0"/>
            <w:vAlign w:val="center"/>
          </w:tcPr>
          <w:p w14:paraId="522CBFDC">
            <w:pPr>
              <w:autoSpaceDE w:val="0"/>
              <w:autoSpaceDN w:val="0"/>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资格审查方式：资格后审。</w:t>
            </w:r>
          </w:p>
        </w:tc>
      </w:tr>
      <w:tr w14:paraId="69B0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noWrap w:val="0"/>
            <w:vAlign w:val="center"/>
          </w:tcPr>
          <w:p w14:paraId="138F1FFE">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noWrap w:val="0"/>
            <w:vAlign w:val="center"/>
          </w:tcPr>
          <w:p w14:paraId="6E8FE97D">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w:t>
            </w:r>
            <w:r>
              <w:rPr>
                <w:rFonts w:hint="eastAsia" w:ascii="仿宋" w:hAnsi="仿宋" w:eastAsia="仿宋" w:cs="仿宋"/>
                <w:b/>
                <w:color w:val="auto"/>
                <w:sz w:val="24"/>
                <w:highlight w:val="none"/>
              </w:rPr>
              <w:t>供应商的投标文件中承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452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noWrap w:val="0"/>
            <w:vAlign w:val="center"/>
          </w:tcPr>
          <w:p w14:paraId="389C2D2B">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noWrap w:val="0"/>
            <w:vAlign w:val="center"/>
          </w:tcPr>
          <w:p w14:paraId="15119C66">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1DB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noWrap w:val="0"/>
            <w:vAlign w:val="center"/>
          </w:tcPr>
          <w:p w14:paraId="678A4C30">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noWrap w:val="0"/>
            <w:vAlign w:val="center"/>
          </w:tcPr>
          <w:p w14:paraId="59E38B0A">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工作分包。（应明确具体分包工作内容）</w:t>
            </w:r>
          </w:p>
          <w:p w14:paraId="5A9DB9B7">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B不同意分包。</w:t>
            </w:r>
          </w:p>
        </w:tc>
      </w:tr>
      <w:tr w14:paraId="5FD7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noWrap w:val="0"/>
            <w:vAlign w:val="center"/>
          </w:tcPr>
          <w:p w14:paraId="4E28966D">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noWrap w:val="0"/>
            <w:vAlign w:val="center"/>
          </w:tcPr>
          <w:p w14:paraId="263EAC5E">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本项目实行网上投标，供应商于绍兴市阳光采购服务平台（https://ygcg.sxjypt.com）提供电子投标文件。</w:t>
            </w:r>
          </w:p>
        </w:tc>
      </w:tr>
      <w:tr w14:paraId="53EB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noWrap w:val="0"/>
            <w:vAlign w:val="center"/>
          </w:tcPr>
          <w:p w14:paraId="165BBF01">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noWrap w:val="0"/>
            <w:vAlign w:val="center"/>
          </w:tcPr>
          <w:p w14:paraId="1964D8AE">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5876C26A">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890B898">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strike/>
                <w:dstrike w:val="0"/>
                <w:color w:val="auto"/>
                <w:kern w:val="0"/>
                <w:sz w:val="24"/>
                <w:highlight w:val="none"/>
              </w:rPr>
              <w:t>☐B组织，</w:t>
            </w:r>
            <w:r>
              <w:rPr>
                <w:rFonts w:hint="eastAsia" w:ascii="仿宋" w:hAnsi="仿宋" w:eastAsia="仿宋" w:cs="仿宋"/>
                <w:strike/>
                <w:dstrike w:val="0"/>
                <w:color w:val="auto"/>
                <w:sz w:val="24"/>
                <w:highlight w:val="none"/>
              </w:rPr>
              <w:t>时间</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,地点</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，联系人</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，联系方式</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szCs w:val="20"/>
                <w:highlight w:val="none"/>
              </w:rPr>
              <w:t>。</w:t>
            </w:r>
          </w:p>
        </w:tc>
      </w:tr>
      <w:tr w14:paraId="737D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noWrap w:val="0"/>
            <w:vAlign w:val="center"/>
          </w:tcPr>
          <w:p w14:paraId="0CF547C5">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noWrap w:val="0"/>
            <w:vAlign w:val="center"/>
          </w:tcPr>
          <w:p w14:paraId="0D9FD1E4">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 xml:space="preserve">投标保证金: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250000</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rPr>
              <w:t>元</w:t>
            </w:r>
            <w:r>
              <w:rPr>
                <w:rFonts w:hint="eastAsia" w:ascii="仿宋" w:hAnsi="仿宋" w:eastAsia="仿宋" w:cs="仿宋"/>
                <w:color w:val="auto"/>
                <w:kern w:val="0"/>
                <w:sz w:val="24"/>
                <w:highlight w:val="none"/>
              </w:rPr>
              <w:t>。</w:t>
            </w:r>
          </w:p>
          <w:p w14:paraId="5E8F2EE8">
            <w:pPr>
              <w:autoSpaceDE w:val="0"/>
              <w:autoSpaceDN w:val="0"/>
              <w:spacing w:line="440" w:lineRule="exact"/>
              <w:textAlignment w:val="center"/>
              <w:rPr>
                <w:rFonts w:hint="eastAsia" w:ascii="仿宋" w:hAnsi="仿宋" w:eastAsia="仿宋" w:cs="仿宋"/>
                <w:i w:val="0"/>
                <w:iCs w:val="0"/>
                <w:color w:val="auto"/>
                <w:kern w:val="0"/>
                <w:sz w:val="24"/>
                <w:highlight w:val="none"/>
              </w:rPr>
            </w:pPr>
            <w:r>
              <w:rPr>
                <w:rFonts w:hint="eastAsia" w:ascii="仿宋" w:hAnsi="仿宋" w:eastAsia="仿宋" w:cs="仿宋"/>
                <w:b/>
                <w:bCs/>
                <w:i w:val="0"/>
                <w:iCs w:val="0"/>
                <w:color w:val="auto"/>
                <w:kern w:val="0"/>
                <w:sz w:val="24"/>
                <w:highlight w:val="none"/>
              </w:rPr>
              <w:t>投标保证金的到账截止时间：</w:t>
            </w:r>
            <w:r>
              <w:rPr>
                <w:rFonts w:hint="eastAsia" w:ascii="仿宋" w:hAnsi="仿宋" w:eastAsia="仿宋" w:cs="仿宋"/>
                <w:i w:val="0"/>
                <w:iCs w:val="0"/>
                <w:color w:val="auto"/>
                <w:kern w:val="0"/>
                <w:sz w:val="24"/>
                <w:highlight w:val="none"/>
              </w:rPr>
              <w:t>202</w:t>
            </w:r>
            <w:r>
              <w:rPr>
                <w:rFonts w:hint="eastAsia" w:ascii="仿宋" w:hAnsi="仿宋" w:eastAsia="仿宋" w:cs="仿宋"/>
                <w:i w:val="0"/>
                <w:iCs w:val="0"/>
                <w:color w:val="auto"/>
                <w:kern w:val="0"/>
                <w:sz w:val="24"/>
                <w:highlight w:val="none"/>
                <w:lang w:val="en-US" w:eastAsia="zh-CN"/>
              </w:rPr>
              <w:t>5</w:t>
            </w:r>
            <w:r>
              <w:rPr>
                <w:rFonts w:hint="eastAsia" w:ascii="仿宋" w:hAnsi="仿宋" w:eastAsia="仿宋" w:cs="仿宋"/>
                <w:i w:val="0"/>
                <w:iCs w:val="0"/>
                <w:color w:val="auto"/>
                <w:kern w:val="0"/>
                <w:sz w:val="24"/>
                <w:highlight w:val="none"/>
              </w:rPr>
              <w:t>年</w:t>
            </w:r>
            <w:r>
              <w:rPr>
                <w:rFonts w:hint="eastAsia" w:ascii="仿宋" w:hAnsi="仿宋" w:eastAsia="仿宋" w:cs="仿宋"/>
                <w:i w:val="0"/>
                <w:iCs w:val="0"/>
                <w:color w:val="auto"/>
                <w:kern w:val="0"/>
                <w:sz w:val="24"/>
                <w:highlight w:val="none"/>
                <w:lang w:val="en-US" w:eastAsia="zh-CN"/>
              </w:rPr>
              <w:t>04</w:t>
            </w:r>
            <w:r>
              <w:rPr>
                <w:rFonts w:hint="eastAsia" w:ascii="仿宋" w:hAnsi="仿宋" w:eastAsia="仿宋" w:cs="仿宋"/>
                <w:i w:val="0"/>
                <w:iCs w:val="0"/>
                <w:color w:val="auto"/>
                <w:kern w:val="0"/>
                <w:sz w:val="24"/>
                <w:highlight w:val="none"/>
              </w:rPr>
              <w:t>月</w:t>
            </w:r>
            <w:r>
              <w:rPr>
                <w:rFonts w:hint="eastAsia" w:ascii="仿宋" w:hAnsi="仿宋" w:eastAsia="仿宋" w:cs="仿宋"/>
                <w:i w:val="0"/>
                <w:iCs w:val="0"/>
                <w:color w:val="auto"/>
                <w:kern w:val="0"/>
                <w:sz w:val="24"/>
                <w:highlight w:val="none"/>
                <w:lang w:val="en-US" w:eastAsia="zh-CN"/>
              </w:rPr>
              <w:t>01</w:t>
            </w:r>
            <w:r>
              <w:rPr>
                <w:rFonts w:hint="eastAsia" w:ascii="仿宋" w:hAnsi="仿宋" w:eastAsia="仿宋" w:cs="仿宋"/>
                <w:i w:val="0"/>
                <w:iCs w:val="0"/>
                <w:color w:val="auto"/>
                <w:kern w:val="0"/>
                <w:sz w:val="24"/>
                <w:highlight w:val="none"/>
              </w:rPr>
              <w:t>日15</w:t>
            </w:r>
            <w:r>
              <w:rPr>
                <w:rFonts w:hint="eastAsia" w:ascii="仿宋" w:hAnsi="仿宋" w:eastAsia="仿宋" w:cs="仿宋"/>
                <w:i w:val="0"/>
                <w:iCs w:val="0"/>
                <w:color w:val="auto"/>
                <w:kern w:val="0"/>
                <w:sz w:val="24"/>
                <w:highlight w:val="none"/>
                <w:lang w:val="en-US" w:eastAsia="zh-CN"/>
              </w:rPr>
              <w:t>点</w:t>
            </w:r>
            <w:r>
              <w:rPr>
                <w:rFonts w:hint="eastAsia" w:ascii="仿宋" w:hAnsi="仿宋" w:eastAsia="仿宋" w:cs="仿宋"/>
                <w:i w:val="0"/>
                <w:iCs w:val="0"/>
                <w:color w:val="auto"/>
                <w:kern w:val="0"/>
                <w:sz w:val="24"/>
                <w:highlight w:val="none"/>
              </w:rPr>
              <w:t>00</w:t>
            </w:r>
            <w:r>
              <w:rPr>
                <w:rFonts w:hint="eastAsia" w:ascii="仿宋" w:hAnsi="仿宋" w:eastAsia="仿宋" w:cs="仿宋"/>
                <w:i w:val="0"/>
                <w:iCs w:val="0"/>
                <w:color w:val="auto"/>
                <w:kern w:val="0"/>
                <w:sz w:val="24"/>
                <w:highlight w:val="none"/>
                <w:lang w:val="en-US" w:eastAsia="zh-CN"/>
              </w:rPr>
              <w:t>分00秒</w:t>
            </w:r>
            <w:r>
              <w:rPr>
                <w:rFonts w:hint="eastAsia" w:ascii="仿宋" w:hAnsi="仿宋" w:eastAsia="仿宋" w:cs="仿宋"/>
                <w:i w:val="0"/>
                <w:iCs w:val="0"/>
                <w:color w:val="auto"/>
                <w:sz w:val="24"/>
                <w:highlight w:val="none"/>
              </w:rPr>
              <w:t>（北京时间）</w:t>
            </w:r>
            <w:r>
              <w:rPr>
                <w:rFonts w:hint="eastAsia" w:ascii="仿宋" w:hAnsi="仿宋" w:eastAsia="仿宋" w:cs="仿宋"/>
                <w:i w:val="0"/>
                <w:iCs w:val="0"/>
                <w:color w:val="auto"/>
                <w:kern w:val="0"/>
                <w:sz w:val="24"/>
                <w:highlight w:val="none"/>
              </w:rPr>
              <w:t>。项目报名</w:t>
            </w:r>
            <w:r>
              <w:rPr>
                <w:rFonts w:hint="eastAsia" w:ascii="仿宋" w:hAnsi="仿宋" w:eastAsia="仿宋" w:cs="仿宋"/>
                <w:i w:val="0"/>
                <w:iCs w:val="0"/>
                <w:color w:val="auto"/>
                <w:kern w:val="0"/>
                <w:sz w:val="24"/>
                <w:highlight w:val="none"/>
                <w:lang w:val="en-US" w:eastAsia="zh-CN"/>
              </w:rPr>
              <w:t>成功</w:t>
            </w:r>
            <w:r>
              <w:rPr>
                <w:rFonts w:hint="eastAsia" w:ascii="仿宋" w:hAnsi="仿宋" w:eastAsia="仿宋" w:cs="仿宋"/>
                <w:i w:val="0"/>
                <w:iCs w:val="0"/>
                <w:color w:val="auto"/>
                <w:kern w:val="0"/>
                <w:sz w:val="24"/>
                <w:highlight w:val="none"/>
              </w:rPr>
              <w:t>后，</w:t>
            </w:r>
            <w:r>
              <w:rPr>
                <w:rFonts w:hint="eastAsia" w:ascii="仿宋" w:hAnsi="仿宋" w:eastAsia="仿宋" w:cs="仿宋"/>
                <w:i w:val="0"/>
                <w:iCs w:val="0"/>
                <w:color w:val="auto"/>
                <w:kern w:val="0"/>
                <w:sz w:val="24"/>
                <w:highlight w:val="none"/>
                <w:lang w:val="en-US" w:eastAsia="zh-CN"/>
              </w:rPr>
              <w:t>供应商</w:t>
            </w:r>
            <w:r>
              <w:rPr>
                <w:rFonts w:hint="default" w:ascii="仿宋" w:hAnsi="仿宋" w:eastAsia="仿宋" w:cs="仿宋"/>
                <w:i w:val="0"/>
                <w:iCs w:val="0"/>
                <w:color w:val="auto"/>
                <w:kern w:val="0"/>
                <w:sz w:val="24"/>
                <w:highlight w:val="none"/>
                <w:lang w:val="en-US"/>
              </w:rPr>
              <w:t>通过</w:t>
            </w:r>
            <w:r>
              <w:rPr>
                <w:rFonts w:hint="eastAsia" w:ascii="仿宋" w:hAnsi="仿宋" w:eastAsia="仿宋" w:cs="仿宋"/>
                <w:i w:val="0"/>
                <w:iCs w:val="0"/>
                <w:color w:val="auto"/>
                <w:kern w:val="0"/>
                <w:sz w:val="24"/>
                <w:highlight w:val="none"/>
                <w:lang w:val="en-US" w:eastAsia="zh-CN"/>
              </w:rPr>
              <w:t>登录</w:t>
            </w:r>
            <w:r>
              <w:rPr>
                <w:rFonts w:hint="eastAsia" w:ascii="仿宋" w:hAnsi="仿宋" w:eastAsia="仿宋" w:cs="仿宋"/>
                <w:i w:val="0"/>
                <w:iCs w:val="0"/>
                <w:color w:val="auto"/>
                <w:kern w:val="0"/>
                <w:sz w:val="24"/>
                <w:highlight w:val="none"/>
              </w:rPr>
              <w:t>绍兴市阳光采购服务平台在本项目中</w:t>
            </w:r>
            <w:r>
              <w:rPr>
                <w:rFonts w:hint="eastAsia" w:ascii="仿宋" w:hAnsi="仿宋" w:eastAsia="仿宋" w:cs="仿宋"/>
                <w:i w:val="0"/>
                <w:iCs w:val="0"/>
                <w:color w:val="auto"/>
                <w:kern w:val="0"/>
                <w:sz w:val="24"/>
                <w:highlight w:val="none"/>
                <w:lang w:val="en-US" w:eastAsia="zh-CN"/>
              </w:rPr>
              <w:t>获取</w:t>
            </w:r>
            <w:r>
              <w:rPr>
                <w:rFonts w:hint="eastAsia" w:ascii="仿宋" w:hAnsi="仿宋" w:eastAsia="仿宋" w:cs="仿宋"/>
                <w:i w:val="0"/>
                <w:iCs w:val="0"/>
                <w:color w:val="auto"/>
                <w:kern w:val="0"/>
                <w:sz w:val="24"/>
                <w:highlight w:val="none"/>
              </w:rPr>
              <w:t>相应的虚拟子账号，</w:t>
            </w:r>
            <w:r>
              <w:rPr>
                <w:rFonts w:hint="eastAsia" w:ascii="仿宋" w:hAnsi="仿宋" w:eastAsia="仿宋" w:cs="仿宋"/>
                <w:i w:val="0"/>
                <w:iCs w:val="0"/>
                <w:color w:val="auto"/>
                <w:kern w:val="0"/>
                <w:sz w:val="24"/>
                <w:highlight w:val="none"/>
                <w:lang w:val="en-US" w:eastAsia="zh-CN"/>
              </w:rPr>
              <w:t>并</w:t>
            </w:r>
            <w:r>
              <w:rPr>
                <w:rFonts w:hint="eastAsia" w:ascii="仿宋" w:hAnsi="仿宋" w:eastAsia="仿宋" w:cs="仿宋"/>
                <w:i w:val="0"/>
                <w:iCs w:val="0"/>
                <w:color w:val="auto"/>
                <w:kern w:val="0"/>
                <w:sz w:val="24"/>
                <w:highlight w:val="none"/>
              </w:rPr>
              <w:t>将保证金由</w:t>
            </w:r>
            <w:r>
              <w:rPr>
                <w:rFonts w:hint="eastAsia" w:ascii="仿宋" w:hAnsi="仿宋" w:eastAsia="仿宋" w:cs="仿宋"/>
                <w:i w:val="0"/>
                <w:iCs w:val="0"/>
                <w:color w:val="auto"/>
                <w:kern w:val="0"/>
                <w:sz w:val="24"/>
                <w:highlight w:val="none"/>
                <w:lang w:val="en-US" w:eastAsia="zh-CN"/>
              </w:rPr>
              <w:t>供应商</w:t>
            </w:r>
            <w:r>
              <w:rPr>
                <w:rFonts w:hint="eastAsia" w:ascii="仿宋" w:hAnsi="仿宋" w:eastAsia="仿宋" w:cs="仿宋"/>
                <w:i w:val="0"/>
                <w:iCs w:val="0"/>
                <w:color w:val="auto"/>
                <w:kern w:val="0"/>
                <w:sz w:val="24"/>
                <w:highlight w:val="none"/>
              </w:rPr>
              <w:t>的</w:t>
            </w:r>
            <w:r>
              <w:rPr>
                <w:rFonts w:hint="eastAsia" w:ascii="仿宋" w:hAnsi="仿宋" w:eastAsia="仿宋" w:cs="仿宋"/>
                <w:b/>
                <w:bCs/>
                <w:i w:val="0"/>
                <w:iCs w:val="0"/>
                <w:color w:val="auto"/>
                <w:kern w:val="0"/>
                <w:sz w:val="24"/>
                <w:highlight w:val="none"/>
              </w:rPr>
              <w:t>账户</w:t>
            </w:r>
            <w:r>
              <w:rPr>
                <w:rFonts w:hint="eastAsia" w:ascii="仿宋" w:hAnsi="仿宋" w:eastAsia="仿宋" w:cs="仿宋"/>
                <w:b/>
                <w:bCs/>
                <w:i w:val="0"/>
                <w:iCs w:val="0"/>
                <w:color w:val="auto"/>
                <w:kern w:val="0"/>
                <w:sz w:val="24"/>
                <w:highlight w:val="none"/>
                <w:lang w:eastAsia="zh-CN"/>
              </w:rPr>
              <w:t>（</w:t>
            </w:r>
            <w:r>
              <w:rPr>
                <w:rFonts w:hint="eastAsia" w:ascii="仿宋" w:hAnsi="仿宋" w:eastAsia="仿宋" w:cs="仿宋"/>
                <w:b/>
                <w:bCs/>
                <w:i w:val="0"/>
                <w:iCs w:val="0"/>
                <w:color w:val="auto"/>
                <w:kern w:val="0"/>
                <w:sz w:val="24"/>
                <w:highlight w:val="none"/>
                <w:lang w:val="en-US" w:eastAsia="zh-CN"/>
              </w:rPr>
              <w:t>户名和投标人名称一致</w:t>
            </w:r>
            <w:r>
              <w:rPr>
                <w:rFonts w:hint="eastAsia" w:ascii="仿宋" w:hAnsi="仿宋" w:eastAsia="仿宋" w:cs="仿宋"/>
                <w:b/>
                <w:bCs/>
                <w:i w:val="0"/>
                <w:iCs w:val="0"/>
                <w:color w:val="auto"/>
                <w:kern w:val="0"/>
                <w:sz w:val="24"/>
                <w:highlight w:val="none"/>
                <w:lang w:eastAsia="zh-CN"/>
              </w:rPr>
              <w:t>）</w:t>
            </w:r>
            <w:r>
              <w:rPr>
                <w:rFonts w:hint="eastAsia" w:ascii="仿宋" w:hAnsi="仿宋" w:eastAsia="仿宋" w:cs="仿宋"/>
                <w:i w:val="0"/>
                <w:iCs w:val="0"/>
                <w:color w:val="auto"/>
                <w:kern w:val="0"/>
                <w:sz w:val="24"/>
                <w:highlight w:val="none"/>
              </w:rPr>
              <w:t>一次性缴入该虚拟子账号。</w:t>
            </w:r>
          </w:p>
          <w:p w14:paraId="09726E22">
            <w:pPr>
              <w:autoSpaceDE w:val="0"/>
              <w:autoSpaceDN w:val="0"/>
              <w:spacing w:line="440" w:lineRule="exact"/>
              <w:textAlignment w:val="center"/>
              <w:rPr>
                <w:rFonts w:hint="eastAsia" w:ascii="仿宋" w:hAnsi="仿宋" w:eastAsia="仿宋" w:cs="仿宋"/>
                <w:i w:val="0"/>
                <w:iCs w:val="0"/>
                <w:color w:val="auto"/>
                <w:kern w:val="0"/>
                <w:sz w:val="24"/>
                <w:highlight w:val="none"/>
              </w:rPr>
            </w:pPr>
            <w:r>
              <w:rPr>
                <w:rFonts w:hint="eastAsia" w:ascii="仿宋" w:hAnsi="仿宋" w:eastAsia="仿宋" w:cs="仿宋"/>
                <w:b/>
                <w:bCs/>
                <w:i w:val="0"/>
                <w:iCs w:val="0"/>
                <w:color w:val="auto"/>
                <w:kern w:val="0"/>
                <w:sz w:val="24"/>
                <w:highlight w:val="none"/>
              </w:rPr>
              <w:t>投标保证金退还期限：</w:t>
            </w:r>
            <w:r>
              <w:rPr>
                <w:rFonts w:hint="eastAsia" w:ascii="仿宋" w:hAnsi="仿宋" w:eastAsia="仿宋" w:cs="仿宋"/>
                <w:i w:val="0"/>
                <w:iCs w:val="0"/>
                <w:color w:val="auto"/>
                <w:kern w:val="0"/>
                <w:sz w:val="24"/>
                <w:highlight w:val="none"/>
              </w:rPr>
              <w:t>未中标</w:t>
            </w:r>
            <w:r>
              <w:rPr>
                <w:rFonts w:hint="eastAsia" w:ascii="仿宋" w:hAnsi="仿宋" w:eastAsia="仿宋" w:cs="仿宋"/>
                <w:i w:val="0"/>
                <w:iCs w:val="0"/>
                <w:color w:val="auto"/>
                <w:kern w:val="0"/>
                <w:sz w:val="24"/>
                <w:highlight w:val="none"/>
                <w:lang w:val="en-US" w:eastAsia="zh-CN"/>
              </w:rPr>
              <w:t>供应商</w:t>
            </w:r>
            <w:r>
              <w:rPr>
                <w:rFonts w:hint="eastAsia" w:ascii="仿宋" w:hAnsi="仿宋" w:eastAsia="仿宋" w:cs="仿宋"/>
                <w:i w:val="0"/>
                <w:iCs w:val="0"/>
                <w:color w:val="auto"/>
                <w:kern w:val="0"/>
                <w:sz w:val="24"/>
                <w:highlight w:val="none"/>
              </w:rPr>
              <w:t>的投标保证金在结果公示无异议结束后 5 日内退还，中标</w:t>
            </w:r>
            <w:r>
              <w:rPr>
                <w:rFonts w:hint="eastAsia" w:ascii="仿宋" w:hAnsi="仿宋" w:eastAsia="仿宋" w:cs="仿宋"/>
                <w:i w:val="0"/>
                <w:iCs w:val="0"/>
                <w:color w:val="auto"/>
                <w:kern w:val="0"/>
                <w:sz w:val="24"/>
                <w:highlight w:val="none"/>
                <w:lang w:val="en-US" w:eastAsia="zh-CN"/>
              </w:rPr>
              <w:t>供应商</w:t>
            </w:r>
            <w:r>
              <w:rPr>
                <w:rFonts w:hint="eastAsia" w:ascii="仿宋" w:hAnsi="仿宋" w:eastAsia="仿宋" w:cs="仿宋"/>
                <w:i w:val="0"/>
                <w:iCs w:val="0"/>
                <w:color w:val="auto"/>
                <w:kern w:val="0"/>
                <w:sz w:val="24"/>
                <w:highlight w:val="none"/>
              </w:rPr>
              <w:t>的投标保证金在合同签订后 5 日内退还。</w:t>
            </w:r>
          </w:p>
          <w:p w14:paraId="6FFC8DE3">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b/>
                <w:bCs/>
                <w:i w:val="0"/>
                <w:iCs w:val="0"/>
                <w:color w:val="auto"/>
                <w:kern w:val="0"/>
                <w:sz w:val="24"/>
                <w:highlight w:val="none"/>
              </w:rPr>
              <w:t>如</w:t>
            </w:r>
            <w:r>
              <w:rPr>
                <w:rFonts w:hint="eastAsia" w:ascii="仿宋" w:hAnsi="仿宋" w:eastAsia="仿宋" w:cs="仿宋"/>
                <w:b/>
                <w:bCs/>
                <w:i w:val="0"/>
                <w:iCs w:val="0"/>
                <w:color w:val="auto"/>
                <w:kern w:val="0"/>
                <w:sz w:val="24"/>
                <w:highlight w:val="none"/>
                <w:lang w:val="en-US" w:eastAsia="zh-CN"/>
              </w:rPr>
              <w:t>供应商</w:t>
            </w:r>
            <w:r>
              <w:rPr>
                <w:rFonts w:hint="eastAsia" w:ascii="仿宋" w:hAnsi="仿宋" w:eastAsia="仿宋" w:cs="仿宋"/>
                <w:b/>
                <w:bCs/>
                <w:i w:val="0"/>
                <w:iCs w:val="0"/>
                <w:color w:val="auto"/>
                <w:kern w:val="0"/>
                <w:sz w:val="24"/>
                <w:highlight w:val="none"/>
              </w:rPr>
              <w:t>选择电子保函方式缴纳投标保证金的：</w:t>
            </w:r>
            <w:r>
              <w:rPr>
                <w:rFonts w:hint="eastAsia" w:ascii="仿宋" w:hAnsi="仿宋" w:eastAsia="仿宋" w:cs="仿宋"/>
                <w:b w:val="0"/>
                <w:bCs w:val="0"/>
                <w:i w:val="0"/>
                <w:iCs w:val="0"/>
                <w:color w:val="auto"/>
                <w:kern w:val="0"/>
                <w:sz w:val="24"/>
                <w:highlight w:val="none"/>
              </w:rPr>
              <w:t>登录绍兴市阳光采购服务平台</w:t>
            </w:r>
            <w:r>
              <w:rPr>
                <w:rFonts w:hint="eastAsia" w:ascii="仿宋" w:hAnsi="仿宋" w:eastAsia="仿宋" w:cs="仿宋"/>
                <w:i w:val="0"/>
                <w:iCs w:val="0"/>
                <w:color w:val="auto"/>
                <w:kern w:val="0"/>
                <w:sz w:val="24"/>
                <w:highlight w:val="none"/>
              </w:rPr>
              <w:t>在本项目中购买电子保函（具体</w:t>
            </w:r>
            <w:r>
              <w:rPr>
                <w:rFonts w:hint="eastAsia" w:ascii="仿宋" w:hAnsi="仿宋" w:eastAsia="仿宋" w:cs="仿宋"/>
                <w:i w:val="0"/>
                <w:iCs w:val="0"/>
                <w:color w:val="auto"/>
                <w:kern w:val="0"/>
                <w:sz w:val="24"/>
                <w:highlight w:val="none"/>
                <w:lang w:val="en-US" w:eastAsia="zh-CN"/>
              </w:rPr>
              <w:t>详见“</w:t>
            </w:r>
            <w:r>
              <w:rPr>
                <w:rFonts w:hint="eastAsia" w:ascii="仿宋" w:hAnsi="仿宋" w:eastAsia="仿宋" w:cs="仿宋"/>
                <w:i w:val="0"/>
                <w:iCs w:val="0"/>
                <w:color w:val="auto"/>
                <w:kern w:val="0"/>
                <w:sz w:val="24"/>
                <w:highlight w:val="none"/>
              </w:rPr>
              <w:t>绍兴市阳光采购服务平台电子保函操作指南</w:t>
            </w:r>
            <w:r>
              <w:rPr>
                <w:rFonts w:hint="eastAsia" w:ascii="仿宋" w:hAnsi="仿宋" w:eastAsia="仿宋" w:cs="仿宋"/>
                <w:i w:val="0"/>
                <w:iCs w:val="0"/>
                <w:color w:val="auto"/>
                <w:kern w:val="0"/>
                <w:sz w:val="24"/>
                <w:highlight w:val="none"/>
                <w:lang w:val="en-US" w:eastAsia="zh-CN"/>
              </w:rPr>
              <w:t>”</w:t>
            </w:r>
            <w:r>
              <w:rPr>
                <w:rFonts w:hint="eastAsia" w:ascii="仿宋" w:hAnsi="仿宋" w:eastAsia="仿宋" w:cs="仿宋"/>
                <w:i w:val="0"/>
                <w:iCs w:val="0"/>
                <w:color w:val="auto"/>
                <w:kern w:val="0"/>
                <w:sz w:val="24"/>
                <w:highlight w:val="none"/>
              </w:rPr>
              <w:t>https://ygcg.sxjypt.com/detail?articleId=353）</w:t>
            </w:r>
            <w:r>
              <w:rPr>
                <w:rFonts w:hint="eastAsia" w:ascii="仿宋" w:hAnsi="仿宋" w:eastAsia="仿宋" w:cs="仿宋"/>
                <w:i w:val="0"/>
                <w:iCs w:val="0"/>
                <w:color w:val="auto"/>
                <w:kern w:val="0"/>
                <w:sz w:val="24"/>
                <w:highlight w:val="none"/>
                <w:lang w:eastAsia="zh-CN"/>
              </w:rPr>
              <w:t>。</w:t>
            </w:r>
          </w:p>
        </w:tc>
      </w:tr>
      <w:tr w14:paraId="177E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noWrap w:val="0"/>
            <w:vAlign w:val="center"/>
          </w:tcPr>
          <w:p w14:paraId="0F35E88C">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noWrap w:val="0"/>
            <w:vAlign w:val="center"/>
          </w:tcPr>
          <w:p w14:paraId="69EFD568">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6D3586CA">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66C3D61">
            <w:pPr>
              <w:autoSpaceDE w:val="0"/>
              <w:autoSpaceDN w:val="0"/>
              <w:spacing w:line="440" w:lineRule="exact"/>
              <w:textAlignment w:val="center"/>
              <w:rPr>
                <w:rFonts w:hint="eastAsia" w:ascii="仿宋" w:hAnsi="仿宋" w:eastAsia="仿宋" w:cs="仿宋"/>
                <w:strike/>
                <w:dstrike w:val="0"/>
                <w:color w:val="auto"/>
                <w:kern w:val="0"/>
                <w:sz w:val="24"/>
                <w:highlight w:val="none"/>
              </w:rPr>
            </w:pPr>
            <w:r>
              <w:rPr>
                <w:rFonts w:hint="eastAsia" w:ascii="仿宋" w:hAnsi="仿宋" w:eastAsia="仿宋" w:cs="仿宋"/>
                <w:strike/>
                <w:dstrike w:val="0"/>
                <w:color w:val="auto"/>
                <w:kern w:val="0"/>
                <w:sz w:val="24"/>
                <w:highlight w:val="none"/>
              </w:rPr>
              <w:t>□B要求提供，</w:t>
            </w:r>
          </w:p>
          <w:p w14:paraId="219AFE69">
            <w:pPr>
              <w:autoSpaceDE w:val="0"/>
              <w:autoSpaceDN w:val="0"/>
              <w:spacing w:line="440" w:lineRule="exact"/>
              <w:textAlignment w:val="center"/>
              <w:rPr>
                <w:rFonts w:hint="eastAsia" w:ascii="仿宋" w:hAnsi="仿宋" w:eastAsia="仿宋" w:cs="仿宋"/>
                <w:strike/>
                <w:dstrike w:val="0"/>
                <w:color w:val="auto"/>
                <w:kern w:val="0"/>
                <w:sz w:val="24"/>
                <w:highlight w:val="none"/>
              </w:rPr>
            </w:pPr>
            <w:r>
              <w:rPr>
                <w:rFonts w:hint="eastAsia" w:ascii="仿宋" w:hAnsi="仿宋" w:eastAsia="仿宋" w:cs="仿宋"/>
                <w:strike/>
                <w:dstrike w:val="0"/>
                <w:color w:val="auto"/>
                <w:kern w:val="0"/>
                <w:sz w:val="24"/>
                <w:highlight w:val="none"/>
              </w:rPr>
              <w:t>（1）</w:t>
            </w:r>
            <w:r>
              <w:rPr>
                <w:rFonts w:hint="eastAsia" w:ascii="仿宋" w:hAnsi="仿宋" w:eastAsia="仿宋" w:cs="仿宋"/>
                <w:strike/>
                <w:dstrike w:val="0"/>
                <w:snapToGrid w:val="0"/>
                <w:color w:val="auto"/>
                <w:kern w:val="28"/>
                <w:sz w:val="24"/>
                <w:highlight w:val="none"/>
              </w:rPr>
              <w:t>样品</w:t>
            </w:r>
            <w:r>
              <w:rPr>
                <w:rFonts w:hint="eastAsia" w:ascii="仿宋" w:hAnsi="仿宋" w:eastAsia="仿宋" w:cs="仿宋"/>
                <w:strike/>
                <w:dstrike w:val="0"/>
                <w:snapToGrid w:val="0"/>
                <w:color w:val="auto"/>
                <w:kern w:val="28"/>
                <w:sz w:val="24"/>
                <w:highlight w:val="none"/>
                <w:u w:val="single"/>
              </w:rPr>
              <w:t xml:space="preserve">：      </w:t>
            </w:r>
            <w:r>
              <w:rPr>
                <w:rFonts w:hint="eastAsia" w:ascii="仿宋" w:hAnsi="仿宋" w:eastAsia="仿宋" w:cs="仿宋"/>
                <w:strike/>
                <w:dstrike w:val="0"/>
                <w:color w:val="auto"/>
                <w:kern w:val="0"/>
                <w:sz w:val="24"/>
                <w:highlight w:val="none"/>
              </w:rPr>
              <w:t>；</w:t>
            </w:r>
          </w:p>
          <w:p w14:paraId="2043F8FF">
            <w:pPr>
              <w:autoSpaceDE w:val="0"/>
              <w:autoSpaceDN w:val="0"/>
              <w:spacing w:line="440" w:lineRule="exact"/>
              <w:textAlignment w:val="center"/>
              <w:rPr>
                <w:rFonts w:hint="eastAsia" w:ascii="仿宋" w:hAnsi="仿宋" w:eastAsia="仿宋" w:cs="仿宋"/>
                <w:strike/>
                <w:dstrike w:val="0"/>
                <w:color w:val="auto"/>
                <w:kern w:val="0"/>
                <w:sz w:val="24"/>
                <w:highlight w:val="none"/>
              </w:rPr>
            </w:pPr>
            <w:r>
              <w:rPr>
                <w:rFonts w:hint="eastAsia" w:ascii="仿宋" w:hAnsi="仿宋" w:eastAsia="仿宋" w:cs="仿宋"/>
                <w:strike/>
                <w:dstrike w:val="0"/>
                <w:color w:val="auto"/>
                <w:kern w:val="0"/>
                <w:sz w:val="24"/>
                <w:highlight w:val="none"/>
              </w:rPr>
              <w:t>（2）</w:t>
            </w:r>
            <w:r>
              <w:rPr>
                <w:rFonts w:hint="eastAsia" w:ascii="仿宋" w:hAnsi="仿宋" w:eastAsia="仿宋" w:cs="仿宋"/>
                <w:strike/>
                <w:dstrike w:val="0"/>
                <w:snapToGrid w:val="0"/>
                <w:color w:val="auto"/>
                <w:kern w:val="28"/>
                <w:sz w:val="24"/>
                <w:highlight w:val="none"/>
              </w:rPr>
              <w:t>样品制作的标准和要求</w:t>
            </w:r>
            <w:r>
              <w:rPr>
                <w:rFonts w:hint="eastAsia" w:ascii="仿宋" w:hAnsi="仿宋" w:eastAsia="仿宋" w:cs="仿宋"/>
                <w:strike/>
                <w:dstrike w:val="0"/>
                <w:snapToGrid w:val="0"/>
                <w:color w:val="auto"/>
                <w:kern w:val="28"/>
                <w:sz w:val="24"/>
                <w:highlight w:val="none"/>
                <w:u w:val="single"/>
              </w:rPr>
              <w:t xml:space="preserve">：      </w:t>
            </w:r>
            <w:r>
              <w:rPr>
                <w:rFonts w:hint="eastAsia" w:ascii="仿宋" w:hAnsi="仿宋" w:eastAsia="仿宋" w:cs="仿宋"/>
                <w:strike/>
                <w:dstrike w:val="0"/>
                <w:color w:val="auto"/>
                <w:kern w:val="0"/>
                <w:sz w:val="24"/>
                <w:highlight w:val="none"/>
              </w:rPr>
              <w:t>；</w:t>
            </w:r>
          </w:p>
          <w:p w14:paraId="64DB1EF1">
            <w:pPr>
              <w:autoSpaceDE w:val="0"/>
              <w:autoSpaceDN w:val="0"/>
              <w:spacing w:line="440" w:lineRule="exact"/>
              <w:textAlignment w:val="center"/>
              <w:rPr>
                <w:rFonts w:hint="eastAsia" w:ascii="仿宋" w:hAnsi="仿宋" w:eastAsia="仿宋" w:cs="仿宋"/>
                <w:strike/>
                <w:dstrike w:val="0"/>
                <w:color w:val="auto"/>
                <w:kern w:val="0"/>
                <w:sz w:val="24"/>
                <w:highlight w:val="none"/>
              </w:rPr>
            </w:pPr>
            <w:r>
              <w:rPr>
                <w:rFonts w:hint="eastAsia" w:ascii="仿宋" w:hAnsi="仿宋" w:eastAsia="仿宋" w:cs="仿宋"/>
                <w:strike/>
                <w:dstrike w:val="0"/>
                <w:color w:val="auto"/>
                <w:kern w:val="0"/>
                <w:sz w:val="24"/>
                <w:highlight w:val="none"/>
              </w:rPr>
              <w:t>（3）样品的评审方法以及标准</w:t>
            </w:r>
            <w:r>
              <w:rPr>
                <w:rFonts w:hint="eastAsia" w:ascii="仿宋" w:hAnsi="仿宋" w:eastAsia="仿宋" w:cs="仿宋"/>
                <w:strike/>
                <w:dstrike w:val="0"/>
                <w:snapToGrid w:val="0"/>
                <w:color w:val="auto"/>
                <w:kern w:val="28"/>
                <w:sz w:val="24"/>
                <w:highlight w:val="none"/>
              </w:rPr>
              <w:t>：详见“</w:t>
            </w:r>
            <w:r>
              <w:rPr>
                <w:rFonts w:hint="eastAsia" w:ascii="仿宋" w:hAnsi="仿宋" w:eastAsia="仿宋" w:cs="仿宋"/>
                <w:strike/>
                <w:dstrike w:val="0"/>
                <w:color w:val="auto"/>
                <w:kern w:val="0"/>
                <w:sz w:val="24"/>
                <w:highlight w:val="none"/>
              </w:rPr>
              <w:t>第五部分 评审方法及标准</w:t>
            </w:r>
            <w:r>
              <w:rPr>
                <w:rFonts w:hint="eastAsia" w:ascii="仿宋" w:hAnsi="仿宋" w:eastAsia="仿宋" w:cs="仿宋"/>
                <w:strike/>
                <w:dstrike w:val="0"/>
                <w:snapToGrid w:val="0"/>
                <w:color w:val="auto"/>
                <w:kern w:val="28"/>
                <w:sz w:val="24"/>
                <w:highlight w:val="none"/>
              </w:rPr>
              <w:t>”</w:t>
            </w:r>
            <w:r>
              <w:rPr>
                <w:rFonts w:hint="eastAsia" w:ascii="仿宋" w:hAnsi="仿宋" w:eastAsia="仿宋" w:cs="仿宋"/>
                <w:strike/>
                <w:dstrike w:val="0"/>
                <w:color w:val="auto"/>
                <w:kern w:val="0"/>
                <w:sz w:val="24"/>
                <w:highlight w:val="none"/>
              </w:rPr>
              <w:t>；</w:t>
            </w:r>
          </w:p>
          <w:p w14:paraId="72A480FC">
            <w:pPr>
              <w:autoSpaceDE w:val="0"/>
              <w:autoSpaceDN w:val="0"/>
              <w:spacing w:line="440" w:lineRule="exact"/>
              <w:textAlignment w:val="center"/>
              <w:rPr>
                <w:rFonts w:hint="eastAsia" w:ascii="仿宋" w:hAnsi="仿宋" w:eastAsia="仿宋" w:cs="仿宋"/>
                <w:strike/>
                <w:dstrike w:val="0"/>
                <w:color w:val="auto"/>
                <w:kern w:val="0"/>
                <w:sz w:val="24"/>
                <w:highlight w:val="none"/>
              </w:rPr>
            </w:pPr>
            <w:r>
              <w:rPr>
                <w:rFonts w:hint="eastAsia" w:ascii="仿宋" w:hAnsi="仿宋" w:eastAsia="仿宋" w:cs="仿宋"/>
                <w:strike/>
                <w:dstrike w:val="0"/>
                <w:color w:val="auto"/>
                <w:kern w:val="0"/>
                <w:sz w:val="24"/>
                <w:highlight w:val="none"/>
              </w:rPr>
              <w:t>（4）是否需要随样品提交检测报告：□否；□是，检测机构的要求</w:t>
            </w:r>
            <w:r>
              <w:rPr>
                <w:rFonts w:hint="eastAsia" w:ascii="仿宋" w:hAnsi="仿宋" w:eastAsia="仿宋" w:cs="仿宋"/>
                <w:strike/>
                <w:dstrike w:val="0"/>
                <w:color w:val="auto"/>
                <w:sz w:val="24"/>
                <w:highlight w:val="none"/>
              </w:rPr>
              <w:t>：</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kern w:val="0"/>
                <w:sz w:val="24"/>
                <w:highlight w:val="none"/>
              </w:rPr>
              <w:t>；检测内容</w:t>
            </w:r>
            <w:r>
              <w:rPr>
                <w:rFonts w:hint="eastAsia" w:ascii="仿宋" w:hAnsi="仿宋" w:eastAsia="仿宋" w:cs="仿宋"/>
                <w:strike/>
                <w:dstrike w:val="0"/>
                <w:color w:val="auto"/>
                <w:sz w:val="24"/>
                <w:highlight w:val="none"/>
              </w:rPr>
              <w:t>：</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kern w:val="0"/>
                <w:sz w:val="24"/>
                <w:highlight w:val="none"/>
              </w:rPr>
              <w:t>。</w:t>
            </w:r>
          </w:p>
          <w:p w14:paraId="08304FB0">
            <w:pPr>
              <w:autoSpaceDE w:val="0"/>
              <w:autoSpaceDN w:val="0"/>
              <w:spacing w:line="440" w:lineRule="exact"/>
              <w:textAlignment w:val="center"/>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（5）提供样品的时间</w:t>
            </w:r>
            <w:r>
              <w:rPr>
                <w:rFonts w:hint="eastAsia" w:ascii="仿宋" w:hAnsi="仿宋" w:eastAsia="仿宋" w:cs="仿宋"/>
                <w:strike/>
                <w:dstrike w:val="0"/>
                <w:color w:val="auto"/>
                <w:sz w:val="24"/>
                <w:highlight w:val="none"/>
                <w:u w:val="single"/>
              </w:rPr>
              <w:t>：</w:t>
            </w:r>
            <w:r>
              <w:rPr>
                <w:rFonts w:hint="eastAsia" w:ascii="仿宋" w:hAnsi="仿宋" w:eastAsia="仿宋" w:cs="仿宋"/>
                <w:strike/>
                <w:dstrike w:val="0"/>
                <w:color w:val="auto"/>
                <w:kern w:val="0"/>
                <w:sz w:val="24"/>
                <w:highlight w:val="none"/>
                <w:u w:val="single"/>
              </w:rPr>
              <w:t xml:space="preserve">      </w:t>
            </w:r>
            <w:r>
              <w:rPr>
                <w:rFonts w:hint="eastAsia" w:ascii="仿宋" w:hAnsi="仿宋" w:eastAsia="仿宋" w:cs="仿宋"/>
                <w:strike/>
                <w:dstrike w:val="0"/>
                <w:color w:val="auto"/>
                <w:kern w:val="0"/>
                <w:sz w:val="24"/>
                <w:highlight w:val="none"/>
              </w:rPr>
              <w:t>；地点</w:t>
            </w:r>
            <w:r>
              <w:rPr>
                <w:rFonts w:hint="eastAsia" w:ascii="仿宋" w:hAnsi="仿宋" w:eastAsia="仿宋" w:cs="仿宋"/>
                <w:strike/>
                <w:dstrike w:val="0"/>
                <w:color w:val="auto"/>
                <w:kern w:val="0"/>
                <w:sz w:val="24"/>
                <w:highlight w:val="none"/>
                <w:u w:val="single"/>
              </w:rPr>
              <w:t xml:space="preserve">：      </w:t>
            </w:r>
            <w:r>
              <w:rPr>
                <w:rFonts w:hint="eastAsia" w:ascii="仿宋" w:hAnsi="仿宋" w:eastAsia="仿宋" w:cs="仿宋"/>
                <w:strike/>
                <w:dstrike w:val="0"/>
                <w:color w:val="auto"/>
                <w:kern w:val="0"/>
                <w:sz w:val="24"/>
                <w:highlight w:val="none"/>
              </w:rPr>
              <w:t>；联系人</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w:t>
            </w:r>
            <w:r>
              <w:rPr>
                <w:rFonts w:hint="eastAsia" w:ascii="仿宋" w:hAnsi="仿宋" w:eastAsia="仿宋" w:cs="仿宋"/>
                <w:strike/>
                <w:dstrike w:val="0"/>
                <w:color w:val="auto"/>
                <w:kern w:val="28"/>
                <w:sz w:val="24"/>
                <w:highlight w:val="none"/>
              </w:rPr>
              <w:t>联系电话</w:t>
            </w:r>
            <w:r>
              <w:rPr>
                <w:rFonts w:hint="eastAsia" w:ascii="仿宋" w:hAnsi="仿宋" w:eastAsia="仿宋" w:cs="仿宋"/>
                <w:strike/>
                <w:dstrike w:val="0"/>
                <w:color w:val="auto"/>
                <w:kern w:val="28"/>
                <w:sz w:val="24"/>
                <w:highlight w:val="none"/>
                <w:u w:val="single"/>
              </w:rPr>
              <w:t xml:space="preserve">：      </w:t>
            </w:r>
            <w:r>
              <w:rPr>
                <w:rFonts w:hint="eastAsia" w:ascii="仿宋" w:hAnsi="仿宋" w:eastAsia="仿宋" w:cs="仿宋"/>
                <w:strike/>
                <w:dstrike w:val="0"/>
                <w:color w:val="auto"/>
                <w:sz w:val="24"/>
                <w:highlight w:val="none"/>
              </w:rPr>
              <w:t>。请供应商在上述时间内提供样品并按规定位置安装完毕。超过截止时间的，采购人或采购代理机构将不予接收，并将清场并封闭样品现场。</w:t>
            </w:r>
          </w:p>
          <w:p w14:paraId="0DC47A05">
            <w:pPr>
              <w:autoSpaceDE w:val="0"/>
              <w:autoSpaceDN w:val="0"/>
              <w:spacing w:line="440" w:lineRule="exact"/>
              <w:textAlignment w:val="center"/>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6）采购活动结束后，对于未中标供应商提供的样品，采购人、采购机构将通知未中标供应商在规定的时间内取回，逾期未取回的，采购人、采购机构不负保管义务；对于中标供应商提供的样品，采购人将进行保管、封存，并作为履约验收的参考。</w:t>
            </w:r>
          </w:p>
          <w:p w14:paraId="4F0FEEE9">
            <w:pPr>
              <w:autoSpaceDE w:val="0"/>
              <w:autoSpaceDN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strike/>
                <w:dstrike w:val="0"/>
                <w:color w:val="auto"/>
                <w:sz w:val="24"/>
                <w:highlight w:val="none"/>
              </w:rPr>
              <w:t>（7）制作、运输、安装和保管样品所发生的一切费用由供应商自理。</w:t>
            </w:r>
          </w:p>
        </w:tc>
      </w:tr>
      <w:tr w14:paraId="51D2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noWrap w:val="0"/>
            <w:vAlign w:val="center"/>
          </w:tcPr>
          <w:p w14:paraId="7C314D62">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0" w:type="dxa"/>
            <w:gridSpan w:val="2"/>
            <w:noWrap w:val="0"/>
            <w:vAlign w:val="center"/>
          </w:tcPr>
          <w:p w14:paraId="07F4DECD">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讲解演示：</w:t>
            </w:r>
          </w:p>
          <w:p w14:paraId="66D6613D">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A无讲解演示。</w:t>
            </w:r>
          </w:p>
          <w:p w14:paraId="65E74017">
            <w:pPr>
              <w:autoSpaceDE w:val="0"/>
              <w:autoSpaceDN w:val="0"/>
              <w:spacing w:line="440" w:lineRule="exact"/>
              <w:textAlignment w:val="center"/>
              <w:rPr>
                <w:rFonts w:hint="eastAsia" w:ascii="仿宋" w:hAnsi="仿宋" w:eastAsia="仿宋" w:cs="仿宋"/>
                <w:b/>
                <w:strike/>
                <w:dstrike w:val="0"/>
                <w:color w:val="auto"/>
                <w:sz w:val="24"/>
                <w:highlight w:val="none"/>
              </w:rPr>
            </w:pPr>
            <w:r>
              <w:rPr>
                <w:rFonts w:hint="eastAsia" w:ascii="仿宋" w:hAnsi="仿宋" w:eastAsia="仿宋" w:cs="仿宋"/>
                <w:strike/>
                <w:dstrike w:val="0"/>
                <w:color w:val="auto"/>
                <w:sz w:val="24"/>
                <w:highlight w:val="none"/>
              </w:rPr>
              <w:t>□B有讲解演示：</w:t>
            </w:r>
          </w:p>
          <w:p w14:paraId="182263B3">
            <w:pPr>
              <w:autoSpaceDE w:val="0"/>
              <w:autoSpaceDN w:val="0"/>
              <w:spacing w:line="440" w:lineRule="exact"/>
              <w:textAlignment w:val="center"/>
              <w:rPr>
                <w:rFonts w:hint="eastAsia" w:ascii="仿宋" w:hAnsi="仿宋" w:eastAsia="仿宋" w:cs="仿宋"/>
                <w:strike/>
                <w:dstrike w:val="0"/>
                <w:color w:val="auto"/>
                <w:sz w:val="24"/>
                <w:highlight w:val="none"/>
                <w:lang w:val="zh-CN"/>
              </w:rPr>
            </w:pPr>
            <w:r>
              <w:rPr>
                <w:rFonts w:hint="eastAsia" w:ascii="仿宋" w:hAnsi="仿宋" w:eastAsia="仿宋" w:cs="仿宋"/>
                <w:strike/>
                <w:dstrike w:val="0"/>
                <w:color w:val="auto"/>
                <w:sz w:val="24"/>
                <w:highlight w:val="none"/>
                <w:lang w:val="zh-CN"/>
              </w:rPr>
              <w:t>（1）在评标时安排每个供应商进行讲解演示。每个供应商时间不超过</w:t>
            </w:r>
            <w:r>
              <w:rPr>
                <w:rFonts w:hint="eastAsia" w:ascii="仿宋" w:hAnsi="仿宋" w:eastAsia="仿宋" w:cs="仿宋"/>
                <w:strike/>
                <w:dstrike w:val="0"/>
                <w:color w:val="auto"/>
                <w:sz w:val="24"/>
                <w:highlight w:val="none"/>
                <w:u w:val="single"/>
                <w:lang w:val="zh-CN"/>
              </w:rPr>
              <w:t>15</w:t>
            </w:r>
            <w:r>
              <w:rPr>
                <w:rFonts w:hint="eastAsia" w:ascii="仿宋" w:hAnsi="仿宋" w:eastAsia="仿宋" w:cs="仿宋"/>
                <w:strike/>
                <w:dstrike w:val="0"/>
                <w:color w:val="auto"/>
                <w:sz w:val="24"/>
                <w:highlight w:val="none"/>
                <w:lang w:val="zh-CN"/>
              </w:rPr>
              <w:t>分钟，讲解次序以投标文件解密时间先后次序为准。讲解演示结束后按要求解答</w:t>
            </w:r>
            <w:r>
              <w:rPr>
                <w:rFonts w:hint="eastAsia" w:ascii="仿宋" w:hAnsi="仿宋" w:eastAsia="仿宋" w:cs="仿宋"/>
                <w:strike/>
                <w:dstrike w:val="0"/>
                <w:color w:val="auto"/>
                <w:sz w:val="24"/>
                <w:highlight w:val="none"/>
                <w:lang w:eastAsia="zh-CN"/>
              </w:rPr>
              <w:t>评标委员会</w:t>
            </w:r>
            <w:r>
              <w:rPr>
                <w:rFonts w:hint="eastAsia" w:ascii="仿宋" w:hAnsi="仿宋" w:eastAsia="仿宋" w:cs="仿宋"/>
                <w:strike/>
                <w:dstrike w:val="0"/>
                <w:color w:val="auto"/>
                <w:sz w:val="24"/>
                <w:highlight w:val="none"/>
                <w:lang w:val="zh-CN"/>
              </w:rPr>
              <w:t>提问。</w:t>
            </w:r>
          </w:p>
          <w:p w14:paraId="44C7AA44">
            <w:pPr>
              <w:autoSpaceDE w:val="0"/>
              <w:autoSpaceDN w:val="0"/>
              <w:spacing w:line="440" w:lineRule="exact"/>
              <w:textAlignment w:val="center"/>
              <w:rPr>
                <w:rFonts w:hint="eastAsia" w:ascii="仿宋" w:hAnsi="仿宋" w:eastAsia="仿宋" w:cs="仿宋"/>
                <w:strike/>
                <w:dstrike w:val="0"/>
                <w:color w:val="auto"/>
                <w:sz w:val="24"/>
                <w:highlight w:val="none"/>
                <w:lang w:val="zh-CN"/>
              </w:rPr>
            </w:pPr>
            <w:r>
              <w:rPr>
                <w:rFonts w:hint="eastAsia" w:ascii="仿宋" w:hAnsi="仿宋" w:eastAsia="仿宋" w:cs="仿宋"/>
                <w:strike/>
                <w:dstrike w:val="0"/>
                <w:color w:val="auto"/>
                <w:sz w:val="24"/>
                <w:highlight w:val="none"/>
                <w:lang w:val="zh-CN"/>
              </w:rPr>
              <w:t>（2）现场讲解地点为</w:t>
            </w:r>
            <w:r>
              <w:rPr>
                <w:rFonts w:hint="eastAsia" w:ascii="仿宋" w:hAnsi="仿宋" w:eastAsia="仿宋" w:cs="仿宋"/>
                <w:strike/>
                <w:dstrike w:val="0"/>
                <w:color w:val="auto"/>
                <w:sz w:val="24"/>
                <w:highlight w:val="none"/>
                <w:u w:val="single"/>
                <w:lang w:val="zh-CN"/>
              </w:rPr>
              <w:t xml:space="preserve">      </w:t>
            </w:r>
            <w:r>
              <w:rPr>
                <w:rFonts w:hint="eastAsia" w:ascii="仿宋" w:hAnsi="仿宋" w:eastAsia="仿宋" w:cs="仿宋"/>
                <w:strike/>
                <w:dstrike w:val="0"/>
                <w:color w:val="auto"/>
                <w:sz w:val="24"/>
                <w:highlight w:val="none"/>
                <w:lang w:val="zh-CN"/>
              </w:rPr>
              <w:t>，（</w:t>
            </w:r>
            <w:r>
              <w:rPr>
                <w:rFonts w:hint="eastAsia" w:ascii="仿宋" w:hAnsi="仿宋" w:eastAsia="仿宋" w:cs="仿宋"/>
                <w:strike/>
                <w:dstrike w:val="0"/>
                <w:color w:val="auto"/>
                <w:sz w:val="24"/>
                <w:highlight w:val="none"/>
              </w:rPr>
              <w:t>可补充现场演示的其他要求，如人数、凭证、所需设备等</w:t>
            </w:r>
            <w:r>
              <w:rPr>
                <w:rFonts w:hint="eastAsia" w:ascii="仿宋" w:hAnsi="仿宋" w:eastAsia="仿宋" w:cs="仿宋"/>
                <w:strike/>
                <w:dstrike w:val="0"/>
                <w:color w:val="auto"/>
                <w:sz w:val="24"/>
                <w:highlight w:val="none"/>
                <w:lang w:val="zh-CN"/>
              </w:rPr>
              <w:t>）。</w:t>
            </w:r>
          </w:p>
          <w:p w14:paraId="7B95B5A2">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strike/>
                <w:dstrike w:val="0"/>
                <w:color w:val="auto"/>
                <w:sz w:val="24"/>
                <w:highlight w:val="none"/>
                <w:lang w:val="zh-CN"/>
              </w:rPr>
              <w:t>注：因供应商自身原因导致无法演示或者演示效果不理想的，责任自负。</w:t>
            </w:r>
          </w:p>
        </w:tc>
      </w:tr>
      <w:tr w14:paraId="2B64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noWrap w:val="0"/>
            <w:vAlign w:val="center"/>
          </w:tcPr>
          <w:p w14:paraId="579B2FAF">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00" w:type="dxa"/>
            <w:noWrap w:val="0"/>
            <w:vAlign w:val="center"/>
          </w:tcPr>
          <w:p w14:paraId="59D9F0A2">
            <w:pPr>
              <w:autoSpaceDE w:val="0"/>
              <w:autoSpaceDN w:val="0"/>
              <w:snapToGrid w:val="0"/>
              <w:spacing w:line="440" w:lineRule="exact"/>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470" w:type="dxa"/>
            <w:noWrap w:val="0"/>
            <w:vAlign w:val="center"/>
          </w:tcPr>
          <w:p w14:paraId="43461853">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本项目不允许采购进口产品。</w:t>
            </w:r>
          </w:p>
          <w:p w14:paraId="555735F4">
            <w:pPr>
              <w:autoSpaceDE w:val="0"/>
              <w:autoSpaceDN w:val="0"/>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strike/>
                <w:dstrike w:val="0"/>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41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noWrap w:val="0"/>
            <w:vAlign w:val="center"/>
          </w:tcPr>
          <w:p w14:paraId="2D02085D">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00" w:type="dxa"/>
            <w:noWrap w:val="0"/>
            <w:vAlign w:val="center"/>
          </w:tcPr>
          <w:p w14:paraId="69A21D30">
            <w:pPr>
              <w:autoSpaceDE w:val="0"/>
              <w:autoSpaceDN w:val="0"/>
              <w:snapToGrid w:val="0"/>
              <w:spacing w:line="440" w:lineRule="exact"/>
              <w:ind w:left="14" w:hanging="14" w:hangingChars="7"/>
              <w:jc w:val="center"/>
              <w:textAlignment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470" w:type="dxa"/>
            <w:noWrap w:val="0"/>
            <w:vAlign w:val="center"/>
          </w:tcPr>
          <w:p w14:paraId="275AE846">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p>
          <w:p w14:paraId="2AC6AF94">
            <w:pPr>
              <w:autoSpaceDE w:val="0"/>
              <w:autoSpaceDN w:val="0"/>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91D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70" w:type="dxa"/>
            <w:vMerge w:val="restart"/>
            <w:noWrap w:val="0"/>
            <w:vAlign w:val="center"/>
          </w:tcPr>
          <w:p w14:paraId="7EDE4E4F">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00" w:type="dxa"/>
            <w:vMerge w:val="restart"/>
            <w:noWrap w:val="0"/>
            <w:vAlign w:val="center"/>
          </w:tcPr>
          <w:p w14:paraId="448D75CD">
            <w:pPr>
              <w:autoSpaceDE w:val="0"/>
              <w:autoSpaceDN w:val="0"/>
              <w:snapToGrid w:val="0"/>
              <w:spacing w:line="440" w:lineRule="exact"/>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470" w:type="dxa"/>
            <w:noWrap w:val="0"/>
            <w:vAlign w:val="center"/>
          </w:tcPr>
          <w:p w14:paraId="29DEBB74">
            <w:pPr>
              <w:autoSpaceDE w:val="0"/>
              <w:autoSpaceDN w:val="0"/>
              <w:snapToGrid w:val="0"/>
              <w:spacing w:line="440" w:lineRule="exact"/>
              <w:textAlignment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或采购代理机构将通过“信用中国”网站(www.creditchina.gov.cn)、中国政府采购网(www.ccgp.gov.cn)渠道查询供应商</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2912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noWrap w:val="0"/>
            <w:vAlign w:val="center"/>
          </w:tcPr>
          <w:p w14:paraId="093B6ADC">
            <w:pPr>
              <w:keepNext/>
              <w:keepLines/>
              <w:tabs>
                <w:tab w:val="left" w:pos="900"/>
              </w:tabs>
              <w:spacing w:line="440" w:lineRule="exact"/>
              <w:ind w:hanging="720"/>
              <w:jc w:val="center"/>
              <w:textAlignment w:val="center"/>
              <w:outlineLvl w:val="2"/>
              <w:rPr>
                <w:rFonts w:hint="eastAsia" w:ascii="仿宋" w:hAnsi="仿宋" w:eastAsia="仿宋" w:cs="仿宋"/>
                <w:color w:val="auto"/>
                <w:sz w:val="24"/>
                <w:highlight w:val="none"/>
              </w:rPr>
            </w:pPr>
          </w:p>
        </w:tc>
        <w:tc>
          <w:tcPr>
            <w:tcW w:w="900" w:type="dxa"/>
            <w:vMerge w:val="continue"/>
            <w:noWrap w:val="0"/>
            <w:vAlign w:val="center"/>
          </w:tcPr>
          <w:p w14:paraId="184A6F1B">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470" w:type="dxa"/>
            <w:noWrap w:val="0"/>
            <w:vAlign w:val="center"/>
          </w:tcPr>
          <w:p w14:paraId="0247F6EB">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经查询列入失信被执行人名单、重大税收违法失信主体、政府采购严重违法失信行为记录名单的供应商将被拒绝参与采购活动。</w:t>
            </w:r>
          </w:p>
          <w:p w14:paraId="5F3BDE4E">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5521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noWrap w:val="0"/>
            <w:vAlign w:val="center"/>
          </w:tcPr>
          <w:p w14:paraId="47F41984">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900" w:type="dxa"/>
            <w:noWrap w:val="0"/>
            <w:vAlign w:val="center"/>
          </w:tcPr>
          <w:p w14:paraId="79451109">
            <w:pPr>
              <w:snapToGrid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签字或盖章要求</w:t>
            </w:r>
          </w:p>
        </w:tc>
        <w:tc>
          <w:tcPr>
            <w:tcW w:w="7470" w:type="dxa"/>
            <w:noWrap w:val="0"/>
            <w:vAlign w:val="center"/>
          </w:tcPr>
          <w:p w14:paraId="42A52B2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1.招标文件“第六部分”提供的投标文件格式要求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盖章、法定代表人印章的地方，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均应使用CA数字证书加盖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的单位电子印章、法定代表人个人电子印章。联合体投标的，除联合体协议书格式之外的仅由联合体牵头人加盖单位电子印章、法定代表人个人电子印章即可；</w:t>
            </w:r>
          </w:p>
          <w:p w14:paraId="504FF7C4">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2.投标文件所附证书证件、业绩证明文件等证明材料用原件的复制件并加盖投标单位电子印章；</w:t>
            </w:r>
          </w:p>
          <w:p w14:paraId="06E60617">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3.其它要求：</w:t>
            </w:r>
            <w:r>
              <w:rPr>
                <w:rFonts w:hint="eastAsia" w:ascii="仿宋" w:hAnsi="仿宋" w:eastAsia="仿宋" w:cs="仿宋"/>
                <w:color w:val="auto"/>
                <w:sz w:val="24"/>
                <w:highlight w:val="none"/>
                <w:u w:val="single"/>
              </w:rPr>
              <w:t xml:space="preserve">    无       </w:t>
            </w:r>
            <w:r>
              <w:rPr>
                <w:rFonts w:hint="eastAsia" w:ascii="仿宋" w:hAnsi="仿宋" w:eastAsia="仿宋" w:cs="仿宋"/>
                <w:color w:val="auto"/>
                <w:sz w:val="24"/>
                <w:highlight w:val="none"/>
              </w:rPr>
              <w:t>。</w:t>
            </w:r>
          </w:p>
        </w:tc>
      </w:tr>
      <w:tr w14:paraId="62CC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noWrap w:val="0"/>
            <w:vAlign w:val="center"/>
          </w:tcPr>
          <w:p w14:paraId="7A262CCD">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noWrap w:val="0"/>
            <w:vAlign w:val="center"/>
          </w:tcPr>
          <w:p w14:paraId="4400ED6F">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393E56BD">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0910AAD2">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w:t>
            </w:r>
          </w:p>
          <w:p w14:paraId="3316FC8A">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2.1各供应商应确保在参与本项目前成为绍兴市阳光采购服务平台网站正式注册会员，并完成CA数字证书办理。因未完成注册、未办理CA数字证书等原因造成无法投标或投标失败等后果由供应商自行承担。</w:t>
            </w:r>
          </w:p>
          <w:p w14:paraId="164ACDFB">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2.2供应商将绍兴市阳光采购服务平台电子投标文件制作工具下载、安装完成后，通过CA登录进行投标文件制作。在使用绍兴市阳光采购服务平台电子投标文件制作工具时，建议使用WIN7及以上操作系统。</w:t>
            </w:r>
          </w:p>
          <w:p w14:paraId="7351ADE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先要申领CA，取得CA后需要在绍兴市阳光采购服务平台进行绑定，CA相关操作可参考《绍兴市阳光采购服务平台投标人电子投标文件制作工具使用手册》（https://ygcg.sxjypt.com/detail?articleId=298）。CA数字证书办理需要一定时间，建议供应商获取招标文件后立即办理。</w:t>
            </w:r>
          </w:p>
          <w:p w14:paraId="72C63691">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2415679E">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3.1供应商应按照本项目招标文件和绍兴市阳光采购服务平台的要求编制、加密传输投标文件。投标文件制作详见《绍兴市阳光采购服务平台投标人电子投标文件制作工具使用手册》。</w:t>
            </w:r>
          </w:p>
          <w:p w14:paraId="48B88900">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供应商在使用系统进行投标的过程中遇到涉及平台使用的任何问题，可致电绍兴市阳光采购服务平台技术支持热线咨询，联系方式：</w:t>
            </w:r>
            <w:r>
              <w:rPr>
                <w:rFonts w:hint="eastAsia" w:ascii="仿宋" w:hAnsi="仿宋" w:eastAsia="仿宋" w:cs="仿宋"/>
                <w:color w:val="auto"/>
                <w:sz w:val="24"/>
                <w:highlight w:val="none"/>
                <w:lang w:eastAsia="zh-CN"/>
              </w:rPr>
              <w:t>0575-88163055/137</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8514411</w:t>
            </w:r>
            <w:r>
              <w:rPr>
                <w:rFonts w:hint="eastAsia" w:ascii="仿宋" w:hAnsi="仿宋" w:eastAsia="仿宋" w:cs="仿宋"/>
                <w:color w:val="auto"/>
                <w:sz w:val="24"/>
                <w:highlight w:val="none"/>
              </w:rPr>
              <w:t>/15381628176</w:t>
            </w:r>
          </w:p>
          <w:p w14:paraId="4510325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应在开标时间后60分钟（以绍兴市阳光采购服务平台系统时间为准）内登录绍兴市阳光采购服务平台，使用电子投标文件制作工具完成投标文件解密，具体详见《绍兴市阳光采购服务平台投标人电子投标文件制作工具使用手册》。</w:t>
            </w:r>
            <w:r>
              <w:rPr>
                <w:rFonts w:hint="eastAsia" w:ascii="仿宋" w:hAnsi="仿宋" w:eastAsia="仿宋" w:cs="仿宋"/>
                <w:b/>
                <w:bCs/>
                <w:color w:val="auto"/>
                <w:sz w:val="24"/>
                <w:highlight w:val="none"/>
                <w:u w:val="single"/>
              </w:rPr>
              <w:t>若供应商未按时解密的，视为投标文件撤回。</w:t>
            </w:r>
          </w:p>
        </w:tc>
      </w:tr>
      <w:tr w14:paraId="7F8F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noWrap w:val="0"/>
            <w:vAlign w:val="center"/>
          </w:tcPr>
          <w:p w14:paraId="1AF8B5FE">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noWrap w:val="0"/>
            <w:vAlign w:val="center"/>
          </w:tcPr>
          <w:p w14:paraId="5DBAECF6">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特别说明：（本项目不允许联合体）</w:t>
            </w:r>
          </w:p>
          <w:p w14:paraId="486A96E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6CE7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noWrap w:val="0"/>
            <w:vAlign w:val="center"/>
          </w:tcPr>
          <w:p w14:paraId="4B683075">
            <w:pPr>
              <w:keepNext/>
              <w:keepLines/>
              <w:tabs>
                <w:tab w:val="left" w:pos="900"/>
              </w:tabs>
              <w:spacing w:line="440" w:lineRule="exact"/>
              <w:ind w:hanging="720"/>
              <w:textAlignment w:val="center"/>
              <w:outlineLvl w:val="2"/>
              <w:rPr>
                <w:rFonts w:hint="eastAsia" w:ascii="仿宋" w:hAnsi="仿宋" w:eastAsia="仿宋" w:cs="仿宋"/>
                <w:color w:val="auto"/>
                <w:sz w:val="24"/>
                <w:highlight w:val="none"/>
              </w:rPr>
            </w:pPr>
          </w:p>
        </w:tc>
        <w:tc>
          <w:tcPr>
            <w:tcW w:w="8370" w:type="dxa"/>
            <w:gridSpan w:val="2"/>
            <w:noWrap w:val="0"/>
            <w:vAlign w:val="center"/>
          </w:tcPr>
          <w:p w14:paraId="622E9609">
            <w:pPr>
              <w:spacing w:line="440" w:lineRule="exact"/>
              <w:textAlignment w:val="center"/>
              <w:rPr>
                <w:rFonts w:hint="eastAsia" w:ascii="仿宋" w:hAnsi="仿宋" w:eastAsia="仿宋" w:cs="仿宋"/>
                <w:strike/>
                <w:snapToGrid w:val="0"/>
                <w:color w:val="auto"/>
                <w:kern w:val="28"/>
                <w:sz w:val="24"/>
                <w:highlight w:val="none"/>
              </w:rPr>
            </w:pPr>
            <w:r>
              <w:rPr>
                <w:rFonts w:hint="eastAsia" w:ascii="仿宋" w:hAnsi="仿宋" w:eastAsia="仿宋" w:cs="仿宋"/>
                <w:strike/>
                <w:color w:val="auto"/>
                <w:kern w:val="0"/>
                <w:sz w:val="24"/>
                <w:highlight w:val="none"/>
              </w:rPr>
              <w:t>□</w:t>
            </w:r>
            <w:r>
              <w:rPr>
                <w:rFonts w:hint="eastAsia" w:ascii="仿宋" w:hAnsi="仿宋" w:eastAsia="仿宋" w:cs="仿宋"/>
                <w:strike/>
                <w:snapToGrid w:val="0"/>
                <w:color w:val="auto"/>
                <w:kern w:val="28"/>
                <w:sz w:val="24"/>
                <w:highlight w:val="none"/>
              </w:rPr>
              <w:t>联合体投标的，联合体各方均需按招标文件第五部分评标标准要求提供资信证明文件，否则视为不符合相关要求。</w:t>
            </w:r>
          </w:p>
          <w:p w14:paraId="7D47061C">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strike/>
                <w:color w:val="auto"/>
                <w:kern w:val="0"/>
                <w:sz w:val="24"/>
                <w:highlight w:val="none"/>
              </w:rPr>
              <w:t>☐</w:t>
            </w:r>
            <w:r>
              <w:rPr>
                <w:rFonts w:hint="eastAsia" w:ascii="仿宋" w:hAnsi="仿宋" w:eastAsia="仿宋" w:cs="仿宋"/>
                <w:strike/>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680F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noWrap w:val="0"/>
            <w:vAlign w:val="center"/>
          </w:tcPr>
          <w:p w14:paraId="13F09F72">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370" w:type="dxa"/>
            <w:gridSpan w:val="2"/>
            <w:noWrap w:val="0"/>
            <w:vAlign w:val="center"/>
          </w:tcPr>
          <w:p w14:paraId="0E810A0A">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1.采购代理服务费：</w:t>
            </w:r>
          </w:p>
          <w:p w14:paraId="50A2CFD4">
            <w:pPr>
              <w:widowControl/>
              <w:spacing w:line="400" w:lineRule="exact"/>
              <w:rPr>
                <w:rFonts w:hint="eastAsia"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中标供应商须向采购代理机构按如下标准和规定交纳采购代理机构服务费：</w:t>
            </w:r>
          </w:p>
          <w:p w14:paraId="00A40BAB">
            <w:pPr>
              <w:widowControl/>
              <w:spacing w:line="400" w:lineRule="exact"/>
              <w:rPr>
                <w:rFonts w:hint="eastAsia" w:ascii="仿宋" w:hAnsi="仿宋" w:eastAsia="仿宋" w:cs="仿宋"/>
                <w:bCs/>
                <w:color w:val="auto"/>
                <w:kern w:val="0"/>
                <w:sz w:val="24"/>
                <w:szCs w:val="20"/>
                <w:highlight w:val="none"/>
              </w:rPr>
            </w:pPr>
            <w:r>
              <w:rPr>
                <w:rFonts w:hint="eastAsia" w:ascii="仿宋" w:hAnsi="仿宋" w:eastAsia="仿宋" w:cs="仿宋"/>
                <w:color w:val="auto"/>
                <w:kern w:val="0"/>
                <w:sz w:val="24"/>
                <w:szCs w:val="21"/>
                <w:highlight w:val="none"/>
              </w:rPr>
              <w:t>①</w:t>
            </w:r>
            <w:r>
              <w:rPr>
                <w:rFonts w:hint="eastAsia" w:ascii="仿宋" w:hAnsi="仿宋" w:eastAsia="仿宋" w:cs="仿宋"/>
                <w:color w:val="auto"/>
                <w:sz w:val="24"/>
                <w:highlight w:val="none"/>
              </w:rPr>
              <w:t>以中标通知中确定的中标总金额作为代理服务费的计算基数，具体比例参照《国家计委关于印发&lt;招标代理服务收费管理暂行办法&gt;的通知》（计价格[2002]1980号）规定的标准*80%*（1-99%）进行收费。服务费不到5000元按照5000元收取。</w:t>
            </w:r>
          </w:p>
          <w:p w14:paraId="29699023">
            <w:pPr>
              <w:spacing w:line="440" w:lineRule="exac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②代理服务费的交纳方式：</w:t>
            </w:r>
          </w:p>
          <w:p w14:paraId="18F6D14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2E4F363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公司名称：泰宇建筑工程技术咨询有限公司绍兴分公司</w:t>
            </w:r>
          </w:p>
          <w:p w14:paraId="754C942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85010078801000000518</w:t>
            </w:r>
          </w:p>
          <w:p w14:paraId="2937A83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开户银行:上海浦东发展银行绍兴分行</w:t>
            </w:r>
          </w:p>
          <w:p w14:paraId="10EFE970">
            <w:pPr>
              <w:spacing w:line="440" w:lineRule="exact"/>
              <w:textAlignment w:val="center"/>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③ 代理服务费的交纳时间：领取中标通知书前交纳。</w:t>
            </w:r>
          </w:p>
          <w:p w14:paraId="449D2039">
            <w:pPr>
              <w:spacing w:line="440" w:lineRule="exact"/>
              <w:textAlignment w:val="center"/>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rPr>
              <w:t>2.系统使用费：</w:t>
            </w:r>
            <w:r>
              <w:rPr>
                <w:rFonts w:hint="eastAsia" w:ascii="仿宋" w:hAnsi="仿宋" w:eastAsia="仿宋" w:cs="仿宋"/>
                <w:color w:val="auto"/>
                <w:sz w:val="24"/>
                <w:highlight w:val="none"/>
              </w:rPr>
              <w:t>平台系统使用费收取按照绍兴市阳光采购服务平台公示的收费标准执行（https://ygcg.sxjypt.com/detail?articleId=347），本项目成交系统使用费为</w:t>
            </w:r>
            <w:r>
              <w:rPr>
                <w:rFonts w:hint="eastAsia" w:ascii="仿宋" w:hAnsi="仿宋" w:eastAsia="仿宋" w:cs="仿宋"/>
                <w:color w:val="auto"/>
                <w:sz w:val="24"/>
                <w:highlight w:val="none"/>
                <w:lang w:val="en-US" w:eastAsia="zh-CN"/>
              </w:rPr>
              <w:t>每标1500元</w:t>
            </w:r>
            <w:r>
              <w:rPr>
                <w:rFonts w:hint="eastAsia" w:ascii="仿宋" w:hAnsi="仿宋" w:eastAsia="仿宋" w:cs="仿宋"/>
                <w:color w:val="auto"/>
                <w:sz w:val="24"/>
                <w:highlight w:val="none"/>
              </w:rPr>
              <w:t>。中标供应商在系统使用费订单生成后五日内未完成支付的，采购人有权取消其中标资格。</w:t>
            </w:r>
          </w:p>
        </w:tc>
      </w:tr>
      <w:tr w14:paraId="1187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noWrap w:val="0"/>
            <w:vAlign w:val="center"/>
          </w:tcPr>
          <w:p w14:paraId="3B283249">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noWrap w:val="0"/>
            <w:vAlign w:val="center"/>
          </w:tcPr>
          <w:p w14:paraId="6197DAD4">
            <w:pPr>
              <w:spacing w:line="440" w:lineRule="exact"/>
              <w:textAlignment w:val="center"/>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其他事项：本项目中标供应商中标后需向采购人提供一套纸质投标文件（一正一副）。</w:t>
            </w:r>
          </w:p>
        </w:tc>
      </w:tr>
      <w:tr w14:paraId="0CB2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noWrap w:val="0"/>
            <w:vAlign w:val="center"/>
          </w:tcPr>
          <w:p w14:paraId="0878563C">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654D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noWrap w:val="0"/>
            <w:vAlign w:val="center"/>
          </w:tcPr>
          <w:p w14:paraId="6ECE01A7">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注：中标供应商放弃中标资格或因质疑、投诉被取消中标资格或不能履行合同的，本项目</w:t>
            </w:r>
            <w:r>
              <w:rPr>
                <w:rFonts w:hint="eastAsia" w:ascii="仿宋" w:hAnsi="仿宋" w:eastAsia="仿宋" w:cs="仿宋"/>
                <w:b/>
                <w:color w:val="auto"/>
                <w:sz w:val="24"/>
                <w:highlight w:val="none"/>
                <w:u w:val="single"/>
              </w:rPr>
              <w:t>重新组织采购</w:t>
            </w:r>
            <w:r>
              <w:rPr>
                <w:rFonts w:hint="eastAsia" w:ascii="仿宋" w:hAnsi="仿宋" w:eastAsia="仿宋" w:cs="仿宋"/>
                <w:b/>
                <w:color w:val="auto"/>
                <w:sz w:val="24"/>
                <w:highlight w:val="none"/>
              </w:rPr>
              <w:t>。</w:t>
            </w:r>
          </w:p>
        </w:tc>
      </w:tr>
    </w:tbl>
    <w:p w14:paraId="468770CC">
      <w:pPr>
        <w:snapToGrid w:val="0"/>
        <w:spacing w:line="360" w:lineRule="auto"/>
        <w:jc w:val="center"/>
        <w:rPr>
          <w:rFonts w:hint="eastAsia" w:ascii="仿宋" w:hAnsi="仿宋" w:eastAsia="仿宋" w:cs="仿宋"/>
          <w:b/>
          <w:color w:val="auto"/>
          <w:sz w:val="32"/>
          <w:szCs w:val="20"/>
          <w:highlight w:val="none"/>
        </w:rPr>
      </w:pPr>
    </w:p>
    <w:bookmarkEnd w:id="9"/>
    <w:p w14:paraId="60B8EE9E">
      <w:pPr>
        <w:adjustRightInd/>
        <w:spacing w:line="360" w:lineRule="auto"/>
        <w:jc w:val="center"/>
        <w:outlineLvl w:val="0"/>
        <w:rPr>
          <w:rFonts w:hint="eastAsia" w:ascii="仿宋" w:hAnsi="仿宋" w:eastAsia="仿宋" w:cs="仿宋"/>
          <w:b/>
          <w:color w:val="auto"/>
          <w:sz w:val="32"/>
          <w:szCs w:val="32"/>
          <w:highlight w:val="none"/>
        </w:rPr>
      </w:pPr>
      <w:bookmarkStart w:id="22" w:name="_Hlt74707468"/>
      <w:bookmarkEnd w:id="22"/>
      <w:bookmarkStart w:id="23" w:name="_Hlt68057669"/>
      <w:bookmarkEnd w:id="23"/>
      <w:bookmarkStart w:id="24" w:name="_Hlt74714665"/>
      <w:bookmarkEnd w:id="24"/>
      <w:bookmarkStart w:id="25" w:name="_Hlt75236290"/>
      <w:bookmarkEnd w:id="25"/>
      <w:bookmarkStart w:id="26" w:name="_Hlt68072998"/>
      <w:bookmarkEnd w:id="26"/>
      <w:bookmarkStart w:id="27" w:name="_Hlt68073093"/>
      <w:bookmarkEnd w:id="27"/>
      <w:bookmarkStart w:id="28" w:name="_Hlt68072990"/>
      <w:bookmarkEnd w:id="28"/>
      <w:bookmarkStart w:id="29" w:name="_Hlt75236101"/>
      <w:bookmarkEnd w:id="29"/>
      <w:bookmarkStart w:id="30" w:name="_Hlt75236011"/>
      <w:bookmarkEnd w:id="30"/>
      <w:bookmarkStart w:id="31" w:name="_Hlt68403820"/>
      <w:bookmarkEnd w:id="31"/>
      <w:bookmarkStart w:id="32" w:name="_Hlt74729768"/>
      <w:bookmarkEnd w:id="32"/>
      <w:bookmarkStart w:id="33" w:name="_Hlt74730295"/>
      <w:bookmarkEnd w:id="33"/>
      <w:bookmarkStart w:id="34" w:name="_Toc164416483"/>
      <w:bookmarkStart w:id="35" w:name="第三部分"/>
    </w:p>
    <w:p w14:paraId="58D13B6D">
      <w:pPr>
        <w:adjustRightInd/>
        <w:spacing w:line="360" w:lineRule="auto"/>
        <w:jc w:val="center"/>
        <w:outlineLvl w:val="0"/>
        <w:rPr>
          <w:rFonts w:hint="eastAsia" w:ascii="仿宋" w:hAnsi="仿宋" w:eastAsia="仿宋" w:cs="仿宋"/>
          <w:b/>
          <w:color w:val="auto"/>
          <w:sz w:val="32"/>
          <w:szCs w:val="32"/>
          <w:highlight w:val="none"/>
        </w:rPr>
      </w:pPr>
    </w:p>
    <w:p w14:paraId="6DDFF6B0">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121D1FC4">
      <w:pP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21B9B93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F5C0AFA">
      <w:pP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F3E0B2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69722CD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3F06E13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2.3“供应商”“投标人”“投标单位”系指是指响应招标、参加投标竞争的法人、其他组织或者自然人。</w:t>
      </w:r>
    </w:p>
    <w:p w14:paraId="2675056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9F6C7D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印章”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7DAD3BA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2.6“电子交易平台”系指本项目采购活动所依托的绍兴市阳光采购服务平台（https://ygcg.sxjypt.com）。</w:t>
      </w:r>
    </w:p>
    <w:p w14:paraId="49EA264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7A8B3C5D">
      <w:pPr>
        <w:spacing w:line="440" w:lineRule="exac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3.采购项目需要落实的采购政策：</w:t>
      </w:r>
      <w:r>
        <w:rPr>
          <w:rFonts w:hint="eastAsia" w:ascii="仿宋" w:hAnsi="仿宋" w:eastAsia="仿宋" w:cs="仿宋"/>
          <w:b/>
          <w:bCs/>
          <w:color w:val="auto"/>
          <w:sz w:val="24"/>
          <w:highlight w:val="none"/>
        </w:rPr>
        <w:t>无</w:t>
      </w:r>
    </w:p>
    <w:p w14:paraId="54170F8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028006F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4.1供应商应仔细阅读招标文件的所有内容，按照招标文件的要求提交投标文件，并对所提供的全部资料的真实性承担法律责任。</w:t>
      </w:r>
    </w:p>
    <w:p w14:paraId="4A49A77D">
      <w:pPr>
        <w:pStyle w:val="30"/>
        <w:snapToGrid w:val="0"/>
        <w:spacing w:before="0" w:line="440" w:lineRule="exact"/>
        <w:ind w:firstLine="640"/>
        <w:rPr>
          <w:rFonts w:hint="eastAsia" w:ascii="仿宋" w:hAnsi="仿宋" w:eastAsia="仿宋" w:cs="仿宋"/>
          <w:color w:val="auto"/>
          <w:sz w:val="32"/>
          <w:szCs w:val="32"/>
          <w:highlight w:val="none"/>
        </w:rPr>
      </w:pPr>
    </w:p>
    <w:p w14:paraId="668900A0">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81B805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1．采购方式</w:t>
      </w:r>
    </w:p>
    <w:p w14:paraId="5094E5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1.1本次招标采用公开招标方式进行。</w:t>
      </w:r>
    </w:p>
    <w:p w14:paraId="43FB72B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1.2如某一标项供应商或实质性响应招标文件的供应商不足三家时，由采购人重新组织招标。</w:t>
      </w:r>
    </w:p>
    <w:p w14:paraId="299FB8C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1.3本次招标设定限价，即招标公告中公布的各标项预算金额或最高限价（各标项之间的预算金额不能互相调整）。</w:t>
      </w:r>
    </w:p>
    <w:p w14:paraId="124729F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7318819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本项目为电子投标项目，供应商的法定代表人或其授权代表或个体工商户不需要参加现场投标和开标。</w:t>
      </w:r>
    </w:p>
    <w:p w14:paraId="6D748020">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3.投标费用</w:t>
      </w:r>
    </w:p>
    <w:p w14:paraId="0818B31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供应商应自行承担编制投标文件及参加本次投标所涉及的一切费用。不管投标结果如何，采购人对上述费用不负任何责任。</w:t>
      </w:r>
    </w:p>
    <w:p w14:paraId="6B3197B5">
      <w:pPr>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4.招标文件的澄清与修改</w:t>
      </w:r>
    </w:p>
    <w:p w14:paraId="7F0D71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w:t>
      </w:r>
      <w:r>
        <w:rPr>
          <w:rFonts w:hint="eastAsia" w:ascii="仿宋" w:hAnsi="仿宋" w:eastAsia="仿宋" w:cs="仿宋"/>
          <w:color w:val="auto"/>
          <w:sz w:val="24"/>
          <w:highlight w:val="none"/>
          <w:lang w:val="en-US" w:eastAsia="zh-CN"/>
        </w:rPr>
        <w:t>澄</w:t>
      </w:r>
      <w:r>
        <w:rPr>
          <w:rFonts w:hint="eastAsia" w:ascii="仿宋" w:hAnsi="仿宋" w:eastAsia="仿宋" w:cs="仿宋"/>
          <w:color w:val="auto"/>
          <w:sz w:val="24"/>
          <w:highlight w:val="none"/>
        </w:rPr>
        <w:t>清、修改)和发出的补充通</w:t>
      </w:r>
      <w:r>
        <w:rPr>
          <w:rFonts w:hint="eastAsia" w:ascii="仿宋" w:hAnsi="仿宋" w:eastAsia="仿宋" w:cs="仿宋"/>
          <w:color w:val="auto"/>
          <w:sz w:val="24"/>
          <w:highlight w:val="none"/>
          <w:lang w:val="en-US" w:eastAsia="zh-CN"/>
        </w:rPr>
        <w:t>知</w:t>
      </w:r>
      <w:r>
        <w:rPr>
          <w:rFonts w:hint="eastAsia" w:ascii="仿宋" w:hAnsi="仿宋" w:eastAsia="仿宋" w:cs="仿宋"/>
          <w:color w:val="auto"/>
          <w:sz w:val="24"/>
          <w:highlight w:val="none"/>
        </w:rPr>
        <w:t>。</w:t>
      </w:r>
    </w:p>
    <w:p w14:paraId="6BFF2EB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4.2招标文件的澄清</w:t>
      </w:r>
    </w:p>
    <w:p w14:paraId="2155948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招标文件如有疑点要求澄清，可通过绍兴市阳光采购服务平台（https://ygcg.sxjypt.com）以书面形式通知采购人或采购代理机构，采购人或采购代理机构将通过绍兴市阳光采购服务平台予以答复。招标文件澄清的内容对所有供应商均有约束力</w:t>
      </w:r>
    </w:p>
    <w:p w14:paraId="1F244EB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3364CD9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投标截止时间前，采购人有权修改招标文件，并在绍兴市阳光采购服务平台（https://ygcg.sxjypt.com）以更正或澄清公告的形式通知所有供应商，更正或澄清公告中没有注明更改投标截止时间的视为截止时间不变。招标文件修改的内容作为招标文件的补充和组成部分，对所有供应商均有约束力。</w:t>
      </w:r>
    </w:p>
    <w:p w14:paraId="75CE6E5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4.4为使供应商有足够的时间修正投标文件，如采购人澄清或修改的内容可能影响投标文件编制的，澄清或修改发出时间应在投标截止时间</w:t>
      </w:r>
      <w:r>
        <w:rPr>
          <w:rFonts w:hint="eastAsia" w:ascii="仿宋" w:hAnsi="仿宋" w:eastAsia="仿宋" w:cs="仿宋"/>
          <w:color w:val="auto"/>
          <w:sz w:val="24"/>
          <w:highlight w:val="none"/>
          <w:lang w:val="en-US" w:eastAsia="zh-CN"/>
        </w:rPr>
        <w:t>1</w:t>
      </w:r>
      <w:r>
        <w:rPr>
          <w:rFonts w:hint="eastAsia" w:ascii="仿宋" w:hAnsi="仿宋" w:eastAsia="仿宋" w:cs="仿宋"/>
          <w:b/>
          <w:bCs/>
          <w:color w:val="auto"/>
          <w:sz w:val="24"/>
          <w:highlight w:val="none"/>
          <w:u w:val="single"/>
        </w:rPr>
        <w:t>5</w:t>
      </w:r>
      <w:r>
        <w:rPr>
          <w:rFonts w:hint="eastAsia" w:ascii="仿宋" w:hAnsi="仿宋" w:eastAsia="仿宋" w:cs="仿宋"/>
          <w:color w:val="auto"/>
          <w:sz w:val="24"/>
          <w:highlight w:val="none"/>
        </w:rPr>
        <w:t>日前，不足</w:t>
      </w:r>
      <w:r>
        <w:rPr>
          <w:rFonts w:hint="eastAsia" w:ascii="仿宋" w:hAnsi="仿宋" w:eastAsia="仿宋" w:cs="仿宋"/>
          <w:color w:val="auto"/>
          <w:sz w:val="24"/>
          <w:highlight w:val="none"/>
          <w:lang w:val="en-US" w:eastAsia="zh-CN"/>
        </w:rPr>
        <w:t>1</w:t>
      </w:r>
      <w:r>
        <w:rPr>
          <w:rFonts w:hint="eastAsia" w:ascii="仿宋" w:hAnsi="仿宋" w:eastAsia="仿宋" w:cs="仿宋"/>
          <w:b/>
          <w:bCs/>
          <w:color w:val="auto"/>
          <w:sz w:val="24"/>
          <w:highlight w:val="none"/>
          <w:u w:val="single"/>
        </w:rPr>
        <w:t xml:space="preserve">5 </w:t>
      </w:r>
      <w:r>
        <w:rPr>
          <w:rFonts w:hint="eastAsia" w:ascii="仿宋" w:hAnsi="仿宋" w:eastAsia="仿宋" w:cs="仿宋"/>
          <w:color w:val="auto"/>
          <w:sz w:val="24"/>
          <w:highlight w:val="none"/>
        </w:rPr>
        <w:t>日的应当顺延投标截止时间。在这种情况下，采购人与供应商以前在投标截止期方面的全部权力、责任和义务，将适用于延长后新的投标截止期。</w:t>
      </w:r>
    </w:p>
    <w:p w14:paraId="24B7392B">
      <w:pPr>
        <w:pStyle w:val="26"/>
        <w:rPr>
          <w:rFonts w:hint="eastAsia" w:ascii="仿宋" w:hAnsi="仿宋" w:eastAsia="仿宋" w:cs="仿宋"/>
          <w:color w:val="auto"/>
          <w:highlight w:val="none"/>
        </w:rPr>
      </w:pPr>
    </w:p>
    <w:p w14:paraId="29E8A0E0">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40C94929">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1.投标文件的语言、计量单位、形式及效力</w:t>
      </w:r>
    </w:p>
    <w:p w14:paraId="1017983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1.1供应商应仔细阅读招标文件中的所有内容，按照招标文件要求，详细编制投标文件，并保证投标文件的正确性和真实性。</w:t>
      </w:r>
    </w:p>
    <w:p w14:paraId="65F40C8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1.2投标文件以及供应商与采购人就有关投标事宜的所有来往函电，均应以中文书写（技术术语除外）。</w:t>
      </w:r>
    </w:p>
    <w:p w14:paraId="16F7345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1.3投标计量单位，除招标文件中有特殊要求外，应采用中华人民共和国法定计量单位，货币单位：人民币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32F641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7501173D">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6987D2E2">
      <w:pPr>
        <w:snapToGrid w:val="0"/>
        <w:spacing w:line="440" w:lineRule="exact"/>
        <w:ind w:firstLine="720" w:firstLineChars="3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1.5.1</w:t>
      </w:r>
      <w:r>
        <w:rPr>
          <w:rFonts w:hint="eastAsia" w:ascii="仿宋" w:hAnsi="仿宋" w:eastAsia="仿宋" w:cs="仿宋"/>
          <w:b/>
          <w:color w:val="auto"/>
          <w:sz w:val="24"/>
          <w:highlight w:val="none"/>
        </w:rPr>
        <w:t>投标文件为电子投标文件，电子投标文件按《绍兴市阳光采购服务平台投标人电子投标文件制作工具使用手册》及本招标文件要求制作、加密传输</w:t>
      </w:r>
      <w:r>
        <w:rPr>
          <w:rFonts w:hint="eastAsia" w:ascii="仿宋" w:hAnsi="仿宋" w:eastAsia="仿宋" w:cs="仿宋"/>
          <w:bCs/>
          <w:color w:val="auto"/>
          <w:sz w:val="24"/>
          <w:highlight w:val="none"/>
        </w:rPr>
        <w:t>。</w:t>
      </w:r>
    </w:p>
    <w:p w14:paraId="6B1E8626">
      <w:pPr>
        <w:snapToGrid w:val="0"/>
        <w:spacing w:line="440" w:lineRule="exact"/>
        <w:ind w:firstLine="720" w:firstLineChars="3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1.5.2投标文件的效力：</w:t>
      </w:r>
    </w:p>
    <w:p w14:paraId="1985EE36">
      <w:pPr>
        <w:snapToGrid w:val="0"/>
        <w:spacing w:line="440" w:lineRule="exact"/>
        <w:ind w:firstLine="723" w:firstLineChars="3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投标文件未在投标截止时间前完成传输的，视为投标文件撤回；</w:t>
      </w:r>
      <w:r>
        <w:rPr>
          <w:rFonts w:hint="eastAsia" w:ascii="仿宋" w:hAnsi="仿宋" w:eastAsia="仿宋" w:cs="仿宋"/>
          <w:b/>
          <w:color w:val="auto"/>
          <w:sz w:val="24"/>
          <w:highlight w:val="none"/>
          <w:u w:val="single"/>
        </w:rPr>
        <w:t>投标文件未按时解密的处理，详见本招标文件“第二部分 投标须知”的“前附表”第15项内容</w:t>
      </w:r>
      <w:r>
        <w:rPr>
          <w:rFonts w:hint="eastAsia" w:ascii="仿宋" w:hAnsi="仿宋" w:eastAsia="仿宋" w:cs="仿宋"/>
          <w:b/>
          <w:color w:val="auto"/>
          <w:sz w:val="24"/>
          <w:highlight w:val="none"/>
        </w:rPr>
        <w:t>。</w:t>
      </w:r>
    </w:p>
    <w:p w14:paraId="6109B1BA">
      <w:pPr>
        <w:pStyle w:val="15"/>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2.投标文件的组成</w:t>
      </w:r>
    </w:p>
    <w:p w14:paraId="3E39E1EB">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投标文件由“资格文件”、“商务技术文件资料”、“报价文件资料”三部分组成，其中</w:t>
      </w:r>
      <w:r>
        <w:rPr>
          <w:rFonts w:hint="eastAsia" w:ascii="仿宋" w:hAnsi="仿宋" w:eastAsia="仿宋" w:cs="仿宋"/>
          <w:b/>
          <w:color w:val="auto"/>
          <w:sz w:val="24"/>
          <w:highlight w:val="none"/>
        </w:rPr>
        <w:t>电子投标文件中所须加盖公章部分均应采用电子印章。</w:t>
      </w:r>
    </w:p>
    <w:p w14:paraId="6C3F1490">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3F2D4028">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2.1.1供应商企业营业执照</w:t>
      </w:r>
    </w:p>
    <w:p w14:paraId="68AF2323">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2.1.2符合参加采购活动应当具备的一般条件的承诺函；</w:t>
      </w:r>
    </w:p>
    <w:p w14:paraId="427EDB7A">
      <w:pPr>
        <w:snapToGrid w:val="0"/>
        <w:spacing w:line="440" w:lineRule="exact"/>
        <w:ind w:firstLine="720" w:firstLineChars="300"/>
        <w:rPr>
          <w:rFonts w:hint="eastAsia" w:ascii="仿宋" w:hAnsi="仿宋" w:eastAsia="仿宋" w:cs="仿宋"/>
          <w:strike/>
          <w:color w:val="auto"/>
          <w:sz w:val="24"/>
          <w:highlight w:val="none"/>
        </w:rPr>
      </w:pPr>
      <w:r>
        <w:rPr>
          <w:rFonts w:hint="eastAsia" w:ascii="仿宋" w:hAnsi="仿宋" w:eastAsia="仿宋" w:cs="仿宋"/>
          <w:strike/>
          <w:color w:val="auto"/>
          <w:sz w:val="24"/>
          <w:highlight w:val="none"/>
        </w:rPr>
        <w:t>2.1.3落实采购政策需满足的资格要求（如果有)；</w:t>
      </w:r>
    </w:p>
    <w:p w14:paraId="71D669D3">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trike/>
          <w:dstrike w:val="0"/>
          <w:color w:val="auto"/>
          <w:sz w:val="24"/>
          <w:highlight w:val="none"/>
        </w:rPr>
        <w:t>（如果有)</w:t>
      </w:r>
      <w:r>
        <w:rPr>
          <w:rFonts w:hint="eastAsia" w:ascii="仿宋" w:hAnsi="仿宋" w:eastAsia="仿宋" w:cs="仿宋"/>
          <w:color w:val="auto"/>
          <w:sz w:val="24"/>
          <w:highlight w:val="none"/>
        </w:rPr>
        <w:t>；</w:t>
      </w:r>
    </w:p>
    <w:p w14:paraId="652617B3">
      <w:pPr>
        <w:pStyle w:val="15"/>
        <w:ind w:firstLine="720" w:firstLineChars="3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2.1.5</w:t>
      </w:r>
      <w:r>
        <w:rPr>
          <w:rFonts w:hint="eastAsia" w:ascii="仿宋" w:hAnsi="仿宋" w:eastAsia="仿宋" w:cs="仿宋"/>
          <w:snapToGrid/>
          <w:color w:val="auto"/>
          <w:kern w:val="0"/>
          <w:sz w:val="24"/>
          <w:szCs w:val="24"/>
          <w:highlight w:val="none"/>
          <w:lang w:val="en-US" w:eastAsia="zh-CN" w:bidi="ar-SA"/>
        </w:rPr>
        <w:t>项目负责人无在建承诺书</w:t>
      </w:r>
    </w:p>
    <w:p w14:paraId="77E610AF">
      <w:pPr>
        <w:pStyle w:val="15"/>
        <w:ind w:firstLine="720" w:firstLineChars="300"/>
        <w:rPr>
          <w:rFonts w:hint="default" w:eastAsia="仿宋"/>
          <w:color w:val="auto"/>
          <w:highlight w:val="none"/>
          <w:lang w:val="en-US" w:eastAsia="zh-CN"/>
        </w:rPr>
      </w:pPr>
      <w:r>
        <w:rPr>
          <w:rFonts w:hint="eastAsia" w:ascii="仿宋" w:hAnsi="仿宋" w:eastAsia="仿宋" w:cs="仿宋"/>
          <w:snapToGrid/>
          <w:color w:val="auto"/>
          <w:kern w:val="0"/>
          <w:sz w:val="24"/>
          <w:szCs w:val="24"/>
          <w:highlight w:val="none"/>
          <w:lang w:val="en-US" w:eastAsia="zh-CN" w:bidi="ar-SA"/>
        </w:rPr>
        <w:t>2.1.6</w:t>
      </w:r>
      <w:r>
        <w:rPr>
          <w:rFonts w:hint="eastAsia" w:ascii="仿宋" w:hAnsi="仿宋" w:eastAsia="仿宋" w:cs="仿宋"/>
          <w:b/>
          <w:bCs/>
          <w:color w:val="auto"/>
          <w:sz w:val="24"/>
          <w:highlight w:val="none"/>
        </w:rPr>
        <w:t xml:space="preserve">提供投标人 </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03</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24</w:t>
      </w:r>
      <w:r>
        <w:rPr>
          <w:rFonts w:hint="eastAsia" w:ascii="仿宋" w:hAnsi="仿宋" w:eastAsia="仿宋" w:cs="仿宋"/>
          <w:b/>
          <w:bCs/>
          <w:color w:val="auto"/>
          <w:sz w:val="24"/>
          <w:highlight w:val="none"/>
        </w:rPr>
        <w:t>日在“浙江省建筑市场监管公共服务系统”上，参与投标资质的“资质动态核查结果证明”。</w:t>
      </w:r>
    </w:p>
    <w:p w14:paraId="6A2BB004">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2商务技术文件</w:t>
      </w:r>
      <w:r>
        <w:rPr>
          <w:rFonts w:hint="eastAsia" w:ascii="仿宋" w:hAnsi="仿宋" w:eastAsia="仿宋" w:cs="仿宋"/>
          <w:b/>
          <w:color w:val="auto"/>
          <w:sz w:val="24"/>
          <w:highlight w:val="none"/>
          <w:lang w:val="zh-CN"/>
        </w:rPr>
        <w:t>：</w:t>
      </w:r>
    </w:p>
    <w:p w14:paraId="52245A23">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7BB95792">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w:t>
      </w:r>
      <w:bookmarkStart w:id="36" w:name="OLE_LINK1"/>
      <w:r>
        <w:rPr>
          <w:rFonts w:hint="eastAsia" w:ascii="仿宋" w:hAnsi="仿宋" w:eastAsia="仿宋" w:cs="仿宋"/>
          <w:color w:val="auto"/>
          <w:sz w:val="24"/>
          <w:highlight w:val="none"/>
        </w:rPr>
        <w:t>授权委托书</w:t>
      </w:r>
      <w:bookmarkEnd w:id="36"/>
      <w:r>
        <w:rPr>
          <w:rFonts w:hint="eastAsia" w:ascii="仿宋" w:hAnsi="仿宋" w:eastAsia="仿宋" w:cs="仿宋"/>
          <w:color w:val="auto"/>
          <w:sz w:val="24"/>
          <w:highlight w:val="none"/>
        </w:rPr>
        <w:t>；</w:t>
      </w:r>
    </w:p>
    <w:p w14:paraId="498FB31C">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2.2.3法定代表人及其授权代表身份证复印件；</w:t>
      </w:r>
    </w:p>
    <w:p w14:paraId="7F43580D">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1B31EE1A">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2.2.5商务技术偏离表；</w:t>
      </w:r>
    </w:p>
    <w:p w14:paraId="1259348E">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14:paraId="4C51FBF6">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2.2.6采购供应商廉洁自律承诺书；</w:t>
      </w:r>
    </w:p>
    <w:p w14:paraId="585CAC5E">
      <w:pPr>
        <w:snapToGrid w:val="0"/>
        <w:spacing w:line="440" w:lineRule="exact"/>
        <w:ind w:firstLine="720" w:firstLineChars="300"/>
        <w:rPr>
          <w:rFonts w:hint="eastAsia" w:ascii="仿宋" w:hAnsi="仿宋" w:eastAsia="仿宋" w:cs="仿宋"/>
          <w:strike/>
          <w:dstrike w:val="0"/>
          <w:snapToGrid w:val="0"/>
          <w:color w:val="auto"/>
          <w:kern w:val="0"/>
          <w:sz w:val="24"/>
          <w:szCs w:val="21"/>
          <w:highlight w:val="none"/>
          <w:lang w:val="zh-CN"/>
        </w:rPr>
      </w:pPr>
      <w:r>
        <w:rPr>
          <w:rFonts w:hint="eastAsia" w:ascii="仿宋" w:hAnsi="仿宋" w:eastAsia="仿宋" w:cs="仿宋"/>
          <w:strike/>
          <w:dstrike w:val="0"/>
          <w:snapToGrid w:val="0"/>
          <w:color w:val="auto"/>
          <w:kern w:val="0"/>
          <w:sz w:val="24"/>
          <w:szCs w:val="21"/>
          <w:highlight w:val="none"/>
        </w:rPr>
        <w:t>2.2.7</w:t>
      </w:r>
      <w:r>
        <w:rPr>
          <w:rFonts w:hint="eastAsia" w:ascii="仿宋" w:hAnsi="仿宋" w:eastAsia="仿宋" w:cs="仿宋"/>
          <w:strike/>
          <w:dstrike w:val="0"/>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27E4274F">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rPr>
        <w:t>具有履行合同所必需的设备和专业技术能力的承诺函；</w:t>
      </w:r>
    </w:p>
    <w:p w14:paraId="33961ECD">
      <w:pPr>
        <w:snapToGrid w:val="0"/>
        <w:spacing w:line="440" w:lineRule="exact"/>
        <w:ind w:firstLine="720" w:firstLineChars="300"/>
        <w:rPr>
          <w:rFonts w:hint="eastAsia" w:ascii="仿宋" w:hAnsi="仿宋" w:eastAsia="仿宋" w:cs="仿宋"/>
          <w:color w:val="auto"/>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kern w:val="0"/>
          <w:sz w:val="24"/>
          <w:highlight w:val="none"/>
          <w:lang w:val="zh-CN"/>
        </w:rPr>
        <w:t>认为需要的其他商务技术文件或说明</w:t>
      </w:r>
      <w:r>
        <w:rPr>
          <w:rFonts w:hint="eastAsia" w:ascii="仿宋" w:hAnsi="仿宋" w:eastAsia="仿宋" w:cs="仿宋"/>
          <w:color w:val="auto"/>
          <w:sz w:val="24"/>
          <w:highlight w:val="none"/>
        </w:rPr>
        <w:t>（格式自拟）。</w:t>
      </w:r>
    </w:p>
    <w:p w14:paraId="16A41A77">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2.3报价文件：</w:t>
      </w:r>
    </w:p>
    <w:p w14:paraId="3508729A">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5952E8F">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snapToGrid w:val="0"/>
          <w:color w:val="auto"/>
          <w:sz w:val="24"/>
          <w:szCs w:val="21"/>
          <w:highlight w:val="none"/>
        </w:rPr>
        <w:t>2.3.2投标人针对报价需要说明的其他文件和说明（如有）</w:t>
      </w:r>
    </w:p>
    <w:p w14:paraId="6EF55583">
      <w:pPr>
        <w:snapToGrid w:val="0"/>
        <w:spacing w:line="440" w:lineRule="exact"/>
        <w:rPr>
          <w:rFonts w:hint="eastAsia" w:ascii="仿宋" w:hAnsi="仿宋" w:eastAsia="仿宋" w:cs="仿宋"/>
          <w:b/>
          <w:bCs/>
          <w:color w:val="auto"/>
          <w:sz w:val="32"/>
          <w:highlight w:val="none"/>
        </w:rPr>
      </w:pPr>
      <w:r>
        <w:rPr>
          <w:rFonts w:hint="eastAsia" w:ascii="仿宋" w:hAnsi="仿宋" w:eastAsia="仿宋" w:cs="仿宋"/>
          <w:b/>
          <w:bCs/>
          <w:color w:val="auto"/>
          <w:sz w:val="24"/>
          <w:szCs w:val="20"/>
          <w:highlight w:val="none"/>
        </w:rPr>
        <w:t>3.投标报价</w:t>
      </w:r>
    </w:p>
    <w:p w14:paraId="7753ED9E">
      <w:pPr>
        <w:pStyle w:val="12"/>
        <w:autoSpaceDE/>
        <w:autoSpaceDN/>
        <w:snapToGrid w:val="0"/>
        <w:spacing w:line="440" w:lineRule="exact"/>
        <w:ind w:firstLine="720" w:firstLineChars="3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3.1供应商应按招标文件中《开标一览表》等附表要求填写；</w:t>
      </w:r>
    </w:p>
    <w:p w14:paraId="0EB518A9">
      <w:pPr>
        <w:pStyle w:val="12"/>
        <w:autoSpaceDE/>
        <w:autoSpaceDN/>
        <w:snapToGrid w:val="0"/>
        <w:spacing w:line="440" w:lineRule="exact"/>
        <w:ind w:firstLine="720" w:firstLineChars="3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3.2报价为采购人可以合格使用产品或服务的价格</w:t>
      </w:r>
      <w:r>
        <w:rPr>
          <w:rFonts w:hint="eastAsia" w:ascii="仿宋" w:hAnsi="仿宋" w:eastAsia="仿宋" w:cs="仿宋"/>
          <w:color w:val="auto"/>
          <w:highlight w:val="none"/>
          <w:lang w:val="en-US" w:eastAsia="zh-CN"/>
        </w:rPr>
        <w:t>；</w:t>
      </w:r>
    </w:p>
    <w:p w14:paraId="7C02FB60">
      <w:pPr>
        <w:pStyle w:val="12"/>
        <w:autoSpaceDE/>
        <w:autoSpaceDN/>
        <w:snapToGrid w:val="0"/>
        <w:spacing w:line="440" w:lineRule="exact"/>
        <w:ind w:firstLine="720" w:firstLineChars="3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3.3招标文件未列明，而供应商认为必需的费用也需列入报价；</w:t>
      </w:r>
    </w:p>
    <w:p w14:paraId="2E5F9B37">
      <w:pPr>
        <w:pStyle w:val="12"/>
        <w:autoSpaceDE/>
        <w:autoSpaceDN/>
        <w:snapToGrid w:val="0"/>
        <w:spacing w:line="44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highlight w:val="none"/>
          <w:lang w:val="en-US"/>
        </w:rPr>
        <w:t>3.4投标报价只允许有一个报价，有选择的报价将不予接受（除指定外）。</w:t>
      </w:r>
    </w:p>
    <w:p w14:paraId="3874972B">
      <w:pPr>
        <w:pStyle w:val="30"/>
        <w:snapToGrid w:val="0"/>
        <w:spacing w:before="0" w:line="44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756A762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.1投标文件分为资格文件、商务技术文件、报价文件三部分。各供应商在编制投标文件时请按照招标文件第六部分规定的格式进行，混乱的编排导致投标文件被误读或</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lang w:val="zh-CN"/>
        </w:rPr>
        <w:t>查找不到有效文件是供应商的风险。</w:t>
      </w:r>
    </w:p>
    <w:p w14:paraId="27E0E1D4">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.2电子投标文件：供应商应根据《绍兴市阳光采购服务平台投标人电子投标文件制作工具使用手册》及本招标文件规定的格式和顺序编制电子投标文件并进行关联定位。</w:t>
      </w:r>
    </w:p>
    <w:p w14:paraId="2850C2AD">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zh-CN"/>
        </w:rPr>
        <w:t>投标文件</w:t>
      </w:r>
      <w:r>
        <w:rPr>
          <w:rFonts w:hint="eastAsia" w:ascii="仿宋" w:hAnsi="仿宋" w:eastAsia="仿宋" w:cs="仿宋"/>
          <w:color w:val="auto"/>
          <w:sz w:val="24"/>
          <w:highlight w:val="none"/>
        </w:rPr>
        <w:t>应</w:t>
      </w:r>
      <w:r>
        <w:rPr>
          <w:rFonts w:hint="eastAsia" w:ascii="仿宋" w:hAnsi="仿宋" w:eastAsia="仿宋" w:cs="仿宋"/>
          <w:color w:val="auto"/>
          <w:sz w:val="24"/>
          <w:highlight w:val="none"/>
          <w:lang w:val="zh-CN"/>
        </w:rPr>
        <w:t>按照招标文件第六部分</w:t>
      </w:r>
      <w:r>
        <w:rPr>
          <w:rFonts w:hint="eastAsia" w:ascii="仿宋" w:hAnsi="仿宋" w:eastAsia="仿宋" w:cs="仿宋"/>
          <w:color w:val="auto"/>
          <w:sz w:val="24"/>
          <w:highlight w:val="none"/>
        </w:rPr>
        <w:t>规定的</w:t>
      </w:r>
      <w:r>
        <w:rPr>
          <w:rFonts w:hint="eastAsia" w:ascii="仿宋" w:hAnsi="仿宋" w:eastAsia="仿宋" w:cs="仿宋"/>
          <w:color w:val="auto"/>
          <w:sz w:val="24"/>
          <w:highlight w:val="none"/>
          <w:lang w:val="zh-CN"/>
        </w:rPr>
        <w:t>格式要求进行签署、盖章。供应商的投标文件未按照招标文件要求签署、盖章的，其投标无效。</w:t>
      </w:r>
    </w:p>
    <w:p w14:paraId="636FC8C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为确保网上操作合法、有效和安全，供应商应当在投标截止时间前完成在</w:t>
      </w:r>
      <w:r>
        <w:rPr>
          <w:rFonts w:hint="eastAsia" w:ascii="仿宋" w:hAnsi="仿宋" w:eastAsia="仿宋" w:cs="仿宋"/>
          <w:color w:val="auto"/>
          <w:sz w:val="24"/>
          <w:highlight w:val="none"/>
        </w:rPr>
        <w:t>绍兴市阳光采购服务平台的CA绑定等</w:t>
      </w:r>
      <w:r>
        <w:rPr>
          <w:rFonts w:hint="eastAsia" w:ascii="仿宋" w:hAnsi="仿宋" w:eastAsia="仿宋" w:cs="仿宋"/>
          <w:color w:val="auto"/>
          <w:sz w:val="24"/>
          <w:highlight w:val="none"/>
          <w:lang w:val="zh-CN"/>
        </w:rPr>
        <w:t>身份认证</w:t>
      </w:r>
      <w:r>
        <w:rPr>
          <w:rFonts w:hint="eastAsia" w:ascii="仿宋" w:hAnsi="仿宋" w:eastAsia="仿宋" w:cs="仿宋"/>
          <w:color w:val="auto"/>
          <w:sz w:val="24"/>
          <w:highlight w:val="none"/>
        </w:rPr>
        <w:t>操作</w:t>
      </w:r>
      <w:r>
        <w:rPr>
          <w:rFonts w:hint="eastAsia" w:ascii="仿宋" w:hAnsi="仿宋" w:eastAsia="仿宋" w:cs="仿宋"/>
          <w:color w:val="auto"/>
          <w:sz w:val="24"/>
          <w:highlight w:val="none"/>
          <w:lang w:val="zh-CN"/>
        </w:rPr>
        <w:t>，确保在电子投标过程中能够对相关数据电文进行加密和使用电子印章。</w:t>
      </w:r>
    </w:p>
    <w:p w14:paraId="30FF62F4">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lang w:val="zh-CN"/>
        </w:rPr>
        <w:t>招标文件对投标文件签署、盖章的要求适用于电子印章。</w:t>
      </w:r>
    </w:p>
    <w:p w14:paraId="208926D4">
      <w:pPr>
        <w:pStyle w:val="30"/>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5.投标文件的提交、补充、修改、撤回</w:t>
      </w:r>
    </w:p>
    <w:p w14:paraId="33AA61D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供应商应当在投标截止时间前完成投标文件的传输递交，并可以补充、修改或者撤回投标文件。补充或者修改投标文件的，应当先行撤回原投标文件，在补充、修改后重新传输递交。投标截止时间前未完成传输的，视为撤回投标文件。投标截止时间后递交的投标文件，电子交易平台将拒收。</w:t>
      </w:r>
    </w:p>
    <w:p w14:paraId="460B29B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5.2在投标截止时间前，除供应商补充、修改或者撤回投标文件外，任何单位和个人不得解密或提取投标文件。</w:t>
      </w:r>
    </w:p>
    <w:p w14:paraId="2139E94A">
      <w:pPr>
        <w:spacing w:line="440" w:lineRule="exact"/>
        <w:rPr>
          <w:rFonts w:hint="eastAsia" w:ascii="仿宋" w:hAnsi="仿宋" w:eastAsia="仿宋" w:cs="仿宋"/>
          <w:b/>
          <w:color w:val="auto"/>
          <w:sz w:val="32"/>
          <w:highlight w:val="none"/>
        </w:rPr>
      </w:pPr>
      <w:r>
        <w:rPr>
          <w:rFonts w:hint="eastAsia" w:ascii="仿宋" w:hAnsi="仿宋" w:eastAsia="仿宋" w:cs="仿宋"/>
          <w:b/>
          <w:bCs/>
          <w:color w:val="auto"/>
          <w:sz w:val="24"/>
          <w:highlight w:val="none"/>
        </w:rPr>
        <w:t>6.投标有效期</w:t>
      </w:r>
    </w:p>
    <w:p w14:paraId="2F92EB1D">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6.1投标有效期详见本招标文件“第二部分 投标须知”的“前附表”第3项内容。供应商的投标文件中承诺的投标有效期少于招标文件中载明的投标有效期的，投标无效。</w:t>
      </w:r>
    </w:p>
    <w:p w14:paraId="0B11159B">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6.2投标文件合格投递后，自投标截止日期起，在投标有效期内有效。</w:t>
      </w:r>
    </w:p>
    <w:p w14:paraId="7ACEF855">
      <w:pPr>
        <w:pStyle w:val="30"/>
        <w:spacing w:before="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6.3在原定投标有效期满之前，如果出现特殊情况，采购人可以以书面形式通知供应商延长投标有效期。供应商同意延长的，不得要求或被允许修改其投标文件，供应商拒绝延长的，其投标无效。</w:t>
      </w:r>
    </w:p>
    <w:p w14:paraId="6F842379">
      <w:pPr>
        <w:pStyle w:val="30"/>
        <w:spacing w:before="0" w:line="440" w:lineRule="exact"/>
        <w:ind w:firstLine="643"/>
        <w:rPr>
          <w:rFonts w:hint="eastAsia" w:ascii="仿宋" w:hAnsi="仿宋" w:eastAsia="仿宋" w:cs="仿宋"/>
          <w:b/>
          <w:color w:val="auto"/>
          <w:sz w:val="32"/>
          <w:highlight w:val="none"/>
        </w:rPr>
      </w:pPr>
    </w:p>
    <w:p w14:paraId="7D19BB0D">
      <w:pPr>
        <w:spacing w:line="360" w:lineRule="auto"/>
        <w:jc w:val="center"/>
        <w:rPr>
          <w:rFonts w:hint="eastAsia" w:ascii="仿宋" w:hAnsi="仿宋" w:eastAsia="仿宋" w:cs="仿宋"/>
          <w:b/>
          <w:color w:val="auto"/>
          <w:sz w:val="32"/>
          <w:szCs w:val="32"/>
          <w:highlight w:val="none"/>
        </w:rPr>
      </w:pPr>
      <w:bookmarkStart w:id="37" w:name="_Toc91899903"/>
      <w:r>
        <w:rPr>
          <w:rFonts w:hint="eastAsia" w:ascii="仿宋" w:hAnsi="仿宋" w:eastAsia="仿宋" w:cs="仿宋"/>
          <w:b/>
          <w:color w:val="auto"/>
          <w:sz w:val="32"/>
          <w:szCs w:val="32"/>
          <w:highlight w:val="none"/>
        </w:rPr>
        <w:t>四、开标和评标</w:t>
      </w:r>
    </w:p>
    <w:p w14:paraId="7191058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313DBC3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31879AA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1.2供应商登录绍兴市阳光采购服务平台电子投标文件制作工具，使用解密功能对电子投标文件进行在线解密。在线解密电子投标文件时间为开标时间起60分钟内（以绍兴市阳光采购服务平台系统时间为准）。</w:t>
      </w:r>
    </w:p>
    <w:p w14:paraId="6BDAB56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对资格和商务技术响应文件进行评审。</w:t>
      </w:r>
    </w:p>
    <w:p w14:paraId="2184980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w:t>
      </w:r>
      <w:r>
        <w:rPr>
          <w:rFonts w:hint="eastAsia" w:ascii="仿宋" w:hAnsi="仿宋" w:eastAsia="仿宋" w:cs="仿宋"/>
          <w:strike/>
          <w:dstrike w:val="0"/>
          <w:color w:val="auto"/>
          <w:sz w:val="24"/>
          <w:highlight w:val="none"/>
        </w:rPr>
        <w:t>商务技术得分及</w:t>
      </w:r>
      <w:r>
        <w:rPr>
          <w:rFonts w:hint="eastAsia" w:ascii="仿宋" w:hAnsi="仿宋" w:eastAsia="仿宋" w:cs="仿宋"/>
          <w:color w:val="auto"/>
          <w:sz w:val="24"/>
          <w:highlight w:val="none"/>
        </w:rPr>
        <w:t>无效（废）投标情形（如果有），公布经商务技术评审符合招标文件要求的供应商名单</w:t>
      </w:r>
      <w:r>
        <w:rPr>
          <w:rFonts w:hint="eastAsia" w:ascii="仿宋" w:hAnsi="仿宋" w:eastAsia="仿宋" w:cs="仿宋"/>
          <w:strike/>
          <w:dstrike w:val="0"/>
          <w:color w:val="auto"/>
          <w:sz w:val="24"/>
          <w:highlight w:val="none"/>
        </w:rPr>
        <w:t>及其商务技术得分</w:t>
      </w:r>
      <w:r>
        <w:rPr>
          <w:rFonts w:hint="eastAsia" w:ascii="仿宋" w:hAnsi="仿宋" w:eastAsia="仿宋" w:cs="仿宋"/>
          <w:color w:val="auto"/>
          <w:sz w:val="24"/>
          <w:highlight w:val="none"/>
        </w:rPr>
        <w:t>。</w:t>
      </w:r>
    </w:p>
    <w:p w14:paraId="2A5A5D5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1.5主持人开启报价文件资料。</w:t>
      </w:r>
    </w:p>
    <w:p w14:paraId="19A9AFB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对投标文件报价文件资料进行评审，核准投标报价及计算价格分，</w:t>
      </w:r>
      <w:r>
        <w:rPr>
          <w:rFonts w:hint="eastAsia" w:ascii="仿宋" w:hAnsi="仿宋" w:eastAsia="仿宋" w:cs="仿宋"/>
          <w:strike/>
          <w:dstrike w:val="0"/>
          <w:color w:val="auto"/>
          <w:sz w:val="24"/>
          <w:highlight w:val="none"/>
        </w:rPr>
        <w:t>汇总商务技术分、价格分，</w:t>
      </w:r>
      <w:r>
        <w:rPr>
          <w:rFonts w:hint="eastAsia" w:ascii="仿宋" w:hAnsi="仿宋" w:eastAsia="仿宋" w:cs="仿宋"/>
          <w:color w:val="auto"/>
          <w:sz w:val="24"/>
          <w:highlight w:val="none"/>
        </w:rPr>
        <w:t>根据得分排序确定中标候选人。</w:t>
      </w:r>
    </w:p>
    <w:p w14:paraId="1E9A14E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31EE159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特别说明：绍兴市阳光采购服务平台如对电子化开标及评审程序有调整的，按调整后的程序操作。</w:t>
      </w:r>
    </w:p>
    <w:p w14:paraId="5EF1F5A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2.采购过程中出现以下情形，导致电子交易平台无法正常运行，或者无法保证电子交易的公平、公正和安全时，采购人可暂停或延期交易活动：</w:t>
      </w:r>
    </w:p>
    <w:p w14:paraId="5DEA8EF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2.1交易场所电力（网络）供应异常；</w:t>
      </w:r>
    </w:p>
    <w:p w14:paraId="29D42E1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2.2电子交易平台被非法网络攻击；</w:t>
      </w:r>
    </w:p>
    <w:p w14:paraId="11F6E2D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2.3电子交易平台硬件技术故障；</w:t>
      </w:r>
    </w:p>
    <w:p w14:paraId="178229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2.4电子交易平台系统软件异常； </w:t>
      </w:r>
    </w:p>
    <w:p w14:paraId="5213D0C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2.5其他导致电子交易平台无法正常运行，影响交易活动正常开展，或无法保证电子交易的公平、公正和安全的情况。</w:t>
      </w:r>
    </w:p>
    <w:p w14:paraId="4ECEAE3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人可以将项目暂停或延期，待上述情形消除后继续组织电子交易活动，也可以决定某些环节以纸质形式进行；影响或可能影响采购公平、公正性的，应当重新组织采购。</w:t>
      </w:r>
    </w:p>
    <w:p w14:paraId="53776C9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4E04D94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由采购人依法组建，负责评标活动。</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7E88A14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由采购人代表和有关方面的专家组成，成员人数为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人及以上单数。其中评审专家人数比例原则上应达到三分之二及以上。</w:t>
      </w:r>
    </w:p>
    <w:p w14:paraId="5626705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负责对供应商资格的最终审定。</w:t>
      </w:r>
    </w:p>
    <w:p w14:paraId="4DA106E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可以要求供应商对其投标文件中含义不明确的内容作必要的澄清或者说明，但澄清或者说明不得超过投标文件的范围或者改变投标文件的实质性内容。</w:t>
      </w:r>
    </w:p>
    <w:p w14:paraId="0A8FDE6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w:t>
      </w:r>
      <w:r>
        <w:rPr>
          <w:rFonts w:hint="eastAsia" w:ascii="仿宋" w:hAnsi="仿宋" w:eastAsia="仿宋" w:cs="仿宋"/>
          <w:strike/>
          <w:color w:val="auto"/>
          <w:sz w:val="24"/>
          <w:highlight w:val="none"/>
        </w:rPr>
        <w:t>、响应</w:t>
      </w:r>
      <w:r>
        <w:rPr>
          <w:rFonts w:hint="eastAsia" w:ascii="仿宋" w:hAnsi="仿宋" w:eastAsia="仿宋" w:cs="仿宋"/>
          <w:strike w:val="0"/>
          <w:color w:val="auto"/>
          <w:sz w:val="24"/>
          <w:highlight w:val="none"/>
        </w:rPr>
        <w:t>文件</w:t>
      </w:r>
      <w:r>
        <w:rPr>
          <w:rFonts w:hint="eastAsia" w:ascii="仿宋" w:hAnsi="仿宋" w:eastAsia="仿宋" w:cs="仿宋"/>
          <w:color w:val="auto"/>
          <w:sz w:val="24"/>
          <w:highlight w:val="none"/>
        </w:rPr>
        <w:t>作出澄清、说明或者补正的，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和供应商应当通过绍兴市阳光采购服务平台交换数据电文。给予供应商提交澄清说明或补正的时间</w:t>
      </w:r>
      <w:r>
        <w:rPr>
          <w:rFonts w:hint="eastAsia" w:ascii="仿宋" w:hAnsi="仿宋" w:eastAsia="仿宋" w:cs="仿宋"/>
          <w:b/>
          <w:bCs/>
          <w:color w:val="auto"/>
          <w:sz w:val="24"/>
          <w:highlight w:val="none"/>
        </w:rPr>
        <w:t>不少于半小时</w:t>
      </w:r>
      <w:r>
        <w:rPr>
          <w:rFonts w:hint="eastAsia" w:ascii="仿宋" w:hAnsi="仿宋" w:eastAsia="仿宋" w:cs="仿宋"/>
          <w:color w:val="auto"/>
          <w:sz w:val="24"/>
          <w:highlight w:val="none"/>
        </w:rPr>
        <w:t>，供应商已经明确表示澄清说明或补正完毕的除外。</w:t>
      </w:r>
    </w:p>
    <w:p w14:paraId="4C1CFE5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组长组织评审人员独立评审。</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对拟认定为</w:t>
      </w:r>
      <w:r>
        <w:rPr>
          <w:rFonts w:hint="eastAsia" w:ascii="仿宋" w:hAnsi="仿宋" w:eastAsia="仿宋" w:cs="仿宋"/>
          <w:strike/>
          <w:color w:val="auto"/>
          <w:sz w:val="24"/>
          <w:highlight w:val="none"/>
        </w:rPr>
        <w:t>采购响应文件</w:t>
      </w:r>
      <w:r>
        <w:rPr>
          <w:rFonts w:hint="eastAsia" w:ascii="仿宋" w:hAnsi="仿宋" w:eastAsia="仿宋" w:cs="仿宋"/>
          <w:color w:val="auto"/>
          <w:sz w:val="24"/>
          <w:highlight w:val="none"/>
        </w:rPr>
        <w:t>无效、供应商资格不符合的，应组织相关供应商代表进行陈述、澄清或申辩；</w:t>
      </w:r>
      <w:r>
        <w:rPr>
          <w:rFonts w:hint="eastAsia" w:ascii="仿宋" w:hAnsi="仿宋" w:eastAsia="仿宋" w:cs="仿宋"/>
          <w:strike/>
          <w:dstrike w:val="0"/>
          <w:color w:val="auto"/>
          <w:sz w:val="24"/>
          <w:highlight w:val="none"/>
        </w:rPr>
        <w:t>采购人或采购代理机构可协助</w:t>
      </w:r>
      <w:r>
        <w:rPr>
          <w:rFonts w:hint="eastAsia" w:ascii="仿宋" w:hAnsi="仿宋" w:eastAsia="仿宋" w:cs="仿宋"/>
          <w:strike/>
          <w:dstrike w:val="0"/>
          <w:color w:val="auto"/>
          <w:sz w:val="24"/>
          <w:highlight w:val="none"/>
          <w:lang w:eastAsia="zh-CN"/>
        </w:rPr>
        <w:t>评标委员会</w:t>
      </w:r>
      <w:r>
        <w:rPr>
          <w:rFonts w:hint="eastAsia" w:ascii="仿宋" w:hAnsi="仿宋" w:eastAsia="仿宋" w:cs="仿宋"/>
          <w:strike/>
          <w:dstrike w:val="0"/>
          <w:color w:val="auto"/>
          <w:sz w:val="24"/>
          <w:highlight w:val="none"/>
        </w:rPr>
        <w:t>组长对打分结果进行校对、核对并汇总统计；</w:t>
      </w:r>
      <w:r>
        <w:rPr>
          <w:rFonts w:hint="eastAsia" w:ascii="仿宋" w:hAnsi="仿宋" w:eastAsia="仿宋" w:cs="仿宋"/>
          <w:color w:val="auto"/>
          <w:sz w:val="24"/>
          <w:highlight w:val="none"/>
        </w:rPr>
        <w:t>对明显畸高、畸低的评分情形（</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成员个人主观打分偏离所有</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成员主观打分平均值30%以上），启动评分畸高、畸低行为认定程序，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组长应提醒相关评审人员进行复核或书面说明理由，评审人员拒绝说明的，由现场采购监管人员据实记录；评审人员的评审、修改记录应保留原件，随项目其他资料一并存档。</w:t>
      </w:r>
    </w:p>
    <w:p w14:paraId="3524FBB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对投标文件的判定，只依据投标文件和招标文件内容本身，不依据任何外来证明。</w:t>
      </w:r>
    </w:p>
    <w:p w14:paraId="1CFB06A6">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不向落标方解释落标的原因。</w:t>
      </w:r>
    </w:p>
    <w:p w14:paraId="234FC55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4F8F51A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10F07A9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4.1.1依据法律、法规和招标文件规定，本项目由</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组织资格审查，并出具资格审查报告。</w:t>
      </w:r>
    </w:p>
    <w:p w14:paraId="33B83C30">
      <w:pPr>
        <w:snapToGrid w:val="0"/>
        <w:spacing w:line="44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4.2符合性审查</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zh-CN" w:eastAsia="zh-CN"/>
        </w:rPr>
        <w:t>评标委员会对投标人的投标文件进行符合性评审，按规定否决不合格投标的，当投标</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lang w:val="zh-CN" w:eastAsia="zh-CN"/>
        </w:rPr>
        <w:t>不足</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zh-CN" w:eastAsia="zh-CN"/>
        </w:rPr>
        <w:t>家</w:t>
      </w:r>
      <w:r>
        <w:rPr>
          <w:rFonts w:hint="eastAsia" w:ascii="仿宋" w:hAnsi="仿宋" w:eastAsia="仿宋" w:cs="仿宋"/>
          <w:b/>
          <w:bCs/>
          <w:color w:val="auto"/>
          <w:sz w:val="24"/>
          <w:highlight w:val="none"/>
          <w:lang w:val="en-US" w:eastAsia="zh-CN"/>
        </w:rPr>
        <w:t>时</w:t>
      </w:r>
      <w:r>
        <w:rPr>
          <w:rFonts w:hint="eastAsia" w:ascii="仿宋" w:hAnsi="仿宋" w:eastAsia="仿宋" w:cs="仿宋"/>
          <w:b/>
          <w:bCs/>
          <w:color w:val="auto"/>
          <w:sz w:val="24"/>
          <w:highlight w:val="none"/>
          <w:lang w:val="zh-CN" w:eastAsia="zh-CN"/>
        </w:rPr>
        <w:t>，</w:t>
      </w: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lang w:val="zh-CN" w:eastAsia="zh-CN"/>
        </w:rPr>
        <w:t>人应当依法组织重新招标。</w:t>
      </w:r>
    </w:p>
    <w:p w14:paraId="1A6832F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决定投标文件的响应性只根据投标文件本身的内容，而不寻求外部证据。</w:t>
      </w:r>
    </w:p>
    <w:p w14:paraId="6098841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将予以拒绝，并且不允许供应商通过修改或撤销其不符合要求的差异或保留，使之成为具有实质性响应的投标。</w:t>
      </w:r>
    </w:p>
    <w:p w14:paraId="6526028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5.</w:t>
      </w:r>
      <w:r>
        <w:rPr>
          <w:rFonts w:hint="eastAsia" w:ascii="仿宋" w:hAnsi="仿宋" w:eastAsia="仿宋" w:cs="仿宋"/>
          <w:b/>
          <w:color w:val="auto"/>
          <w:sz w:val="24"/>
          <w:highlight w:val="none"/>
        </w:rPr>
        <w:t>投标文件报价出现前后不一致的，按照下列规定修正：</w:t>
      </w:r>
    </w:p>
    <w:p w14:paraId="37813C9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18F063D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5BCB291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6EFD494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7C29064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同时出现两种以上不一致的，按照前款规定的顺序修正。修正后的报价经供应商确认后产生约束力，供应商不确认的，其投标无效。</w:t>
      </w:r>
    </w:p>
    <w:p w14:paraId="7A6BBA3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64BBA07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将对在实质上响应招标文件要求的投标文件进行评估和比较。</w:t>
      </w:r>
    </w:p>
    <w:p w14:paraId="2E650E9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6.2在评审过程中，</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可以书面形式要求供应商就投标文件含义不明确的内容可对其通过绍兴市阳光采购服务平台进行书面说明并提供相关材料，但不得超过投标文件的范围或者改变投标文件的实质性内容。</w:t>
      </w:r>
    </w:p>
    <w:p w14:paraId="32D0439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6.3在评标过程中，如发现与招标文件要求相偏离的，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可对其偏离情形进行必要的核实。</w:t>
      </w:r>
    </w:p>
    <w:p w14:paraId="1413BC8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6.4在评审过程中，如属于实质性偏离或符合无效响应条件的，应当询问相关供应商，并可对其通过绍兴市阳光采购服务平台进行线上确认，但不允许对偏离条款进行补充、修正或撤回。</w:t>
      </w:r>
    </w:p>
    <w:p w14:paraId="503564CD">
      <w:pPr>
        <w:snapToGrid w:val="0"/>
        <w:spacing w:line="440" w:lineRule="exact"/>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6.5比较与评价。</w:t>
      </w:r>
      <w:r>
        <w:rPr>
          <w:rFonts w:hint="eastAsia" w:ascii="仿宋" w:hAnsi="仿宋" w:eastAsia="仿宋" w:cs="仿宋"/>
          <w:strike/>
          <w:dstrike w:val="0"/>
          <w:color w:val="auto"/>
          <w:sz w:val="24"/>
          <w:highlight w:val="none"/>
          <w:lang w:eastAsia="zh-CN"/>
        </w:rPr>
        <w:t>评标委员会</w:t>
      </w:r>
      <w:r>
        <w:rPr>
          <w:rFonts w:hint="eastAsia" w:ascii="仿宋" w:hAnsi="仿宋" w:eastAsia="仿宋" w:cs="仿宋"/>
          <w:strike/>
          <w:dstrike w:val="0"/>
          <w:color w:val="auto"/>
          <w:sz w:val="24"/>
          <w:highlight w:val="none"/>
        </w:rPr>
        <w:t>应当按照评标标准，对符合性审查合格的投标文件进行商务和技术评估，综合比较与评价。</w:t>
      </w:r>
    </w:p>
    <w:p w14:paraId="2680B99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6.6</w:t>
      </w:r>
      <w:r>
        <w:rPr>
          <w:rFonts w:hint="eastAsia" w:ascii="仿宋" w:hAnsi="仿宋" w:eastAsia="仿宋" w:cs="仿宋"/>
          <w:strike/>
          <w:dstrike w:val="0"/>
          <w:color w:val="auto"/>
          <w:sz w:val="24"/>
          <w:highlight w:val="none"/>
        </w:rPr>
        <w:t>汇总（商务技术得分情况）。</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各成员应当独立对每个供应商的商务技术文件进行评价</w:t>
      </w:r>
      <w:r>
        <w:rPr>
          <w:rFonts w:hint="eastAsia" w:ascii="仿宋" w:hAnsi="仿宋" w:eastAsia="仿宋" w:cs="仿宋"/>
          <w:strike/>
          <w:dstrike w:val="0"/>
          <w:color w:val="auto"/>
          <w:sz w:val="24"/>
          <w:highlight w:val="none"/>
        </w:rPr>
        <w:t>，并汇总商务技术得分情况</w:t>
      </w:r>
      <w:r>
        <w:rPr>
          <w:rFonts w:hint="eastAsia" w:ascii="仿宋" w:hAnsi="仿宋" w:eastAsia="仿宋" w:cs="仿宋"/>
          <w:color w:val="auto"/>
          <w:sz w:val="24"/>
          <w:highlight w:val="none"/>
        </w:rPr>
        <w:t>。</w:t>
      </w:r>
    </w:p>
    <w:p w14:paraId="54CEBB6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6.7报价审核。对符合采购需求且通过商务技术评审的供应商的报价的合理性、准确性等进行审查核实。</w:t>
      </w:r>
    </w:p>
    <w:p w14:paraId="476BE87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6.7.1</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认为供应商的报价明显低于其他通过符合性审查的供应商的报价，有可能影响产品质量或者不能诚信履约的，应当要求其在合理的时间内通过绍兴市阳光采购服务平台提供线上说明，必要时提交相关证明材料。</w:t>
      </w:r>
    </w:p>
    <w:p w14:paraId="4E970D1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依据招标文件规定的评标标准和方法，对投标文件进行评审和比较后，向采购人或采购代理机构提供书面评审报告，并按得分高低排序推荐中标候选供应商。</w:t>
      </w:r>
    </w:p>
    <w:p w14:paraId="19FC1A93">
      <w:pPr>
        <w:pStyle w:val="7"/>
        <w:numPr>
          <w:ilvl w:val="0"/>
          <w:numId w:val="0"/>
        </w:numPr>
        <w:spacing w:after="120" w:line="440" w:lineRule="exact"/>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0ED2E2B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对投标文件中含义不明、表述不一致或有明显计算错误等内容，</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将对供应商进行询标，并可要求供应商作澄清，作为投标文件的补充部分，但澄清的内容不得改变投标文件的实质性内容。</w:t>
      </w:r>
    </w:p>
    <w:p w14:paraId="2825E661">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8.无效投标的情形</w:t>
      </w:r>
    </w:p>
    <w:p w14:paraId="0C2AC8BE">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715399F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8.1未按照招标文件规定要求电子印章、签字或盖章的；</w:t>
      </w:r>
    </w:p>
    <w:p w14:paraId="4B7C9BF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2ADB525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8.3为采购项目提供整体设计、规范编制或者项目管理、监理、检测等服务的供应商参加该采购项目的其他采购活动的；</w:t>
      </w:r>
    </w:p>
    <w:p w14:paraId="1BBAF4F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8.4供应商未提供招标文件中规定的基本资格条件书面承诺函的，或供应商未提供有效的特定资格证明文件的，视为供应商不具备招标文件中规定的资格要求；</w:t>
      </w:r>
    </w:p>
    <w:p w14:paraId="087E340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3324214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8.6《法定代表人授权委托书》或《法定代表人身份证明书》填写不全、错误、未电子印章(《法定代表人授权委托书》要求“电子印章”和“签字或盖章”缺一不可）的；</w:t>
      </w:r>
    </w:p>
    <w:p w14:paraId="7429AEDD">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8.7投标文件中的投标函无供应商的电子印章或填写不全的；</w:t>
      </w:r>
    </w:p>
    <w:p w14:paraId="5CD09A4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8.8报价一经涂改，未在涂改处加盖投标单位公章或者未经法定代表人或其授权代表签字或盖章的；</w:t>
      </w:r>
    </w:p>
    <w:p w14:paraId="775336C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8.9未按招标文件规定的格式填写，或对招标服务或技术或产品等要求未详细应答或应答内容不全、有缺失的,经</w:t>
      </w:r>
      <w:r>
        <w:rPr>
          <w:rFonts w:hint="eastAsia" w:ascii="仿宋" w:hAnsi="仿宋" w:eastAsia="仿宋" w:cs="仿宋"/>
          <w:b/>
          <w:color w:val="auto"/>
          <w:sz w:val="24"/>
          <w:highlight w:val="none"/>
          <w:lang w:eastAsia="zh-CN"/>
        </w:rPr>
        <w:t>评标委员会</w:t>
      </w:r>
      <w:r>
        <w:rPr>
          <w:rFonts w:hint="eastAsia" w:ascii="仿宋" w:hAnsi="仿宋" w:eastAsia="仿宋" w:cs="仿宋"/>
          <w:b/>
          <w:color w:val="auto"/>
          <w:sz w:val="24"/>
          <w:highlight w:val="none"/>
        </w:rPr>
        <w:t>认定为无法评审的；</w:t>
      </w:r>
    </w:p>
    <w:p w14:paraId="0BEA7BC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8.10出现同一标的物或本次招标产品(服务)内的主要产品(重要组成部分)出现商务技术文件资料、报价文件资料描述不一致或前后描述不一致，经</w:t>
      </w:r>
      <w:r>
        <w:rPr>
          <w:rFonts w:hint="eastAsia" w:ascii="仿宋" w:hAnsi="仿宋" w:eastAsia="仿宋" w:cs="仿宋"/>
          <w:b/>
          <w:color w:val="auto"/>
          <w:sz w:val="24"/>
          <w:highlight w:val="none"/>
          <w:lang w:eastAsia="zh-CN"/>
        </w:rPr>
        <w:t>评标委员会</w:t>
      </w:r>
      <w:r>
        <w:rPr>
          <w:rFonts w:hint="eastAsia" w:ascii="仿宋" w:hAnsi="仿宋" w:eastAsia="仿宋" w:cs="仿宋"/>
          <w:b/>
          <w:color w:val="auto"/>
          <w:sz w:val="24"/>
          <w:highlight w:val="none"/>
        </w:rPr>
        <w:t>认定后为无法评审的；</w:t>
      </w:r>
    </w:p>
    <w:p w14:paraId="7A71397D">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8.11《商务技术偏离表》不真实填写或弄虚作假的；</w:t>
      </w:r>
    </w:p>
    <w:p w14:paraId="1731DDD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8.12投标文件含有采购人不能接受的附加条件；</w:t>
      </w:r>
    </w:p>
    <w:p w14:paraId="2F3C1B4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w:t>
      </w:r>
      <w:r>
        <w:rPr>
          <w:rFonts w:hint="eastAsia" w:ascii="仿宋" w:hAnsi="仿宋" w:eastAsia="仿宋" w:cs="仿宋"/>
          <w:b/>
          <w:color w:val="auto"/>
          <w:sz w:val="24"/>
          <w:highlight w:val="none"/>
          <w:lang w:eastAsia="zh-CN"/>
        </w:rPr>
        <w:t>评标委员会</w:t>
      </w:r>
      <w:r>
        <w:rPr>
          <w:rFonts w:hint="eastAsia" w:ascii="仿宋" w:hAnsi="仿宋" w:eastAsia="仿宋" w:cs="仿宋"/>
          <w:b/>
          <w:color w:val="auto"/>
          <w:sz w:val="24"/>
          <w:highlight w:val="none"/>
        </w:rPr>
        <w:t>认为供应商的报价明显低于其他通过符合性审查供应商的报价，有可能影响产品质量或者不能诚信履约的，未能按要求提供书面说明或者提交相关证明材料证明其报价合理性的;</w:t>
      </w:r>
    </w:p>
    <w:p w14:paraId="2A38E10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8.14报价超过招标文件中规定的预算金额或最高限价的；</w:t>
      </w:r>
    </w:p>
    <w:p w14:paraId="617F64F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8.15投标文件“商务技术文件资料”部分中出现《开标一览表》相关内容的；</w:t>
      </w:r>
    </w:p>
    <w:p w14:paraId="5950FCB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8.16《开标一览表》填写不完整或字迹不能辨认或有漏项的，经</w:t>
      </w:r>
      <w:r>
        <w:rPr>
          <w:rFonts w:hint="eastAsia" w:ascii="仿宋" w:hAnsi="仿宋" w:eastAsia="仿宋" w:cs="仿宋"/>
          <w:b/>
          <w:color w:val="auto"/>
          <w:sz w:val="24"/>
          <w:highlight w:val="none"/>
          <w:lang w:eastAsia="zh-CN"/>
        </w:rPr>
        <w:t>评标委员会</w:t>
      </w:r>
      <w:r>
        <w:rPr>
          <w:rFonts w:hint="eastAsia" w:ascii="仿宋" w:hAnsi="仿宋" w:eastAsia="仿宋" w:cs="仿宋"/>
          <w:b/>
          <w:color w:val="auto"/>
          <w:sz w:val="24"/>
          <w:highlight w:val="none"/>
        </w:rPr>
        <w:t>认定属于重大偏差的；</w:t>
      </w:r>
    </w:p>
    <w:p w14:paraId="0C3474C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8.17供应商对根据修正原则修正后的报价不确认的；</w:t>
      </w:r>
    </w:p>
    <w:p w14:paraId="0EB2A79F">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8.18供应商提供虚假材料投标的；</w:t>
      </w:r>
    </w:p>
    <w:p w14:paraId="1F9E40B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8.19下列情形之一的，视为供应商串通投标，其投标无效：</w:t>
      </w:r>
    </w:p>
    <w:p w14:paraId="373550CD">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8.19.1不同供应商的投标文件由同一单位或者个人编制的；</w:t>
      </w:r>
    </w:p>
    <w:p w14:paraId="5DA127C3">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8.19.2不同供应商使用同一单位或者个人的IP地址、设备下载</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或者制作、提交投标文件的；</w:t>
      </w:r>
    </w:p>
    <w:p w14:paraId="2F06B58A">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8.19.3不同供应商委托同一单位或者个人办理投标事宜的；</w:t>
      </w:r>
    </w:p>
    <w:p w14:paraId="12575DFF">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8.19.4不同供应商的投标文件载明的项目管理成员或者联系人员为同一人；</w:t>
      </w:r>
    </w:p>
    <w:p w14:paraId="07EFB567">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8.19.5不同供应商的投标文件异常一致或者投标报价呈现规律性差异；</w:t>
      </w:r>
    </w:p>
    <w:p w14:paraId="5035C2C5">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8.19.6不同供应商的投标文件相互混装；</w:t>
      </w:r>
    </w:p>
    <w:p w14:paraId="1BD416EE">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8.19.7不同供应商的保证金从同一单位或者个人的账户转出；</w:t>
      </w:r>
    </w:p>
    <w:p w14:paraId="24CFFAB5">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8.19.8以他人名义参与响应或者以其他方式弄虚作假，骗取中标的；</w:t>
      </w:r>
    </w:p>
    <w:p w14:paraId="3673E293">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8.19.9经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评定认为可以判定无效的其他情形。</w:t>
      </w:r>
    </w:p>
    <w:p w14:paraId="7A331A3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8.20有下列情形之一的，属于恶意串通，其投标无效：</w:t>
      </w:r>
    </w:p>
    <w:p w14:paraId="07580F3D">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.1供应商直接或者间接从采购人或者采购代理机构处获得其他供应商的相关情况并修改其投标文件</w:t>
      </w:r>
      <w:r>
        <w:rPr>
          <w:rFonts w:hint="eastAsia" w:ascii="仿宋" w:hAnsi="仿宋" w:eastAsia="仿宋" w:cs="仿宋"/>
          <w:strike/>
          <w:color w:val="auto"/>
          <w:sz w:val="24"/>
          <w:highlight w:val="none"/>
        </w:rPr>
        <w:t>或者响应文件</w:t>
      </w:r>
      <w:r>
        <w:rPr>
          <w:rFonts w:hint="eastAsia" w:ascii="仿宋" w:hAnsi="仿宋" w:eastAsia="仿宋" w:cs="仿宋"/>
          <w:color w:val="auto"/>
          <w:sz w:val="24"/>
          <w:highlight w:val="none"/>
        </w:rPr>
        <w:t>；</w:t>
      </w:r>
    </w:p>
    <w:p w14:paraId="3F8EF1FD">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.2供应商按照采购人或者采购代理机构的授意撤换、修改投标文件</w:t>
      </w:r>
      <w:r>
        <w:rPr>
          <w:rFonts w:hint="eastAsia" w:ascii="仿宋" w:hAnsi="仿宋" w:eastAsia="仿宋" w:cs="仿宋"/>
          <w:strike/>
          <w:color w:val="auto"/>
          <w:sz w:val="24"/>
          <w:highlight w:val="none"/>
        </w:rPr>
        <w:t>或者响应文件</w:t>
      </w:r>
      <w:r>
        <w:rPr>
          <w:rFonts w:hint="eastAsia" w:ascii="仿宋" w:hAnsi="仿宋" w:eastAsia="仿宋" w:cs="仿宋"/>
          <w:color w:val="auto"/>
          <w:sz w:val="24"/>
          <w:highlight w:val="none"/>
        </w:rPr>
        <w:t>；</w:t>
      </w:r>
    </w:p>
    <w:p w14:paraId="7DEC8004">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.3供应商之间协商报价、技术方案等投标文件</w:t>
      </w:r>
      <w:r>
        <w:rPr>
          <w:rFonts w:hint="eastAsia" w:ascii="仿宋" w:hAnsi="仿宋" w:eastAsia="仿宋" w:cs="仿宋"/>
          <w:strike/>
          <w:color w:val="auto"/>
          <w:sz w:val="24"/>
          <w:highlight w:val="none"/>
        </w:rPr>
        <w:t>或者响应文件</w:t>
      </w:r>
      <w:r>
        <w:rPr>
          <w:rFonts w:hint="eastAsia" w:ascii="仿宋" w:hAnsi="仿宋" w:eastAsia="仿宋" w:cs="仿宋"/>
          <w:color w:val="auto"/>
          <w:sz w:val="24"/>
          <w:highlight w:val="none"/>
        </w:rPr>
        <w:t>的实质性内容；</w:t>
      </w:r>
    </w:p>
    <w:p w14:paraId="70B3932C">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.4属于同一集团、协会、商会等组织成员的供应商按照该组织要求协同参加采购活动；</w:t>
      </w:r>
    </w:p>
    <w:p w14:paraId="724B4CB6">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.5供应商之间事先约定由某一特定供应商中标、成交；</w:t>
      </w:r>
    </w:p>
    <w:p w14:paraId="052502EC">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.6供应商之间商定部分供应商放弃参加采购活动或者放弃中标、成交；</w:t>
      </w:r>
    </w:p>
    <w:p w14:paraId="0BB1251C">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b/>
          <w:color w:val="auto"/>
          <w:sz w:val="24"/>
          <w:highlight w:val="none"/>
        </w:rPr>
        <w:t>20</w:t>
      </w: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14:paraId="15B883C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w:t>
      </w:r>
      <w:r>
        <w:rPr>
          <w:rFonts w:hint="eastAsia" w:ascii="仿宋" w:hAnsi="仿宋" w:eastAsia="仿宋" w:cs="仿宋"/>
          <w:b/>
          <w:color w:val="auto"/>
          <w:sz w:val="24"/>
          <w:highlight w:val="none"/>
          <w:lang w:eastAsia="zh-CN"/>
        </w:rPr>
        <w:t>评标委员会</w:t>
      </w:r>
      <w:r>
        <w:rPr>
          <w:rFonts w:hint="eastAsia" w:ascii="仿宋" w:hAnsi="仿宋" w:eastAsia="仿宋" w:cs="仿宋"/>
          <w:b/>
          <w:color w:val="auto"/>
          <w:sz w:val="24"/>
          <w:highlight w:val="none"/>
        </w:rPr>
        <w:t>认定有重大偏差或实质性不响应招标文件要求的；</w:t>
      </w:r>
    </w:p>
    <w:p w14:paraId="5605948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8.22投标文件出现不是唯一的、有选择性投标报价的；</w:t>
      </w:r>
    </w:p>
    <w:p w14:paraId="300421D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8.23其他违反法律、法规的情形。</w:t>
      </w:r>
    </w:p>
    <w:p w14:paraId="12386CC6">
      <w:pP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9.评标过程保密</w:t>
      </w:r>
    </w:p>
    <w:p w14:paraId="16BC992D">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w:t>
      </w:r>
      <w:r>
        <w:rPr>
          <w:rFonts w:hint="eastAsia" w:ascii="仿宋" w:hAnsi="仿宋" w:eastAsia="仿宋" w:cs="仿宋"/>
          <w:color w:val="auto"/>
          <w:sz w:val="24"/>
          <w:highlight w:val="none"/>
          <w:lang w:val="en-US" w:eastAsia="zh-CN"/>
        </w:rPr>
        <w:t>投标文件</w:t>
      </w:r>
      <w:r>
        <w:rPr>
          <w:rFonts w:hint="eastAsia" w:ascii="仿宋" w:hAnsi="仿宋" w:eastAsia="仿宋" w:cs="仿宋"/>
          <w:color w:val="auto"/>
          <w:sz w:val="24"/>
          <w:highlight w:val="none"/>
        </w:rPr>
        <w:t>评审和比较、</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推荐等评审有关的情况和评审文件的，以及涉及国家秘密和商业秘密等信息，</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成员、采购人和采购代理机构工作人员、相关监管人员等与评审有关的人员应当予以保密。</w:t>
      </w:r>
    </w:p>
    <w:p w14:paraId="58536C87">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9.2在评标期间，供应商企图影响采购人或</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kern w:val="0"/>
          <w:sz w:val="24"/>
          <w:highlight w:val="none"/>
        </w:rPr>
        <w:t>的任何活动，都将导致投标被拒绝，并由其承担相应的法律责任。</w:t>
      </w:r>
    </w:p>
    <w:p w14:paraId="1AFBB833">
      <w:pPr>
        <w:snapToGrid w:val="0"/>
        <w:spacing w:line="360" w:lineRule="auto"/>
        <w:ind w:firstLine="482" w:firstLineChars="150"/>
        <w:jc w:val="center"/>
        <w:rPr>
          <w:rFonts w:hint="eastAsia" w:ascii="仿宋" w:hAnsi="仿宋" w:eastAsia="仿宋" w:cs="仿宋"/>
          <w:b/>
          <w:color w:val="auto"/>
          <w:sz w:val="32"/>
          <w:highlight w:val="none"/>
        </w:rPr>
      </w:pPr>
    </w:p>
    <w:bookmarkEnd w:id="37"/>
    <w:p w14:paraId="77D59BDA">
      <w:pPr>
        <w:pStyle w:val="15"/>
        <w:spacing w:line="360" w:lineRule="auto"/>
        <w:ind w:firstLine="726"/>
        <w:jc w:val="center"/>
        <w:rPr>
          <w:rFonts w:hint="eastAsia" w:ascii="仿宋" w:hAnsi="仿宋" w:eastAsia="仿宋" w:cs="仿宋"/>
          <w:b/>
          <w:color w:val="auto"/>
          <w:sz w:val="32"/>
          <w:szCs w:val="32"/>
          <w:highlight w:val="none"/>
        </w:rPr>
      </w:pPr>
      <w:bookmarkStart w:id="38" w:name="_Toc81372953"/>
      <w:bookmarkStart w:id="39" w:name="_Toc84325929"/>
      <w:bookmarkStart w:id="40" w:name="_Toc81372776"/>
      <w:r>
        <w:rPr>
          <w:rFonts w:hint="eastAsia" w:ascii="仿宋" w:hAnsi="仿宋" w:eastAsia="仿宋" w:cs="仿宋"/>
          <w:b/>
          <w:color w:val="auto"/>
          <w:sz w:val="32"/>
          <w:szCs w:val="32"/>
          <w:highlight w:val="none"/>
        </w:rPr>
        <w:t>五、授予合同</w:t>
      </w:r>
    </w:p>
    <w:bookmarkEnd w:id="38"/>
    <w:bookmarkEnd w:id="39"/>
    <w:bookmarkEnd w:id="40"/>
    <w:p w14:paraId="1AA56B34">
      <w:pPr>
        <w:pStyle w:val="7"/>
        <w:numPr>
          <w:ilvl w:val="0"/>
          <w:numId w:val="0"/>
        </w:numPr>
        <w:spacing w:after="120" w:line="440" w:lineRule="exact"/>
        <w:rPr>
          <w:rFonts w:hint="eastAsia" w:ascii="仿宋" w:hAnsi="仿宋" w:eastAsia="仿宋" w:cs="仿宋"/>
          <w:b/>
          <w:color w:val="auto"/>
          <w:highlight w:val="none"/>
        </w:rPr>
      </w:pPr>
      <w:r>
        <w:rPr>
          <w:rFonts w:hint="eastAsia" w:ascii="仿宋" w:hAnsi="仿宋" w:eastAsia="仿宋" w:cs="仿宋"/>
          <w:b/>
          <w:color w:val="auto"/>
          <w:highlight w:val="none"/>
        </w:rPr>
        <w:t>1.中标条件</w:t>
      </w:r>
    </w:p>
    <w:p w14:paraId="42C0D6B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1B2DC700">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1.2供应商有很好的执行合同的能力；</w:t>
      </w:r>
    </w:p>
    <w:p w14:paraId="0C2F28FD">
      <w:pPr>
        <w:snapToGrid w:val="0"/>
        <w:spacing w:line="440" w:lineRule="exact"/>
        <w:ind w:firstLine="480" w:firstLineChars="200"/>
        <w:rPr>
          <w:rFonts w:hint="eastAsia" w:ascii="仿宋" w:hAnsi="仿宋" w:eastAsia="仿宋" w:cs="仿宋"/>
          <w:strike/>
          <w:dstrike w:val="0"/>
          <w:color w:val="auto"/>
          <w:sz w:val="24"/>
          <w:highlight w:val="none"/>
        </w:rPr>
      </w:pPr>
      <w:r>
        <w:rPr>
          <w:rFonts w:hint="eastAsia" w:ascii="仿宋" w:hAnsi="仿宋" w:eastAsia="仿宋" w:cs="仿宋"/>
          <w:strike w:val="0"/>
          <w:dstrike w:val="0"/>
          <w:color w:val="auto"/>
          <w:sz w:val="24"/>
          <w:highlight w:val="none"/>
        </w:rPr>
        <w:t>1.3实施方案最合理并对采购人最为有利，最大限度满足招标文件的要求；</w:t>
      </w:r>
    </w:p>
    <w:p w14:paraId="17ACA3D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1.4供应商能够提供质量技术、商务经济占综合优势的系统及服务。</w:t>
      </w:r>
    </w:p>
    <w:p w14:paraId="507667F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1.5采购人将把中标通知书授予最佳投标者，但最低价不是中标的绝对保证。</w:t>
      </w:r>
    </w:p>
    <w:p w14:paraId="0A2BCD32">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2.中标候选公示</w:t>
      </w:r>
    </w:p>
    <w:p w14:paraId="13D4082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2.1采购人应当自收到评审报告之日起3日内，</w:t>
      </w:r>
      <w:r>
        <w:rPr>
          <w:rFonts w:hint="eastAsia" w:ascii="仿宋" w:hAnsi="仿宋" w:eastAsia="仿宋" w:cs="仿宋"/>
          <w:color w:val="auto"/>
          <w:sz w:val="24"/>
          <w:highlight w:val="none"/>
          <w:u w:val="single"/>
        </w:rPr>
        <w:t>按评审报告推荐的排名顺序确定中标候选人</w:t>
      </w:r>
      <w:r>
        <w:rPr>
          <w:rFonts w:hint="eastAsia" w:ascii="仿宋" w:hAnsi="仿宋" w:eastAsia="仿宋" w:cs="仿宋"/>
          <w:color w:val="auto"/>
          <w:sz w:val="24"/>
          <w:highlight w:val="none"/>
        </w:rPr>
        <w:t>，并在绍兴市阳光采购服务平台发布中标候选人公示，公示期为3 日。</w:t>
      </w:r>
    </w:p>
    <w:p w14:paraId="4E23DC0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3．中标确认及通知</w:t>
      </w:r>
    </w:p>
    <w:p w14:paraId="3A8EE70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3.1中标候选人公示期结束且无尚未处理的异议（质疑）的，确认中标候选人为中标供应商。</w:t>
      </w:r>
    </w:p>
    <w:p w14:paraId="103FEFA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3.2采购人通过绍兴市阳光采购服务平台向中标供应商发出中标通知书并发布中标结果公告。中标供应商自行登录绍兴市阳光采购服务平台下载并打印中标通知书。</w:t>
      </w:r>
    </w:p>
    <w:p w14:paraId="1DD43F49">
      <w:pPr>
        <w:snapToGrid w:val="0"/>
        <w:spacing w:line="44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3.3采购人应在确认中标供应商前再次对资格条件和相关证件材料进一步查验核实。在发出中标通知书前，中标供应商如有违反有关法律法规和本项目要求行为的，则取消该供应商的中标资格</w:t>
      </w:r>
      <w:r>
        <w:rPr>
          <w:rFonts w:hint="eastAsia" w:ascii="仿宋" w:hAnsi="仿宋" w:eastAsia="仿宋" w:cs="仿宋"/>
          <w:color w:val="auto"/>
          <w:sz w:val="24"/>
          <w:highlight w:val="none"/>
          <w:lang w:val="zh-CN"/>
        </w:rPr>
        <w:t>。</w:t>
      </w:r>
    </w:p>
    <w:p w14:paraId="7E61900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3.4采购人或采购代理机构对中标结果不作任何说明和解释，也不回答任何提问。</w:t>
      </w:r>
    </w:p>
    <w:p w14:paraId="0C33FA6D">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0C449D7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收取履约保证金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具体详见标段内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5A0B82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4.2项目验收</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后，采购人应及时退还履约保证金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9BA50A3">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w:t>
      </w:r>
    </w:p>
    <w:p w14:paraId="4B6C34D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5.1中标供应商应当在中标通知书发出之日起30天内与采购人签订采购合同。</w:t>
      </w:r>
    </w:p>
    <w:p w14:paraId="2CB3BC94">
      <w:pPr>
        <w:snapToGrid w:val="0"/>
        <w:spacing w:line="440" w:lineRule="exact"/>
        <w:ind w:firstLine="480" w:firstLineChars="200"/>
        <w:rPr>
          <w:rFonts w:hint="eastAsia" w:ascii="仿宋" w:hAnsi="仿宋" w:eastAsia="仿宋" w:cs="仿宋"/>
          <w:strike/>
          <w:color w:val="auto"/>
          <w:sz w:val="24"/>
          <w:highlight w:val="none"/>
        </w:rPr>
      </w:pPr>
      <w:r>
        <w:rPr>
          <w:rFonts w:hint="eastAsia" w:ascii="仿宋" w:hAnsi="仿宋" w:eastAsia="仿宋" w:cs="仿宋"/>
          <w:strike/>
          <w:color w:val="auto"/>
          <w:sz w:val="24"/>
          <w:highlight w:val="none"/>
        </w:rPr>
        <w:t>5.2如</w:t>
      </w:r>
      <w:r>
        <w:rPr>
          <w:rFonts w:hint="eastAsia" w:ascii="仿宋" w:hAnsi="仿宋" w:eastAsia="仿宋" w:cs="仿宋"/>
          <w:strike/>
          <w:color w:val="auto"/>
          <w:sz w:val="24"/>
          <w:highlight w:val="none"/>
          <w:lang w:eastAsia="zh-CN"/>
        </w:rPr>
        <w:t>中标供应商</w:t>
      </w:r>
      <w:r>
        <w:rPr>
          <w:rFonts w:hint="eastAsia" w:ascii="仿宋" w:hAnsi="仿宋" w:eastAsia="仿宋" w:cs="仿宋"/>
          <w:strike/>
          <w:color w:val="auto"/>
          <w:sz w:val="24"/>
          <w:highlight w:val="none"/>
        </w:rPr>
        <w:t>为联合体的，由联合体成员各方法定代表人或其授权代表与采购人代表签订采购合同。</w:t>
      </w:r>
    </w:p>
    <w:p w14:paraId="4444B7EC">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27301A4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6.1采购人组织对供应商履约的验收。如果发现与合同中要求不符，供应商须承担由此发生的一切损失和费用，并承担相应的法律责任。</w:t>
      </w:r>
    </w:p>
    <w:p w14:paraId="7AFEFC8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6.2采购人可以邀请参加本项目的其他供应商或者第三方机构参与验收。参与验收的供应商或者第三方机构的意见作为验收书的参考资料一并存档。</w:t>
      </w:r>
    </w:p>
    <w:p w14:paraId="631A3456">
      <w:pPr>
        <w:snapToGrid w:val="0"/>
        <w:spacing w:line="440" w:lineRule="exact"/>
        <w:ind w:firstLine="480" w:firstLineChars="200"/>
        <w:rPr>
          <w:rFonts w:hint="eastAsia" w:ascii="仿宋" w:hAnsi="仿宋" w:eastAsia="仿宋" w:cs="仿宋"/>
          <w:color w:val="auto"/>
          <w:sz w:val="24"/>
          <w:highlight w:val="none"/>
        </w:rPr>
      </w:pPr>
    </w:p>
    <w:p w14:paraId="1236ED84">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color w:val="auto"/>
          <w:sz w:val="32"/>
          <w:szCs w:val="20"/>
          <w:highlight w:val="none"/>
        </w:rPr>
        <w:t>质疑与投诉</w:t>
      </w:r>
    </w:p>
    <w:p w14:paraId="7C48354B">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1.</w:t>
      </w:r>
      <w:r>
        <w:rPr>
          <w:rFonts w:hint="eastAsia" w:ascii="仿宋" w:hAnsi="仿宋" w:eastAsia="仿宋" w:cs="仿宋"/>
          <w:b/>
          <w:bCs/>
          <w:color w:val="auto"/>
          <w:sz w:val="24"/>
          <w:highlight w:val="none"/>
        </w:rPr>
        <w:t>供应商质疑</w:t>
      </w:r>
    </w:p>
    <w:p w14:paraId="5B1DF706">
      <w:pPr>
        <w:spacing w:line="440" w:lineRule="exact"/>
        <w:ind w:firstLine="482" w:firstLineChars="200"/>
        <w:rPr>
          <w:rFonts w:hint="eastAsia" w:ascii="仿宋" w:hAnsi="仿宋" w:eastAsia="仿宋" w:cs="仿宋"/>
          <w:b/>
          <w:bCs/>
          <w:color w:val="auto"/>
          <w:sz w:val="24"/>
          <w:szCs w:val="20"/>
          <w:highlight w:val="none"/>
        </w:rPr>
      </w:pPr>
      <w:r>
        <w:rPr>
          <w:rFonts w:hint="eastAsia" w:ascii="仿宋" w:hAnsi="仿宋" w:eastAsia="仿宋" w:cs="仿宋"/>
          <w:b/>
          <w:bCs/>
          <w:color w:val="auto"/>
          <w:kern w:val="0"/>
          <w:sz w:val="24"/>
          <w:szCs w:val="20"/>
          <w:highlight w:val="none"/>
        </w:rPr>
        <w:t>1</w:t>
      </w:r>
      <w:r>
        <w:rPr>
          <w:rFonts w:hint="eastAsia" w:ascii="仿宋" w:hAnsi="仿宋" w:eastAsia="仿宋" w:cs="仿宋"/>
          <w:b/>
          <w:bCs/>
          <w:color w:val="auto"/>
          <w:sz w:val="24"/>
          <w:szCs w:val="20"/>
          <w:highlight w:val="none"/>
        </w:rPr>
        <w:t>.1质疑提出</w:t>
      </w:r>
    </w:p>
    <w:p w14:paraId="39687698">
      <w:pPr>
        <w:widowControl/>
        <w:adjustRightInd/>
        <w:spacing w:line="440" w:lineRule="exact"/>
        <w:ind w:firstLine="480" w:firstLineChars="20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1.1.1</w:t>
      </w:r>
      <w:r>
        <w:rPr>
          <w:rFonts w:hint="eastAsia" w:ascii="仿宋" w:hAnsi="仿宋" w:eastAsia="仿宋" w:cs="仿宋"/>
          <w:color w:val="auto"/>
          <w:kern w:val="0"/>
          <w:sz w:val="24"/>
          <w:highlight w:val="none"/>
          <w:lang w:bidi="ar"/>
        </w:rPr>
        <w:t>供应商认为</w:t>
      </w:r>
      <w:r>
        <w:rPr>
          <w:rFonts w:hint="eastAsia" w:ascii="仿宋" w:hAnsi="仿宋" w:eastAsia="仿宋" w:cs="仿宋"/>
          <w:color w:val="auto"/>
          <w:kern w:val="0"/>
          <w:sz w:val="24"/>
          <w:highlight w:val="none"/>
          <w:lang w:eastAsia="zh-CN" w:bidi="ar"/>
        </w:rPr>
        <w:t>招标文件</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采购</w:t>
      </w:r>
      <w:r>
        <w:rPr>
          <w:rFonts w:hint="eastAsia" w:ascii="仿宋" w:hAnsi="仿宋" w:eastAsia="仿宋" w:cs="仿宋"/>
          <w:color w:val="auto"/>
          <w:kern w:val="0"/>
          <w:sz w:val="24"/>
          <w:highlight w:val="none"/>
          <w:lang w:bidi="ar"/>
        </w:rPr>
        <w:t>过程和成交</w:t>
      </w:r>
      <w:r>
        <w:rPr>
          <w:rFonts w:hint="eastAsia" w:ascii="仿宋" w:hAnsi="仿宋" w:eastAsia="仿宋" w:cs="仿宋"/>
          <w:color w:val="auto"/>
          <w:spacing w:val="-1"/>
          <w:kern w:val="0"/>
          <w:sz w:val="24"/>
          <w:highlight w:val="none"/>
          <w:lang w:bidi="ar"/>
        </w:rPr>
        <w:t>结果使自己的合法权益受到损害的，应通过绍兴</w:t>
      </w:r>
      <w:r>
        <w:rPr>
          <w:rFonts w:hint="eastAsia" w:ascii="仿宋" w:hAnsi="仿宋" w:eastAsia="仿宋" w:cs="仿宋"/>
          <w:color w:val="auto"/>
          <w:spacing w:val="-2"/>
          <w:kern w:val="0"/>
          <w:sz w:val="24"/>
          <w:highlight w:val="none"/>
          <w:lang w:bidi="ar"/>
        </w:rPr>
        <w:t>市阳光采购服务平台交易系统以书面形式向采购人或者采购代理机构提出质疑，</w:t>
      </w:r>
      <w:r>
        <w:rPr>
          <w:rFonts w:hint="eastAsia" w:ascii="仿宋" w:hAnsi="仿宋" w:eastAsia="仿宋" w:cs="仿宋"/>
          <w:color w:val="auto"/>
          <w:sz w:val="24"/>
          <w:szCs w:val="20"/>
          <w:highlight w:val="none"/>
        </w:rPr>
        <w:t>质疑路径为：绍兴市阳光采购服务平台供应商登录-左侧菜单栏：异议（质疑）-选择对应异议（质疑）节点-新建质疑-在弹出窗口中选择对应项目，填写质疑内容并上传盖章附件。供应商未按要求进行质疑的，采购人或者采购代理机构不予受理。</w:t>
      </w:r>
    </w:p>
    <w:p w14:paraId="5D7F1B4D">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1.1.2提出质疑的供应商应当是参与所质疑项目采购活动的供应商。供应商已依法获取其可质疑</w:t>
      </w:r>
      <w:r>
        <w:rPr>
          <w:rFonts w:hint="eastAsia" w:ascii="仿宋" w:hAnsi="仿宋" w:eastAsia="仿宋" w:cs="仿宋"/>
          <w:color w:val="auto"/>
          <w:sz w:val="24"/>
          <w:szCs w:val="20"/>
          <w:highlight w:val="none"/>
          <w:lang w:eastAsia="zh-CN"/>
        </w:rPr>
        <w:t>招标文件</w:t>
      </w:r>
      <w:r>
        <w:rPr>
          <w:rFonts w:hint="eastAsia" w:ascii="仿宋" w:hAnsi="仿宋" w:eastAsia="仿宋" w:cs="仿宋"/>
          <w:color w:val="auto"/>
          <w:sz w:val="24"/>
          <w:szCs w:val="20"/>
          <w:highlight w:val="none"/>
        </w:rPr>
        <w:t>的，可以对该文件提出质疑。</w:t>
      </w:r>
    </w:p>
    <w:p w14:paraId="0239C4B5">
      <w:pPr>
        <w:spacing w:line="440" w:lineRule="exact"/>
        <w:ind w:firstLine="482" w:firstLineChars="200"/>
        <w:rPr>
          <w:rFonts w:hint="eastAsia" w:ascii="仿宋" w:hAnsi="仿宋" w:eastAsia="仿宋" w:cs="仿宋"/>
          <w:b/>
          <w:bCs/>
          <w:color w:val="auto"/>
          <w:sz w:val="24"/>
          <w:szCs w:val="20"/>
          <w:highlight w:val="none"/>
        </w:rPr>
      </w:pPr>
      <w:r>
        <w:rPr>
          <w:rFonts w:hint="eastAsia" w:ascii="仿宋" w:hAnsi="仿宋" w:eastAsia="仿宋" w:cs="仿宋"/>
          <w:b/>
          <w:bCs/>
          <w:color w:val="auto"/>
          <w:kern w:val="0"/>
          <w:sz w:val="24"/>
          <w:szCs w:val="20"/>
          <w:highlight w:val="none"/>
        </w:rPr>
        <w:t>1</w:t>
      </w:r>
      <w:r>
        <w:rPr>
          <w:rFonts w:hint="eastAsia" w:ascii="仿宋" w:hAnsi="仿宋" w:eastAsia="仿宋" w:cs="仿宋"/>
          <w:b/>
          <w:bCs/>
          <w:color w:val="auto"/>
          <w:sz w:val="24"/>
          <w:szCs w:val="20"/>
          <w:highlight w:val="none"/>
        </w:rPr>
        <w:t>.2质疑提出时效</w:t>
      </w:r>
    </w:p>
    <w:p w14:paraId="2EDF6FB1">
      <w:pPr>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1.2.1对</w:t>
      </w:r>
      <w:r>
        <w:rPr>
          <w:rFonts w:hint="eastAsia" w:ascii="仿宋" w:hAnsi="仿宋" w:eastAsia="仿宋" w:cs="仿宋"/>
          <w:color w:val="auto"/>
          <w:sz w:val="24"/>
          <w:szCs w:val="20"/>
          <w:highlight w:val="none"/>
          <w:lang w:eastAsia="zh-CN"/>
        </w:rPr>
        <w:t>招标文件</w:t>
      </w:r>
      <w:r>
        <w:rPr>
          <w:rFonts w:hint="eastAsia" w:ascii="仿宋" w:hAnsi="仿宋" w:eastAsia="仿宋" w:cs="仿宋"/>
          <w:color w:val="auto"/>
          <w:sz w:val="24"/>
          <w:szCs w:val="20"/>
          <w:highlight w:val="none"/>
        </w:rPr>
        <w:t>提出质疑的，应当在</w:t>
      </w:r>
      <w:r>
        <w:rPr>
          <w:rFonts w:hint="eastAsia" w:ascii="仿宋" w:hAnsi="仿宋" w:eastAsia="仿宋" w:cs="仿宋"/>
          <w:color w:val="auto"/>
          <w:sz w:val="24"/>
          <w:szCs w:val="20"/>
          <w:highlight w:val="none"/>
          <w:lang w:eastAsia="zh-CN"/>
        </w:rPr>
        <w:t>招标文件</w:t>
      </w:r>
      <w:r>
        <w:rPr>
          <w:rFonts w:hint="eastAsia" w:ascii="仿宋" w:hAnsi="仿宋" w:eastAsia="仿宋" w:cs="仿宋"/>
          <w:color w:val="auto"/>
          <w:sz w:val="24"/>
          <w:szCs w:val="20"/>
          <w:highlight w:val="none"/>
        </w:rPr>
        <w:t>获取截止时间（详见</w:t>
      </w:r>
      <w:r>
        <w:rPr>
          <w:rFonts w:hint="eastAsia" w:ascii="仿宋" w:hAnsi="仿宋" w:eastAsia="仿宋" w:cs="仿宋"/>
          <w:color w:val="auto"/>
          <w:sz w:val="24"/>
          <w:highlight w:val="none"/>
        </w:rPr>
        <w:t>本招标文件</w:t>
      </w:r>
      <w:r>
        <w:rPr>
          <w:rFonts w:hint="eastAsia" w:ascii="仿宋" w:hAnsi="仿宋" w:eastAsia="仿宋" w:cs="仿宋"/>
          <w:color w:val="auto"/>
          <w:sz w:val="24"/>
          <w:szCs w:val="20"/>
          <w:highlight w:val="none"/>
        </w:rPr>
        <w:t>“第一部分 招标公告”中“三、获取招标文件”内容）之前提出；</w:t>
      </w:r>
    </w:p>
    <w:p w14:paraId="6C76BAE3">
      <w:pPr>
        <w:spacing w:line="44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1.2.2对采购过程有质疑的，应当在采购结果公告前提出。其中，对开标有质疑的，应当在开标期间提出；</w:t>
      </w:r>
    </w:p>
    <w:p w14:paraId="340F2058">
      <w:pPr>
        <w:spacing w:line="44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1.2.3对采购结果有质疑的，应当在中标候选人公示期间提出；</w:t>
      </w:r>
    </w:p>
    <w:p w14:paraId="12AEC43D">
      <w:pPr>
        <w:widowControl/>
        <w:kinsoku w:val="0"/>
        <w:autoSpaceDE w:val="0"/>
        <w:autoSpaceDN w:val="0"/>
        <w:snapToGrid w:val="0"/>
        <w:spacing w:line="440" w:lineRule="exact"/>
        <w:ind w:firstLine="480" w:firstLineChars="200"/>
        <w:jc w:val="left"/>
        <w:textAlignment w:val="baseline"/>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1.2.4</w:t>
      </w:r>
      <w:r>
        <w:rPr>
          <w:rFonts w:hint="eastAsia" w:ascii="仿宋" w:hAnsi="仿宋" w:eastAsia="仿宋" w:cs="仿宋"/>
          <w:color w:val="auto"/>
          <w:spacing w:val="-1"/>
          <w:kern w:val="0"/>
          <w:sz w:val="24"/>
          <w:highlight w:val="none"/>
          <w:lang w:bidi="ar"/>
        </w:rPr>
        <w:t>同一采购程序环节的质疑，供应商须一次性提出。</w:t>
      </w:r>
    </w:p>
    <w:p w14:paraId="283F2971">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rPr>
        <w:t>1</w:t>
      </w:r>
      <w:r>
        <w:rPr>
          <w:rFonts w:hint="eastAsia" w:ascii="仿宋" w:hAnsi="仿宋" w:eastAsia="仿宋" w:cs="仿宋"/>
          <w:b/>
          <w:bCs/>
          <w:color w:val="auto"/>
          <w:kern w:val="0"/>
          <w:sz w:val="24"/>
          <w:szCs w:val="20"/>
          <w:highlight w:val="none"/>
          <w:lang w:val="zh-CN"/>
        </w:rPr>
        <w:t>.</w:t>
      </w:r>
      <w:r>
        <w:rPr>
          <w:rFonts w:hint="eastAsia" w:ascii="仿宋" w:hAnsi="仿宋" w:eastAsia="仿宋" w:cs="仿宋"/>
          <w:b/>
          <w:bCs/>
          <w:color w:val="auto"/>
          <w:kern w:val="0"/>
          <w:sz w:val="24"/>
          <w:szCs w:val="20"/>
          <w:highlight w:val="none"/>
        </w:rPr>
        <w:t>3</w:t>
      </w:r>
      <w:r>
        <w:rPr>
          <w:rFonts w:hint="eastAsia" w:ascii="仿宋" w:hAnsi="仿宋" w:eastAsia="仿宋" w:cs="仿宋"/>
          <w:b/>
          <w:bCs/>
          <w:color w:val="auto"/>
          <w:kern w:val="0"/>
          <w:sz w:val="24"/>
          <w:szCs w:val="20"/>
          <w:highlight w:val="none"/>
          <w:lang w:val="zh-CN"/>
        </w:rPr>
        <w:t>质疑函</w:t>
      </w:r>
    </w:p>
    <w:p w14:paraId="6743269F">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1.3.1供应商提出质疑应当提交质疑函和必要的证明材料。质疑函应当包括下列内容：</w:t>
      </w:r>
    </w:p>
    <w:p w14:paraId="0B8FFF55">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供应商的姓名或者名称、地址、邮编、联系人及联系电话；</w:t>
      </w:r>
    </w:p>
    <w:p w14:paraId="2B23DC7C">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具体、明确的质疑事项和与质疑事项相关的请求；</w:t>
      </w:r>
    </w:p>
    <w:p w14:paraId="106F8C22">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事实依据；</w:t>
      </w:r>
    </w:p>
    <w:p w14:paraId="4B4AF606">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必要的法律依据；</w:t>
      </w:r>
    </w:p>
    <w:p w14:paraId="6EED03EC">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提出质疑的日期。</w:t>
      </w:r>
    </w:p>
    <w:p w14:paraId="2CFAF499">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供应商为自然人的，质疑函应当由本人签字；供应商为法人或者其他组织的，质疑函应当由法定代表人、主要负责人，或者其授权代表签字或者盖章，并加盖公章。</w:t>
      </w:r>
    </w:p>
    <w:p w14:paraId="55227ADF">
      <w:pPr>
        <w:spacing w:line="440" w:lineRule="exact"/>
        <w:ind w:firstLine="482" w:firstLineChars="200"/>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质疑函范本及制作说明详见附件1。</w:t>
      </w:r>
    </w:p>
    <w:p w14:paraId="36E72AC1">
      <w:pPr>
        <w:spacing w:line="440" w:lineRule="exact"/>
        <w:ind w:firstLine="482" w:firstLineChars="200"/>
        <w:rPr>
          <w:rFonts w:hint="eastAsia" w:ascii="仿宋" w:hAnsi="仿宋" w:eastAsia="仿宋" w:cs="仿宋"/>
          <w:b/>
          <w:bCs/>
          <w:color w:val="auto"/>
          <w:sz w:val="24"/>
          <w:szCs w:val="20"/>
          <w:highlight w:val="none"/>
        </w:rPr>
      </w:pPr>
      <w:r>
        <w:rPr>
          <w:rFonts w:hint="eastAsia" w:ascii="仿宋" w:hAnsi="仿宋" w:eastAsia="仿宋" w:cs="仿宋"/>
          <w:b/>
          <w:bCs/>
          <w:color w:val="auto"/>
          <w:kern w:val="0"/>
          <w:sz w:val="24"/>
          <w:szCs w:val="20"/>
          <w:highlight w:val="none"/>
        </w:rPr>
        <w:t>1</w:t>
      </w:r>
      <w:r>
        <w:rPr>
          <w:rFonts w:hint="eastAsia" w:ascii="仿宋" w:hAnsi="仿宋" w:eastAsia="仿宋" w:cs="仿宋"/>
          <w:b/>
          <w:bCs/>
          <w:color w:val="auto"/>
          <w:sz w:val="24"/>
          <w:szCs w:val="20"/>
          <w:highlight w:val="none"/>
        </w:rPr>
        <w:t>.4质疑答复</w:t>
      </w:r>
    </w:p>
    <w:p w14:paraId="0B73E651">
      <w:pPr>
        <w:spacing w:line="44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1.4.1采购人或采购代理机构应当在收到质疑函后3日内作出答复。</w:t>
      </w:r>
    </w:p>
    <w:p w14:paraId="0E8AA837">
      <w:pPr>
        <w:spacing w:line="44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1.4.2采购人委托采购代理机构采购的，采购代理机构在委托授权范围内作出答复。供应商提出的质疑超出采购人对采购代理机构委托授权范围的，采购代理机构应当告知供应商向采购人提出。</w:t>
      </w:r>
    </w:p>
    <w:p w14:paraId="4DBE986D">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2.供应商投诉</w:t>
      </w:r>
    </w:p>
    <w:p w14:paraId="52CF74F2">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2.1质疑供应商对采购人或采购代理机构的答复不满意或者采购人、采购代理机构未在规定的时间内作出答复的，可以在答复期满后</w:t>
      </w:r>
      <w:r>
        <w:rPr>
          <w:rFonts w:hint="eastAsia" w:ascii="仿宋" w:hAnsi="仿宋" w:eastAsia="仿宋" w:cs="仿宋"/>
          <w:color w:val="auto"/>
          <w:sz w:val="24"/>
          <w:szCs w:val="20"/>
          <w:highlight w:val="none"/>
          <w:u w:val="single"/>
        </w:rPr>
        <w:t xml:space="preserve"> 15 </w:t>
      </w:r>
      <w:r>
        <w:rPr>
          <w:rFonts w:hint="eastAsia" w:ascii="仿宋" w:hAnsi="仿宋" w:eastAsia="仿宋" w:cs="仿宋"/>
          <w:color w:val="auto"/>
          <w:sz w:val="24"/>
          <w:szCs w:val="20"/>
          <w:highlight w:val="none"/>
        </w:rPr>
        <w:t>个工作日内向监督单位提出投诉。</w:t>
      </w:r>
    </w:p>
    <w:p w14:paraId="381F2F63">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2.2供应商投诉的事项不得超出已质疑事项的范围，基于质疑答复内容提出的投诉事项除外。</w:t>
      </w:r>
    </w:p>
    <w:p w14:paraId="4EA60920">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2.3供应商投诉应当有明确的请求和必要的证明材料。</w:t>
      </w:r>
    </w:p>
    <w:p w14:paraId="21052796">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2.4以联合体形式参加采购活动的，其投诉应当由组成联合体的所有供应商共同提出。</w:t>
      </w:r>
    </w:p>
    <w:p w14:paraId="2F57DBB2">
      <w:pPr>
        <w:spacing w:line="440" w:lineRule="exact"/>
        <w:ind w:firstLine="482" w:firstLineChars="200"/>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投诉书范本及制作说明详见附件2。</w:t>
      </w:r>
    </w:p>
    <w:p w14:paraId="167B8AC5">
      <w:pPr>
        <w:pStyle w:val="26"/>
        <w:rPr>
          <w:rFonts w:hint="eastAsia" w:ascii="仿宋" w:hAnsi="仿宋" w:eastAsia="仿宋" w:cs="仿宋"/>
          <w:color w:val="auto"/>
          <w:highlight w:val="none"/>
        </w:rPr>
      </w:pPr>
    </w:p>
    <w:p w14:paraId="1143274B">
      <w:pPr>
        <w:pStyle w:val="11"/>
        <w:spacing w:line="440" w:lineRule="exact"/>
        <w:ind w:firstLine="480" w:firstLineChars="200"/>
        <w:rPr>
          <w:rFonts w:hint="eastAsia" w:ascii="仿宋" w:hAnsi="仿宋" w:eastAsia="仿宋" w:cs="仿宋"/>
          <w:color w:val="auto"/>
          <w:kern w:val="0"/>
          <w:highlight w:val="none"/>
        </w:rPr>
        <w:sectPr>
          <w:footerReference r:id="rId11" w:type="first"/>
          <w:footerReference r:id="rId10" w:type="default"/>
          <w:pgSz w:w="11906" w:h="16838"/>
          <w:pgMar w:top="1814" w:right="1474" w:bottom="1814" w:left="1474" w:header="1474" w:footer="992" w:gutter="0"/>
          <w:cols w:space="720" w:num="1"/>
          <w:docGrid w:linePitch="312" w:charSpace="0"/>
        </w:sectPr>
      </w:pPr>
    </w:p>
    <w:bookmarkEnd w:id="34"/>
    <w:bookmarkEnd w:id="35"/>
    <w:p w14:paraId="77FA0256">
      <w:pPr>
        <w:spacing w:line="360" w:lineRule="auto"/>
        <w:jc w:val="center"/>
        <w:outlineLvl w:val="0"/>
        <w:rPr>
          <w:rFonts w:hint="eastAsia" w:ascii="仿宋" w:hAnsi="仿宋" w:eastAsia="仿宋" w:cs="仿宋"/>
          <w:b/>
          <w:color w:val="auto"/>
          <w:sz w:val="36"/>
          <w:szCs w:val="36"/>
          <w:highlight w:val="none"/>
        </w:rPr>
      </w:pPr>
      <w:bookmarkStart w:id="41" w:name="第五部分"/>
      <w:bookmarkStart w:id="42" w:name="_Toc86217003"/>
      <w:r>
        <w:rPr>
          <w:rFonts w:hint="eastAsia" w:ascii="仿宋" w:hAnsi="仿宋" w:eastAsia="仿宋" w:cs="仿宋"/>
          <w:b/>
          <w:color w:val="auto"/>
          <w:sz w:val="36"/>
          <w:szCs w:val="36"/>
          <w:highlight w:val="none"/>
        </w:rPr>
        <w:t>第三部分   招标项目范围及要求</w:t>
      </w:r>
    </w:p>
    <w:p w14:paraId="2489682C">
      <w:pPr>
        <w:spacing w:line="400" w:lineRule="exact"/>
        <w:ind w:firstLine="482" w:firstLineChars="200"/>
        <w:contextualSpacing/>
        <w:rPr>
          <w:rFonts w:hint="eastAsia" w:ascii="仿宋" w:hAnsi="仿宋" w:eastAsia="仿宋" w:cs="仿宋"/>
          <w:color w:val="auto"/>
          <w:sz w:val="24"/>
          <w:highlight w:val="none"/>
        </w:rPr>
      </w:pPr>
      <w:bookmarkStart w:id="43" w:name="_Toc151354173"/>
      <w:r>
        <w:rPr>
          <w:rFonts w:hint="eastAsia" w:ascii="仿宋" w:hAnsi="仿宋" w:eastAsia="仿宋" w:cs="仿宋"/>
          <w:b/>
          <w:color w:val="auto"/>
          <w:sz w:val="24"/>
          <w:highlight w:val="none"/>
        </w:rPr>
        <w:t>一、工程名称 ：</w:t>
      </w:r>
      <w:r>
        <w:rPr>
          <w:rFonts w:hint="eastAsia" w:ascii="仿宋" w:hAnsi="仿宋" w:eastAsia="仿宋" w:cs="仿宋"/>
          <w:b/>
          <w:color w:val="auto"/>
          <w:sz w:val="24"/>
          <w:highlight w:val="none"/>
          <w:lang w:eastAsia="zh-CN"/>
        </w:rPr>
        <w:t>绍兴市公共交通集团有限公司2025年度场站维管项目</w:t>
      </w:r>
      <w:r>
        <w:rPr>
          <w:rFonts w:hint="eastAsia" w:ascii="仿宋" w:hAnsi="仿宋" w:eastAsia="仿宋" w:cs="仿宋"/>
          <w:color w:val="auto"/>
          <w:sz w:val="24"/>
          <w:highlight w:val="none"/>
        </w:rPr>
        <w:t xml:space="preserve"> </w:t>
      </w:r>
    </w:p>
    <w:p w14:paraId="5A47FAE2">
      <w:p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（一）业务范围</w:t>
      </w:r>
    </w:p>
    <w:p w14:paraId="146881BB">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s="仿宋"/>
          <w:b w:val="0"/>
          <w:bCs/>
          <w:color w:val="auto"/>
          <w:sz w:val="24"/>
          <w:highlight w:val="none"/>
          <w:lang w:val="en-US" w:eastAsia="zh-CN"/>
        </w:rPr>
        <w:t>本项目</w:t>
      </w:r>
      <w:r>
        <w:rPr>
          <w:rFonts w:hint="eastAsia" w:ascii="仿宋" w:hAnsi="仿宋" w:eastAsia="仿宋"/>
          <w:b w:val="0"/>
          <w:bCs/>
          <w:color w:val="auto"/>
          <w:sz w:val="24"/>
          <w:highlight w:val="none"/>
          <w:lang w:eastAsia="zh-CN"/>
        </w:rPr>
        <w:t>为绍兴市公共交通集团有限公司第一、第二、第三有限公司提供场站维管，候车亭维管，站架、站杆、站牌制作和维护，零星维管项目（零星维修）等内容</w:t>
      </w:r>
      <w:r>
        <w:rPr>
          <w:rFonts w:hint="eastAsia" w:ascii="仿宋" w:hAnsi="仿宋" w:eastAsia="仿宋"/>
          <w:b w:val="0"/>
          <w:bCs/>
          <w:color w:val="auto"/>
          <w:sz w:val="24"/>
          <w:highlight w:val="none"/>
        </w:rPr>
        <w:t>。项目额度</w:t>
      </w:r>
      <w:r>
        <w:rPr>
          <w:rFonts w:hint="eastAsia" w:ascii="仿宋" w:hAnsi="仿宋" w:eastAsia="仿宋"/>
          <w:b w:val="0"/>
          <w:bCs/>
          <w:color w:val="auto"/>
          <w:sz w:val="24"/>
          <w:highlight w:val="none"/>
          <w:lang w:val="en-US" w:eastAsia="zh-CN"/>
        </w:rPr>
        <w:t>13800000</w:t>
      </w:r>
      <w:r>
        <w:rPr>
          <w:rFonts w:hint="eastAsia" w:ascii="仿宋" w:hAnsi="仿宋" w:eastAsia="仿宋"/>
          <w:b w:val="0"/>
          <w:bCs/>
          <w:color w:val="auto"/>
          <w:sz w:val="24"/>
          <w:highlight w:val="none"/>
        </w:rPr>
        <w:t>元（以实际发生为准）</w:t>
      </w:r>
      <w:r>
        <w:rPr>
          <w:rFonts w:hint="eastAsia" w:ascii="仿宋" w:hAnsi="仿宋" w:eastAsia="仿宋"/>
          <w:b w:val="0"/>
          <w:bCs/>
          <w:color w:val="auto"/>
          <w:sz w:val="24"/>
          <w:highlight w:val="none"/>
          <w:lang w:eastAsia="zh-CN"/>
        </w:rPr>
        <w:t>，</w:t>
      </w:r>
      <w:r>
        <w:rPr>
          <w:rFonts w:hint="eastAsia" w:ascii="仿宋" w:hAnsi="仿宋" w:eastAsia="仿宋"/>
          <w:b w:val="0"/>
          <w:bCs/>
          <w:color w:val="auto"/>
          <w:sz w:val="24"/>
          <w:highlight w:val="none"/>
        </w:rPr>
        <w:t>具体招标内容由</w:t>
      </w:r>
      <w:r>
        <w:rPr>
          <w:rFonts w:hint="eastAsia" w:ascii="仿宋" w:hAnsi="仿宋" w:eastAsia="仿宋"/>
          <w:b w:val="0"/>
          <w:bCs/>
          <w:color w:val="auto"/>
          <w:sz w:val="24"/>
          <w:highlight w:val="none"/>
          <w:lang w:val="en-US" w:eastAsia="zh-CN"/>
        </w:rPr>
        <w:t>采购</w:t>
      </w:r>
      <w:r>
        <w:rPr>
          <w:rFonts w:hint="eastAsia" w:ascii="仿宋" w:hAnsi="仿宋" w:eastAsia="仿宋"/>
          <w:b w:val="0"/>
          <w:bCs/>
          <w:color w:val="auto"/>
          <w:sz w:val="24"/>
          <w:highlight w:val="none"/>
        </w:rPr>
        <w:t>人按一项目</w:t>
      </w:r>
      <w:r>
        <w:rPr>
          <w:rFonts w:hint="eastAsia" w:ascii="仿宋" w:hAnsi="仿宋" w:eastAsia="仿宋"/>
          <w:b w:val="0"/>
          <w:bCs/>
          <w:color w:val="auto"/>
          <w:sz w:val="24"/>
          <w:highlight w:val="none"/>
          <w:lang w:val="en-US" w:eastAsia="zh-CN"/>
        </w:rPr>
        <w:t>一标底进行施工</w:t>
      </w:r>
      <w:r>
        <w:rPr>
          <w:rFonts w:hint="eastAsia" w:ascii="仿宋" w:hAnsi="仿宋" w:eastAsia="仿宋"/>
          <w:b w:val="0"/>
          <w:bCs/>
          <w:color w:val="auto"/>
          <w:sz w:val="24"/>
          <w:highlight w:val="none"/>
        </w:rPr>
        <w:t>。</w:t>
      </w:r>
    </w:p>
    <w:p w14:paraId="00CBD789">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2、单个项目额度：单项工程估算价格（工程预算）在</w:t>
      </w:r>
      <w:r>
        <w:rPr>
          <w:rFonts w:hint="eastAsia" w:ascii="仿宋" w:hAnsi="仿宋" w:eastAsia="仿宋"/>
          <w:color w:val="auto"/>
          <w:sz w:val="24"/>
          <w:highlight w:val="none"/>
          <w:lang w:val="en-US" w:eastAsia="zh-CN"/>
        </w:rPr>
        <w:t>400</w:t>
      </w:r>
      <w:r>
        <w:rPr>
          <w:rFonts w:hint="eastAsia" w:ascii="仿宋" w:hAnsi="仿宋" w:eastAsia="仿宋"/>
          <w:color w:val="auto"/>
          <w:sz w:val="24"/>
          <w:highlight w:val="none"/>
        </w:rPr>
        <w:t>万元以下（不含</w:t>
      </w:r>
      <w:r>
        <w:rPr>
          <w:rFonts w:hint="eastAsia" w:ascii="仿宋" w:hAnsi="仿宋" w:eastAsia="仿宋"/>
          <w:color w:val="auto"/>
          <w:sz w:val="24"/>
          <w:highlight w:val="none"/>
          <w:lang w:val="en-US" w:eastAsia="zh-CN"/>
        </w:rPr>
        <w:t>400</w:t>
      </w:r>
      <w:r>
        <w:rPr>
          <w:rFonts w:hint="eastAsia" w:ascii="仿宋" w:hAnsi="仿宋" w:eastAsia="仿宋"/>
          <w:color w:val="auto"/>
          <w:sz w:val="24"/>
          <w:highlight w:val="none"/>
        </w:rPr>
        <w:t>万元）；</w:t>
      </w:r>
    </w:p>
    <w:p w14:paraId="1C74A084">
      <w:pPr>
        <w:spacing w:line="400" w:lineRule="exact"/>
        <w:ind w:firstLine="480" w:firstLineChars="200"/>
        <w:contextualSpacing/>
        <w:rPr>
          <w:rFonts w:hint="eastAsia" w:ascii="仿宋" w:hAnsi="仿宋" w:eastAsia="仿宋" w:cs="仿宋"/>
          <w:color w:val="auto"/>
          <w:sz w:val="24"/>
          <w:highlight w:val="none"/>
        </w:rPr>
      </w:pPr>
      <w:r>
        <w:rPr>
          <w:rFonts w:hint="eastAsia" w:ascii="仿宋" w:hAnsi="仿宋" w:eastAsia="仿宋"/>
          <w:color w:val="auto"/>
          <w:sz w:val="24"/>
          <w:highlight w:val="none"/>
        </w:rPr>
        <w:t>3、</w:t>
      </w:r>
      <w:r>
        <w:rPr>
          <w:rFonts w:hint="eastAsia" w:ascii="仿宋" w:hAnsi="仿宋" w:eastAsia="仿宋"/>
          <w:b w:val="0"/>
          <w:bCs w:val="0"/>
          <w:color w:val="auto"/>
          <w:sz w:val="24"/>
          <w:highlight w:val="none"/>
        </w:rPr>
        <w:t>维</w:t>
      </w:r>
      <w:r>
        <w:rPr>
          <w:rFonts w:hint="eastAsia" w:ascii="仿宋" w:hAnsi="仿宋" w:eastAsia="仿宋"/>
          <w:b w:val="0"/>
          <w:bCs w:val="0"/>
          <w:color w:val="auto"/>
          <w:sz w:val="24"/>
          <w:highlight w:val="none"/>
          <w:lang w:val="en-US" w:eastAsia="zh-CN"/>
        </w:rPr>
        <w:t>管</w:t>
      </w:r>
      <w:r>
        <w:rPr>
          <w:rFonts w:hint="eastAsia" w:ascii="仿宋" w:hAnsi="仿宋" w:eastAsia="仿宋"/>
          <w:b w:val="0"/>
          <w:bCs w:val="0"/>
          <w:color w:val="auto"/>
          <w:sz w:val="24"/>
          <w:highlight w:val="none"/>
        </w:rPr>
        <w:t>范围：</w:t>
      </w:r>
      <w:r>
        <w:rPr>
          <w:rFonts w:hint="eastAsia" w:ascii="仿宋" w:hAnsi="仿宋" w:eastAsia="仿宋"/>
          <w:b w:val="0"/>
          <w:bCs w:val="0"/>
          <w:color w:val="auto"/>
          <w:sz w:val="24"/>
          <w:highlight w:val="none"/>
          <w:lang w:eastAsia="zh-CN"/>
        </w:rPr>
        <w:t>为绍兴市公共交通集团有限公司第一、第二、第三有限公司提供场站维管，候车亭维管，站架、站杆、站牌制作和维护，零星维管项目（零星维修）等内容</w:t>
      </w:r>
      <w:r>
        <w:rPr>
          <w:rFonts w:hint="eastAsia" w:ascii="仿宋" w:hAnsi="仿宋" w:eastAsia="仿宋"/>
          <w:b w:val="0"/>
          <w:bCs w:val="0"/>
          <w:color w:val="auto"/>
          <w:sz w:val="24"/>
          <w:highlight w:val="none"/>
        </w:rPr>
        <w:t>（具体由</w:t>
      </w:r>
      <w:r>
        <w:rPr>
          <w:rFonts w:hint="eastAsia" w:ascii="仿宋" w:hAnsi="仿宋" w:eastAsia="仿宋"/>
          <w:b w:val="0"/>
          <w:bCs w:val="0"/>
          <w:color w:val="auto"/>
          <w:sz w:val="24"/>
          <w:highlight w:val="none"/>
          <w:lang w:val="en-US" w:eastAsia="zh-CN"/>
        </w:rPr>
        <w:t>采购人</w:t>
      </w:r>
      <w:r>
        <w:rPr>
          <w:rFonts w:hint="eastAsia" w:ascii="仿宋" w:hAnsi="仿宋" w:eastAsia="仿宋"/>
          <w:b w:val="0"/>
          <w:bCs w:val="0"/>
          <w:color w:val="auto"/>
          <w:sz w:val="24"/>
          <w:highlight w:val="none"/>
        </w:rPr>
        <w:t>指派）；</w:t>
      </w:r>
    </w:p>
    <w:bookmarkEnd w:id="43"/>
    <w:p w14:paraId="507B14F9">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 xml:space="preserve">（二）施工要求和验收 </w:t>
      </w:r>
    </w:p>
    <w:p w14:paraId="75E0D8D1">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除非采购人另有要求，</w:t>
      </w:r>
      <w:r>
        <w:rPr>
          <w:rFonts w:hint="eastAsia" w:ascii="仿宋" w:hAnsi="仿宋" w:eastAsia="仿宋"/>
          <w:color w:val="auto"/>
          <w:sz w:val="24"/>
          <w:highlight w:val="none"/>
          <w:lang w:val="en-US" w:eastAsia="zh-CN"/>
        </w:rPr>
        <w:t>中标</w:t>
      </w:r>
      <w:r>
        <w:rPr>
          <w:rFonts w:hint="eastAsia" w:ascii="仿宋" w:hAnsi="仿宋" w:eastAsia="仿宋"/>
          <w:color w:val="auto"/>
          <w:sz w:val="24"/>
          <w:highlight w:val="none"/>
        </w:rPr>
        <w:t>供应商必须按采购人提供的施工图和有关国家规范和标准施工，未提到的其他规范和标准，只要与本工程有关，</w:t>
      </w:r>
      <w:r>
        <w:rPr>
          <w:rFonts w:hint="eastAsia" w:ascii="仿宋" w:hAnsi="仿宋" w:eastAsia="仿宋"/>
          <w:color w:val="auto"/>
          <w:sz w:val="24"/>
          <w:highlight w:val="none"/>
          <w:lang w:val="en-US" w:eastAsia="zh-CN"/>
        </w:rPr>
        <w:t>中标</w:t>
      </w:r>
      <w:r>
        <w:rPr>
          <w:rFonts w:hint="eastAsia" w:ascii="仿宋" w:hAnsi="仿宋" w:eastAsia="仿宋"/>
          <w:color w:val="auto"/>
          <w:sz w:val="24"/>
          <w:highlight w:val="none"/>
        </w:rPr>
        <w:t>供应商都必须遵照执行。</w:t>
      </w:r>
    </w:p>
    <w:p w14:paraId="5CD27227">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（三）服务期：</w:t>
      </w:r>
      <w:r>
        <w:rPr>
          <w:rFonts w:hint="eastAsia" w:ascii="仿宋" w:hAnsi="仿宋" w:eastAsia="仿宋"/>
          <w:color w:val="auto"/>
          <w:sz w:val="24"/>
          <w:highlight w:val="none"/>
          <w:lang w:val="en-US" w:eastAsia="zh-CN"/>
        </w:rPr>
        <w:t>合同签订之日起至</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年12月31日（具体以合同签订为准）。</w:t>
      </w:r>
    </w:p>
    <w:p w14:paraId="6AA5BEC0">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（四）质量要求：合格。</w:t>
      </w:r>
    </w:p>
    <w:p w14:paraId="673ABB0F">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（五）竣工结算审计</w:t>
      </w:r>
    </w:p>
    <w:p w14:paraId="0AEBD8AA">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以每个单项改造工程项目验收合格后，</w:t>
      </w:r>
      <w:r>
        <w:rPr>
          <w:rFonts w:hint="eastAsia" w:ascii="仿宋" w:hAnsi="仿宋" w:eastAsia="仿宋"/>
          <w:color w:val="auto"/>
          <w:sz w:val="24"/>
          <w:highlight w:val="none"/>
          <w:lang w:val="en-US" w:eastAsia="zh-CN"/>
        </w:rPr>
        <w:t>中标</w:t>
      </w:r>
      <w:r>
        <w:rPr>
          <w:rFonts w:hint="eastAsia" w:ascii="仿宋" w:hAnsi="仿宋" w:eastAsia="仿宋"/>
          <w:color w:val="auto"/>
          <w:sz w:val="24"/>
          <w:highlight w:val="none"/>
        </w:rPr>
        <w:t>供应商应</w:t>
      </w:r>
      <w:r>
        <w:rPr>
          <w:rFonts w:hint="eastAsia" w:ascii="仿宋" w:hAnsi="仿宋" w:eastAsia="仿宋"/>
          <w:color w:val="auto"/>
          <w:sz w:val="24"/>
          <w:highlight w:val="none"/>
          <w:lang w:val="en-US" w:eastAsia="zh-CN"/>
        </w:rPr>
        <w:t>按季度</w:t>
      </w:r>
      <w:r>
        <w:rPr>
          <w:rFonts w:hint="eastAsia" w:ascii="仿宋" w:hAnsi="仿宋" w:eastAsia="仿宋"/>
          <w:color w:val="auto"/>
          <w:sz w:val="24"/>
          <w:highlight w:val="none"/>
        </w:rPr>
        <w:t>提供工程</w:t>
      </w:r>
      <w:r>
        <w:rPr>
          <w:rFonts w:hint="eastAsia" w:ascii="仿宋" w:hAnsi="仿宋" w:eastAsia="仿宋"/>
          <w:color w:val="auto"/>
          <w:sz w:val="24"/>
          <w:highlight w:val="none"/>
          <w:lang w:val="en-US" w:eastAsia="zh-CN"/>
        </w:rPr>
        <w:t>结</w:t>
      </w:r>
      <w:r>
        <w:rPr>
          <w:rFonts w:hint="eastAsia" w:ascii="仿宋" w:hAnsi="仿宋" w:eastAsia="仿宋"/>
          <w:color w:val="auto"/>
          <w:sz w:val="24"/>
          <w:highlight w:val="none"/>
        </w:rPr>
        <w:t>算书。采购人在同等时间内提出审核意见并报审计部门进行审计。</w:t>
      </w:r>
    </w:p>
    <w:p w14:paraId="1049D0BA">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lang w:val="en-US" w:eastAsia="zh-CN"/>
        </w:rPr>
        <w:t>中标</w:t>
      </w:r>
      <w:r>
        <w:rPr>
          <w:rFonts w:hint="eastAsia" w:ascii="仿宋" w:hAnsi="仿宋" w:eastAsia="仿宋"/>
          <w:color w:val="auto"/>
          <w:sz w:val="24"/>
          <w:highlight w:val="none"/>
        </w:rPr>
        <w:t>供应商未按合同规定办理竣工结算时，应承担的责任：采购人将不予退还履约保证金。</w:t>
      </w:r>
    </w:p>
    <w:p w14:paraId="76ED8FC3">
      <w:pPr>
        <w:numPr>
          <w:ilvl w:val="0"/>
          <w:numId w:val="3"/>
        </w:num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结算编制依据及结算口径</w:t>
      </w:r>
    </w:p>
    <w:p w14:paraId="0B201893">
      <w:pPr>
        <w:numPr>
          <w:ilvl w:val="0"/>
          <w:numId w:val="0"/>
        </w:numPr>
        <w:spacing w:line="400" w:lineRule="exact"/>
        <w:ind w:firstLine="480" w:firstLineChars="200"/>
        <w:contextualSpacing/>
        <w:rPr>
          <w:rFonts w:hint="eastAsia" w:ascii="仿宋" w:hAnsi="仿宋" w:eastAsia="仿宋"/>
          <w:strike/>
          <w:color w:val="auto"/>
          <w:sz w:val="24"/>
          <w:highlight w:val="none"/>
        </w:rPr>
      </w:pPr>
      <w:r>
        <w:rPr>
          <w:rFonts w:hint="eastAsia" w:ascii="仿宋" w:hAnsi="仿宋" w:eastAsia="仿宋"/>
          <w:strike w:val="0"/>
          <w:dstrike w:val="0"/>
          <w:color w:val="auto"/>
          <w:sz w:val="24"/>
          <w:highlight w:val="none"/>
          <w:lang w:val="en-US" w:eastAsia="zh-CN"/>
        </w:rPr>
        <w:t>1、</w:t>
      </w:r>
      <w:r>
        <w:rPr>
          <w:rFonts w:hint="eastAsia" w:ascii="仿宋" w:hAnsi="仿宋" w:eastAsia="仿宋"/>
          <w:strike w:val="0"/>
          <w:dstrike w:val="0"/>
          <w:color w:val="auto"/>
          <w:sz w:val="24"/>
          <w:highlight w:val="none"/>
        </w:rPr>
        <w:t>编制依据</w:t>
      </w:r>
      <w:r>
        <w:rPr>
          <w:rFonts w:hint="eastAsia" w:ascii="仿宋" w:hAnsi="仿宋" w:eastAsia="仿宋"/>
          <w:strike w:val="0"/>
          <w:dstrike w:val="0"/>
          <w:color w:val="auto"/>
          <w:sz w:val="24"/>
          <w:highlight w:val="none"/>
          <w:lang w:eastAsia="zh-CN"/>
        </w:rPr>
        <w:t>（</w:t>
      </w:r>
      <w:r>
        <w:rPr>
          <w:rFonts w:hint="eastAsia" w:ascii="仿宋" w:hAnsi="仿宋" w:eastAsia="仿宋"/>
          <w:strike w:val="0"/>
          <w:dstrike w:val="0"/>
          <w:color w:val="auto"/>
          <w:sz w:val="24"/>
          <w:highlight w:val="none"/>
          <w:lang w:val="en-US" w:eastAsia="zh-CN"/>
        </w:rPr>
        <w:t>可套定额部分</w:t>
      </w:r>
      <w:r>
        <w:rPr>
          <w:rFonts w:hint="eastAsia" w:ascii="仿宋" w:hAnsi="仿宋" w:eastAsia="仿宋"/>
          <w:strike w:val="0"/>
          <w:dstrike w:val="0"/>
          <w:color w:val="auto"/>
          <w:sz w:val="24"/>
          <w:highlight w:val="none"/>
          <w:lang w:eastAsia="zh-CN"/>
        </w:rPr>
        <w:t>）</w:t>
      </w:r>
      <w:r>
        <w:rPr>
          <w:rFonts w:hint="eastAsia" w:ascii="仿宋" w:hAnsi="仿宋" w:eastAsia="仿宋"/>
          <w:strike w:val="0"/>
          <w:dstrike w:val="0"/>
          <w:color w:val="auto"/>
          <w:sz w:val="24"/>
          <w:highlight w:val="none"/>
        </w:rPr>
        <w:t>：</w:t>
      </w:r>
      <w:r>
        <w:rPr>
          <w:rFonts w:hint="eastAsia" w:ascii="仿宋" w:hAnsi="仿宋" w:eastAsia="仿宋"/>
          <w:color w:val="auto"/>
          <w:sz w:val="24"/>
          <w:highlight w:val="none"/>
        </w:rPr>
        <w:t>《浙江省建设工程计价规则》（2018版）、《浙江省房屋建筑与装饰工程预算定额》（2018版）、《浙江省通用</w:t>
      </w:r>
      <w:r>
        <w:rPr>
          <w:color w:val="auto"/>
          <w:highlight w:val="none"/>
        </w:rPr>
        <w:fldChar w:fldCharType="begin"/>
      </w:r>
      <w:r>
        <w:rPr>
          <w:color w:val="auto"/>
          <w:highlight w:val="none"/>
        </w:rPr>
        <w:instrText xml:space="preserve"> HYPERLINK "https://www.cbi360.net/hyjd/1zt87769.html" \t "https://gov.cbi360.net/a/20181127/_blank" </w:instrText>
      </w:r>
      <w:r>
        <w:rPr>
          <w:color w:val="auto"/>
          <w:highlight w:val="none"/>
        </w:rPr>
        <w:fldChar w:fldCharType="separate"/>
      </w:r>
      <w:r>
        <w:rPr>
          <w:rFonts w:hint="eastAsia" w:ascii="仿宋" w:hAnsi="仿宋" w:eastAsia="仿宋"/>
          <w:color w:val="auto"/>
          <w:sz w:val="24"/>
          <w:highlight w:val="none"/>
        </w:rPr>
        <w:t>安装工程</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预算定额》（2018版）、《浙江省市政工程预算定额》（2018版）、《浙江省建设</w:t>
      </w:r>
      <w:r>
        <w:rPr>
          <w:color w:val="auto"/>
          <w:highlight w:val="none"/>
        </w:rPr>
        <w:fldChar w:fldCharType="begin"/>
      </w:r>
      <w:r>
        <w:rPr>
          <w:color w:val="auto"/>
          <w:highlight w:val="none"/>
        </w:rPr>
        <w:instrText xml:space="preserve"> HYPERLINK "https://www.cbi360.net/hyjd/1zt1145.html" \t "https://gov.cbi360.net/a/20181127/_blank" </w:instrText>
      </w:r>
      <w:r>
        <w:rPr>
          <w:color w:val="auto"/>
          <w:highlight w:val="none"/>
        </w:rPr>
        <w:fldChar w:fldCharType="separate"/>
      </w:r>
      <w:r>
        <w:rPr>
          <w:rFonts w:hint="eastAsia" w:ascii="仿宋" w:hAnsi="仿宋" w:eastAsia="仿宋"/>
          <w:color w:val="auto"/>
          <w:sz w:val="24"/>
          <w:highlight w:val="none"/>
        </w:rPr>
        <w:t>工程施工</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机械台班费用定额》（2018版）及造价管理部门相关规定、《建设工程工程量清单计价规范（GB 50500-2013）》，</w:t>
      </w:r>
      <w:r>
        <w:rPr>
          <w:rFonts w:hint="eastAsia" w:ascii="仿宋" w:hAnsi="仿宋" w:eastAsia="仿宋"/>
          <w:color w:val="auto"/>
          <w:sz w:val="24"/>
          <w:highlight w:val="none"/>
          <w:lang w:val="en-US" w:eastAsia="zh-CN"/>
        </w:rPr>
        <w:t>不可套定额</w:t>
      </w:r>
      <w:r>
        <w:rPr>
          <w:rFonts w:hint="eastAsia" w:ascii="仿宋" w:hAnsi="仿宋" w:eastAsia="仿宋"/>
          <w:color w:val="auto"/>
          <w:sz w:val="24"/>
          <w:highlight w:val="none"/>
        </w:rPr>
        <w:t>或定价材料表</w:t>
      </w:r>
      <w:r>
        <w:rPr>
          <w:rFonts w:hint="eastAsia" w:ascii="仿宋" w:hAnsi="仿宋" w:eastAsia="仿宋"/>
          <w:color w:val="auto"/>
          <w:sz w:val="24"/>
          <w:highlight w:val="none"/>
          <w:lang w:val="en-US" w:eastAsia="zh-CN"/>
        </w:rPr>
        <w:t>（附件一）未包含的，</w:t>
      </w:r>
      <w:r>
        <w:rPr>
          <w:rFonts w:hint="eastAsia" w:ascii="仿宋" w:hAnsi="仿宋" w:eastAsia="仿宋"/>
          <w:color w:val="auto"/>
          <w:sz w:val="24"/>
          <w:highlight w:val="none"/>
        </w:rPr>
        <w:t>由采购人委托的</w:t>
      </w:r>
      <w:r>
        <w:rPr>
          <w:rFonts w:hint="eastAsia" w:ascii="仿宋" w:hAnsi="仿宋" w:eastAsia="仿宋"/>
          <w:color w:val="auto"/>
          <w:sz w:val="24"/>
          <w:highlight w:val="none"/>
          <w:lang w:val="en-US" w:eastAsia="zh-CN"/>
        </w:rPr>
        <w:t>第三方造价咨询</w:t>
      </w:r>
      <w:r>
        <w:rPr>
          <w:rFonts w:hint="eastAsia" w:ascii="仿宋" w:hAnsi="仿宋" w:eastAsia="仿宋"/>
          <w:color w:val="auto"/>
          <w:sz w:val="24"/>
          <w:highlight w:val="none"/>
        </w:rPr>
        <w:t>单位</w:t>
      </w:r>
      <w:r>
        <w:rPr>
          <w:rFonts w:hint="eastAsia" w:ascii="仿宋" w:hAnsi="仿宋" w:eastAsia="仿宋"/>
          <w:color w:val="auto"/>
          <w:sz w:val="24"/>
          <w:highlight w:val="none"/>
          <w:lang w:eastAsia="zh-CN"/>
        </w:rPr>
        <w:t>按市场询价结果</w:t>
      </w:r>
      <w:r>
        <w:rPr>
          <w:rFonts w:hint="eastAsia" w:ascii="仿宋" w:hAnsi="仿宋" w:eastAsia="仿宋"/>
          <w:color w:val="auto"/>
          <w:sz w:val="24"/>
          <w:highlight w:val="none"/>
        </w:rPr>
        <w:t>进行下浮结算。</w:t>
      </w:r>
    </w:p>
    <w:p w14:paraId="3C63661E">
      <w:pPr>
        <w:numPr>
          <w:ilvl w:val="0"/>
          <w:numId w:val="0"/>
        </w:numPr>
        <w:spacing w:line="400" w:lineRule="exact"/>
        <w:contextualSpacing/>
        <w:rPr>
          <w:rFonts w:hint="eastAsia" w:ascii="仿宋" w:hAnsi="仿宋" w:eastAsia="仿宋"/>
          <w:b/>
          <w:bCs/>
          <w:color w:val="auto"/>
          <w:sz w:val="24"/>
          <w:highlight w:val="none"/>
        </w:rPr>
      </w:pPr>
      <w:r>
        <w:rPr>
          <w:rFonts w:hint="eastAsia" w:ascii="仿宋" w:hAnsi="仿宋" w:eastAsia="仿宋"/>
          <w:b/>
          <w:bCs/>
          <w:color w:val="auto"/>
          <w:sz w:val="24"/>
          <w:highlight w:val="none"/>
          <w:lang w:val="en-US" w:eastAsia="zh-CN"/>
        </w:rPr>
        <w:t>注：材料和人工</w:t>
      </w:r>
      <w:r>
        <w:rPr>
          <w:rFonts w:hint="eastAsia" w:ascii="仿宋" w:hAnsi="仿宋" w:eastAsia="仿宋"/>
          <w:b/>
          <w:bCs/>
          <w:color w:val="auto"/>
          <w:sz w:val="24"/>
          <w:highlight w:val="none"/>
        </w:rPr>
        <w:t>信息价格按《绍兴市建设工程造价管理信息》202</w:t>
      </w:r>
      <w:r>
        <w:rPr>
          <w:rFonts w:hint="eastAsia" w:ascii="仿宋" w:hAnsi="仿宋" w:eastAsia="仿宋"/>
          <w:b/>
          <w:bCs/>
          <w:color w:val="auto"/>
          <w:sz w:val="24"/>
          <w:highlight w:val="none"/>
          <w:lang w:val="en-US" w:eastAsia="zh-CN"/>
        </w:rPr>
        <w:t>4</w:t>
      </w:r>
      <w:r>
        <w:rPr>
          <w:rFonts w:hint="eastAsia" w:ascii="仿宋" w:hAnsi="仿宋" w:eastAsia="仿宋"/>
          <w:b/>
          <w:bCs/>
          <w:color w:val="auto"/>
          <w:sz w:val="24"/>
          <w:highlight w:val="none"/>
        </w:rPr>
        <w:t>年第</w:t>
      </w:r>
      <w:r>
        <w:rPr>
          <w:rFonts w:hint="eastAsia" w:ascii="仿宋" w:hAnsi="仿宋" w:eastAsia="仿宋"/>
          <w:b/>
          <w:bCs/>
          <w:color w:val="auto"/>
          <w:sz w:val="24"/>
          <w:highlight w:val="none"/>
          <w:lang w:val="en-US" w:eastAsia="zh-CN"/>
        </w:rPr>
        <w:t>12</w:t>
      </w:r>
      <w:r>
        <w:rPr>
          <w:rFonts w:hint="eastAsia" w:ascii="仿宋" w:hAnsi="仿宋" w:eastAsia="仿宋"/>
          <w:b/>
          <w:bCs/>
          <w:color w:val="auto"/>
          <w:sz w:val="24"/>
          <w:highlight w:val="none"/>
        </w:rPr>
        <w:t>期信息价</w:t>
      </w:r>
      <w:r>
        <w:rPr>
          <w:rFonts w:hint="eastAsia" w:ascii="仿宋" w:hAnsi="仿宋" w:eastAsia="仿宋"/>
          <w:b/>
          <w:bCs/>
          <w:color w:val="auto"/>
          <w:sz w:val="24"/>
          <w:highlight w:val="none"/>
          <w:lang w:val="en-US" w:eastAsia="zh-CN"/>
        </w:rPr>
        <w:t>编制</w:t>
      </w:r>
      <w:r>
        <w:rPr>
          <w:rFonts w:hint="eastAsia" w:ascii="仿宋" w:hAnsi="仿宋" w:eastAsia="仿宋"/>
          <w:b/>
          <w:bCs/>
          <w:color w:val="auto"/>
          <w:sz w:val="24"/>
          <w:highlight w:val="none"/>
        </w:rPr>
        <w:t>。</w:t>
      </w:r>
    </w:p>
    <w:p w14:paraId="663F98A6">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2、结算口径：按采购人委托第三方预算书、实际完成的情况、</w:t>
      </w:r>
      <w:r>
        <w:rPr>
          <w:rFonts w:hint="eastAsia" w:ascii="仿宋" w:hAnsi="仿宋" w:eastAsia="仿宋"/>
          <w:color w:val="auto"/>
          <w:sz w:val="24"/>
          <w:highlight w:val="none"/>
          <w:lang w:val="en-US" w:eastAsia="zh-CN"/>
        </w:rPr>
        <w:t>定价材料表（附件一）、</w:t>
      </w:r>
      <w:r>
        <w:rPr>
          <w:rFonts w:hint="eastAsia" w:ascii="仿宋" w:hAnsi="仿宋" w:eastAsia="仿宋"/>
          <w:color w:val="auto"/>
          <w:sz w:val="24"/>
          <w:highlight w:val="none"/>
        </w:rPr>
        <w:t>成交下浮率进行结算审计，工程量按实结算。</w:t>
      </w:r>
    </w:p>
    <w:p w14:paraId="155D602F">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（七）结算支付方式</w:t>
      </w:r>
    </w:p>
    <w:p w14:paraId="47706B7D">
      <w:p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无预付款，采用固定下浮率承包，工程量按实调整。</w:t>
      </w:r>
    </w:p>
    <w:p w14:paraId="09C18F7C">
      <w:p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以单项改造工程为结算单位，按采购人委托第三方预算书、实际完成的情况、定价材料表（附件</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）、成交下浮率按季度结算</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验收合格后经审核单位审核并出具季度结算报告后支付至结算审核价的98%，剩余2%工程款在工程保修期满后支付。</w:t>
      </w:r>
    </w:p>
    <w:p w14:paraId="6DAFC1EF">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（八）保修期限</w:t>
      </w:r>
    </w:p>
    <w:p w14:paraId="72810AE9">
      <w:pPr>
        <w:spacing w:line="33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本工程保修期限按</w:t>
      </w:r>
      <w:r>
        <w:rPr>
          <w:rFonts w:hint="eastAsia" w:ascii="仿宋" w:hAnsi="仿宋" w:eastAsia="仿宋"/>
          <w:color w:val="auto"/>
          <w:sz w:val="24"/>
          <w:highlight w:val="none"/>
          <w:lang w:val="en-US" w:eastAsia="zh-CN"/>
        </w:rPr>
        <w:t>2年</w:t>
      </w:r>
      <w:r>
        <w:rPr>
          <w:rFonts w:hint="eastAsia" w:ascii="仿宋" w:hAnsi="仿宋" w:eastAsia="仿宋"/>
          <w:color w:val="auto"/>
          <w:sz w:val="24"/>
          <w:highlight w:val="none"/>
        </w:rPr>
        <w:t>，保修期以项目验收合格之日起计算。质保期内发生故障须免费修复。</w:t>
      </w:r>
    </w:p>
    <w:p w14:paraId="50635348">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（九）其他</w:t>
      </w:r>
    </w:p>
    <w:p w14:paraId="0355BA1A">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1、在施工过程中若出现工程质量、进度等问题，在采购人二次书面通知后仍未能采取有效措施的，采购人有权单方终止合同，并保留索赔的权利。</w:t>
      </w:r>
    </w:p>
    <w:p w14:paraId="63DDFD08">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 xml:space="preserve">所提供的必须是合法生产的货物和服务，并能确保在成交合同有效期内按照合同中规定的要求及时交付。 </w:t>
      </w:r>
    </w:p>
    <w:p w14:paraId="77225ACA">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 xml:space="preserve">3、施工用水、用电相关费用由采购人承担。 </w:t>
      </w:r>
    </w:p>
    <w:p w14:paraId="18A00CE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必须做出履约保证，履约保证金为年度定点服务单位项目总预算的2%，并在签订</w:t>
      </w:r>
      <w:r>
        <w:rPr>
          <w:rFonts w:hint="eastAsia" w:ascii="仿宋" w:hAnsi="仿宋" w:eastAsia="仿宋"/>
          <w:color w:val="auto"/>
          <w:sz w:val="24"/>
          <w:highlight w:val="none"/>
          <w:lang w:val="en-US" w:eastAsia="zh-CN"/>
        </w:rPr>
        <w:t>合同</w:t>
      </w:r>
      <w:r>
        <w:rPr>
          <w:rFonts w:hint="eastAsia" w:ascii="仿宋" w:hAnsi="仿宋" w:eastAsia="仿宋"/>
          <w:color w:val="auto"/>
          <w:sz w:val="24"/>
          <w:highlight w:val="none"/>
        </w:rPr>
        <w:t>前提交给采购人。由于</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原因未能按时完工的，均视为违约，同时</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向采购人缴纳违约金</w:t>
      </w:r>
      <w:bookmarkStart w:id="44" w:name="_Hlk143768071"/>
      <w:r>
        <w:rPr>
          <w:rFonts w:hint="eastAsia" w:ascii="仿宋" w:hAnsi="仿宋" w:eastAsia="仿宋"/>
          <w:color w:val="auto"/>
          <w:sz w:val="24"/>
          <w:highlight w:val="none"/>
        </w:rPr>
        <w:t>每日500元，超过10日后，</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 xml:space="preserve">向采购人缴纳违约金每日1000元，从履约保证金中扣除。 </w:t>
      </w:r>
      <w:bookmarkEnd w:id="44"/>
    </w:p>
    <w:p w14:paraId="35988D87">
      <w:pPr>
        <w:spacing w:line="460" w:lineRule="exact"/>
        <w:ind w:firstLine="480" w:firstLineChars="200"/>
        <w:rPr>
          <w:rFonts w:ascii="宋体" w:hAnsi="宋体"/>
          <w:color w:val="auto"/>
          <w:sz w:val="24"/>
          <w:highlight w:val="none"/>
        </w:rPr>
      </w:pPr>
      <w:r>
        <w:rPr>
          <w:rFonts w:hint="eastAsia" w:ascii="仿宋" w:hAnsi="仿宋" w:eastAsia="仿宋"/>
          <w:color w:val="auto"/>
          <w:sz w:val="24"/>
          <w:highlight w:val="none"/>
        </w:rPr>
        <w:t>5、在履约期间，未发生违反招标规定、投标承诺事件，且各施工项目也无质量问题，履约保证金至</w:t>
      </w:r>
      <w:r>
        <w:rPr>
          <w:rFonts w:hint="eastAsia" w:ascii="仿宋" w:hAnsi="仿宋" w:eastAsia="仿宋"/>
          <w:color w:val="auto"/>
          <w:sz w:val="24"/>
          <w:highlight w:val="none"/>
          <w:lang w:eastAsia="zh-CN"/>
        </w:rPr>
        <w:t>所有项目验收合格</w:t>
      </w:r>
      <w:r>
        <w:rPr>
          <w:rFonts w:hint="eastAsia" w:ascii="仿宋" w:hAnsi="仿宋" w:eastAsia="仿宋"/>
          <w:color w:val="auto"/>
          <w:sz w:val="24"/>
          <w:highlight w:val="none"/>
        </w:rPr>
        <w:t>后一个月内一次性退还（不计息）。</w:t>
      </w:r>
    </w:p>
    <w:p w14:paraId="78AFD416">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采购材料、设备</w:t>
      </w:r>
    </w:p>
    <w:p w14:paraId="48B1346D">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采购材料、设备：材料由采购人看样确认后</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自行采购，以符合设计和规范要求为原则。</w:t>
      </w:r>
    </w:p>
    <w:p w14:paraId="5D44B5B8">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应承担的违约责任：承担返工损失和工期、质量的违约责任。</w:t>
      </w:r>
    </w:p>
    <w:p w14:paraId="42811D5B">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主要材料必须有质保书和合格证，经认证许可，并且符合施工规范要求。</w:t>
      </w:r>
    </w:p>
    <w:p w14:paraId="2120BF8E">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7、服务响应时间：</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在收到采购人零星维修信息后，2小时内到院维修，并在采购人要求的时间范围内完成指定工作任务，应急抢修类项目需随叫随到，以上需提供承诺书。超过服务响应时间的，发现一次从履约保证金中扣除罚金1000元/次。</w:t>
      </w:r>
    </w:p>
    <w:p w14:paraId="1D7CE1C5">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若二次不响应</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零星维</w:t>
      </w:r>
      <w:r>
        <w:rPr>
          <w:rFonts w:hint="eastAsia" w:ascii="仿宋" w:hAnsi="仿宋" w:eastAsia="仿宋"/>
          <w:color w:val="auto"/>
          <w:sz w:val="24"/>
          <w:highlight w:val="none"/>
          <w:lang w:val="en-US" w:eastAsia="zh-CN"/>
        </w:rPr>
        <w:t>管</w:t>
      </w:r>
      <w:r>
        <w:rPr>
          <w:rFonts w:hint="eastAsia" w:ascii="仿宋" w:hAnsi="仿宋" w:eastAsia="仿宋"/>
          <w:color w:val="auto"/>
          <w:sz w:val="24"/>
          <w:highlight w:val="none"/>
        </w:rPr>
        <w:t>信息，采购人有权终止合同，</w:t>
      </w:r>
      <w:r>
        <w:rPr>
          <w:rFonts w:hint="eastAsia" w:ascii="仿宋" w:hAnsi="仿宋" w:eastAsia="仿宋"/>
          <w:color w:val="auto"/>
          <w:sz w:val="24"/>
          <w:highlight w:val="none"/>
          <w:lang w:eastAsia="zh-CN"/>
        </w:rPr>
        <w:t>中标供应商</w:t>
      </w:r>
      <w:r>
        <w:rPr>
          <w:rFonts w:hint="eastAsia" w:ascii="仿宋" w:hAnsi="仿宋" w:eastAsia="仿宋"/>
          <w:color w:val="auto"/>
          <w:sz w:val="24"/>
          <w:highlight w:val="none"/>
        </w:rPr>
        <w:t>承担全部相关责任。</w:t>
      </w:r>
    </w:p>
    <w:p w14:paraId="35385FF6">
      <w:p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9、</w:t>
      </w:r>
      <w:r>
        <w:rPr>
          <w:rFonts w:hint="eastAsia" w:ascii="仿宋" w:hAnsi="仿宋" w:eastAsia="仿宋"/>
          <w:color w:val="auto"/>
          <w:sz w:val="24"/>
          <w:highlight w:val="none"/>
          <w:lang w:val="en-US" w:eastAsia="zh-CN"/>
        </w:rPr>
        <w:t>400</w:t>
      </w:r>
      <w:r>
        <w:rPr>
          <w:rFonts w:hint="eastAsia" w:ascii="仿宋" w:hAnsi="仿宋" w:eastAsia="仿宋"/>
          <w:color w:val="auto"/>
          <w:sz w:val="24"/>
          <w:highlight w:val="none"/>
        </w:rPr>
        <w:t>万元以下（不含</w:t>
      </w:r>
      <w:r>
        <w:rPr>
          <w:rFonts w:hint="eastAsia" w:ascii="仿宋" w:hAnsi="仿宋" w:eastAsia="仿宋"/>
          <w:color w:val="auto"/>
          <w:sz w:val="24"/>
          <w:highlight w:val="none"/>
          <w:lang w:val="en-US" w:eastAsia="zh-CN"/>
        </w:rPr>
        <w:t>400</w:t>
      </w:r>
      <w:r>
        <w:rPr>
          <w:rFonts w:hint="eastAsia" w:ascii="仿宋" w:hAnsi="仿宋" w:eastAsia="仿宋"/>
          <w:color w:val="auto"/>
          <w:sz w:val="24"/>
          <w:highlight w:val="none"/>
        </w:rPr>
        <w:t>万元）单项工程</w:t>
      </w:r>
      <w:r>
        <w:rPr>
          <w:rFonts w:hint="eastAsia" w:ascii="仿宋" w:hAnsi="仿宋" w:eastAsia="仿宋"/>
          <w:color w:val="auto"/>
          <w:sz w:val="24"/>
          <w:highlight w:val="none"/>
          <w:lang w:val="en-US" w:eastAsia="zh-CN"/>
        </w:rPr>
        <w:t>按采购人要求编制预算并审核</w:t>
      </w:r>
      <w:r>
        <w:rPr>
          <w:rFonts w:hint="eastAsia" w:ascii="仿宋" w:hAnsi="仿宋" w:eastAsia="仿宋"/>
          <w:color w:val="auto"/>
          <w:sz w:val="24"/>
          <w:highlight w:val="none"/>
        </w:rPr>
        <w:t>，按本项目中标的固定下浮率计费，直接发包，并组织项目的实施。</w:t>
      </w:r>
    </w:p>
    <w:p w14:paraId="1F62A9BC">
      <w:pPr>
        <w:spacing w:line="400" w:lineRule="exact"/>
        <w:ind w:firstLine="482" w:firstLineChars="200"/>
        <w:contextualSpacing/>
        <w:rPr>
          <w:rFonts w:hint="eastAsia" w:ascii="仿宋" w:hAnsi="仿宋" w:eastAsia="仿宋"/>
          <w:color w:val="auto"/>
          <w:sz w:val="24"/>
          <w:highlight w:val="none"/>
        </w:rPr>
      </w:pPr>
      <w:r>
        <w:rPr>
          <w:rFonts w:hint="eastAsia" w:ascii="仿宋" w:hAnsi="仿宋" w:eastAsia="仿宋"/>
          <w:b/>
          <w:bCs/>
          <w:color w:val="auto"/>
          <w:sz w:val="24"/>
          <w:highlight w:val="none"/>
          <w:lang w:val="en-US" w:eastAsia="zh-CN"/>
        </w:rPr>
        <w:t>注：本项目</w:t>
      </w:r>
      <w:r>
        <w:rPr>
          <w:rFonts w:hint="eastAsia" w:ascii="仿宋" w:hAnsi="仿宋" w:eastAsia="仿宋"/>
          <w:b/>
          <w:bCs/>
          <w:color w:val="auto"/>
          <w:sz w:val="24"/>
          <w:highlight w:val="none"/>
        </w:rPr>
        <w:t>以</w:t>
      </w:r>
      <w:r>
        <w:rPr>
          <w:rFonts w:hint="eastAsia" w:ascii="仿宋" w:hAnsi="仿宋" w:eastAsia="仿宋"/>
          <w:b/>
          <w:bCs/>
          <w:color w:val="auto"/>
          <w:sz w:val="24"/>
          <w:highlight w:val="none"/>
          <w:lang w:eastAsia="zh-CN"/>
        </w:rPr>
        <w:t>绍兴市公共交通集团有限公司</w:t>
      </w:r>
      <w:r>
        <w:rPr>
          <w:rFonts w:hint="eastAsia" w:ascii="仿宋" w:hAnsi="仿宋" w:eastAsia="仿宋"/>
          <w:b/>
          <w:bCs/>
          <w:color w:val="auto"/>
          <w:sz w:val="24"/>
          <w:highlight w:val="none"/>
        </w:rPr>
        <w:t>名义进行公开招标，费用由各营运公司支付。合同由</w:t>
      </w:r>
      <w:r>
        <w:rPr>
          <w:rFonts w:hint="eastAsia" w:ascii="仿宋" w:hAnsi="仿宋" w:eastAsia="仿宋"/>
          <w:b/>
          <w:bCs/>
          <w:color w:val="auto"/>
          <w:sz w:val="24"/>
          <w:highlight w:val="none"/>
          <w:lang w:eastAsia="zh-CN"/>
        </w:rPr>
        <w:t>绍兴市公共交通集团有限公司</w:t>
      </w:r>
      <w:r>
        <w:rPr>
          <w:rFonts w:hint="eastAsia" w:ascii="仿宋" w:hAnsi="仿宋" w:eastAsia="仿宋"/>
          <w:b/>
          <w:bCs/>
          <w:color w:val="auto"/>
          <w:sz w:val="24"/>
          <w:highlight w:val="none"/>
        </w:rPr>
        <w:t>作为鉴证方</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各营运公司为实际执行方，与</w:t>
      </w:r>
      <w:r>
        <w:rPr>
          <w:rFonts w:hint="eastAsia" w:ascii="仿宋" w:hAnsi="仿宋" w:eastAsia="仿宋"/>
          <w:b/>
          <w:bCs/>
          <w:color w:val="auto"/>
          <w:sz w:val="24"/>
          <w:highlight w:val="none"/>
          <w:lang w:eastAsia="zh-CN"/>
        </w:rPr>
        <w:t>中标供应商</w:t>
      </w:r>
      <w:r>
        <w:rPr>
          <w:rFonts w:hint="eastAsia" w:ascii="仿宋" w:hAnsi="仿宋" w:eastAsia="仿宋"/>
          <w:b/>
          <w:bCs/>
          <w:color w:val="auto"/>
          <w:sz w:val="24"/>
          <w:highlight w:val="none"/>
        </w:rPr>
        <w:t>签订。</w:t>
      </w:r>
    </w:p>
    <w:p w14:paraId="262206FE">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二、甲方的权利和义务</w:t>
      </w:r>
    </w:p>
    <w:p w14:paraId="75BBFC5C">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1、甲方的权利</w:t>
      </w:r>
    </w:p>
    <w:p w14:paraId="61627A1C">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（1）施工方案、主材的确认；</w:t>
      </w:r>
    </w:p>
    <w:p w14:paraId="1FED93F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（2）施工现场的管理和协调；</w:t>
      </w:r>
    </w:p>
    <w:p w14:paraId="77398FD1">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（3）送审前结算、相关资料核对工作；</w:t>
      </w:r>
    </w:p>
    <w:p w14:paraId="3C19EC35">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（4）要求乙方更换不称职或与响应文件不相符的项目组人员。</w:t>
      </w:r>
    </w:p>
    <w:p w14:paraId="4245885C">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2、甲方的义务</w:t>
      </w:r>
    </w:p>
    <w:p w14:paraId="74276B84">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（1）有义务向乙方提供有关的资料，并对所提供资料的真实性和合法性负责；</w:t>
      </w:r>
    </w:p>
    <w:p w14:paraId="5B1DC878">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（2）有义务为乙方提供必要的施工条件；</w:t>
      </w:r>
    </w:p>
    <w:p w14:paraId="40A6944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（3）配合乙方开展有关需要协调的工作。</w:t>
      </w:r>
    </w:p>
    <w:p w14:paraId="0E3DA812">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三、乙方的权利和义务</w:t>
      </w:r>
    </w:p>
    <w:p w14:paraId="32D9858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1、乙方的权利</w:t>
      </w:r>
    </w:p>
    <w:p w14:paraId="7E58E50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（1）按照国家有关法律法规和制度、按招标文件要求、投标响应的相关内容进行施工；</w:t>
      </w:r>
    </w:p>
    <w:p w14:paraId="609D8FB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（2）装修或维修改造所用的材料均由乙方负责采购（视情况部分可以甲供），但事先须征得甲方的认可（或定牌），材料进场后经甲方验收核准后方可投入施工。</w:t>
      </w:r>
    </w:p>
    <w:p w14:paraId="4754B7FA">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（3）有权要求甲方提供必要的施工条件。</w:t>
      </w:r>
    </w:p>
    <w:p w14:paraId="0A7ABBA2">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2、乙方的义务</w:t>
      </w:r>
    </w:p>
    <w:p w14:paraId="23AE223C">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（1）乙方做好相关工程资料的编制与收集工作，做好送审工程资料齐全；</w:t>
      </w:r>
    </w:p>
    <w:p w14:paraId="1FF4AB2E">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（2）不得将甲方有关派工单任务项目转包、分包给其他单位或个人；</w:t>
      </w:r>
    </w:p>
    <w:p w14:paraId="4B0B1E2F">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（3）接受甲方和有关部门（包括用户）的监督、施工管理，遵守廉政规定；</w:t>
      </w:r>
    </w:p>
    <w:p w14:paraId="3ECA1FCA">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（4）在接到甲方任务通知单后，及时落实相关工种的熟练（专业）施工人员，按约定时间及承诺完成好施工任务；</w:t>
      </w:r>
    </w:p>
    <w:p w14:paraId="2C40FA4D">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（5）乙方应按国家有关规定，按时足额支付民工工资，全权处理劳资纠纷；</w:t>
      </w:r>
    </w:p>
    <w:p w14:paraId="5D0E822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（6）落实好施工中的各项安全措施，加强施工安全管理，若出现安全事故由乙方全权负责，与甲方无涉；</w:t>
      </w:r>
    </w:p>
    <w:p w14:paraId="621941FB">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四、施工技术质量和其它要求</w:t>
      </w:r>
    </w:p>
    <w:p w14:paraId="3D244327">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1、施工质量控制和验收标准均按国家有关技术规范要求执行。质量要求为合格。</w:t>
      </w:r>
    </w:p>
    <w:p w14:paraId="45FFA84C">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 严格把好施工各道工序的质量关，杜绝工程施工质量、施工安全及消防安全事故。甲方派驻现场代表有权对单项零星维修项目的施工质量、进度进行监督和管理，确保工程项目按时交付使用。若因工程材料、施工质量问题导致工程未能按时完成和投入使用，乙方须承担因此产生的相应责任。</w:t>
      </w:r>
    </w:p>
    <w:p w14:paraId="08CF914D">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3.隐蔽工程要按规范施工，隐蔽部位和上道工序完成须经甲方验收后方可进入下一道工序施工。</w:t>
      </w:r>
    </w:p>
    <w:p w14:paraId="793FC11E">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4、维修改造项目的施工工期按具体的工程内容和不同的施工要求在分项协议书中明确，乙方必须在约定的工期内按时完成。</w:t>
      </w:r>
    </w:p>
    <w:p w14:paraId="2A068BC3">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5、施工过程中产生的建筑垃圾等杂物必须做到一天一清，施工中或交付验收时，若乙方未按甲方规定要求清除各种垃圾或道路障碍物而影响正常车辆人员通行的，甲方有权</w:t>
      </w:r>
      <w:r>
        <w:rPr>
          <w:rFonts w:hint="eastAsia" w:ascii="仿宋" w:hAnsi="仿宋" w:eastAsia="仿宋"/>
          <w:color w:val="auto"/>
          <w:sz w:val="24"/>
          <w:highlight w:val="none"/>
          <w:lang w:val="en-US" w:eastAsia="zh-CN"/>
        </w:rPr>
        <w:t>要求施工方</w:t>
      </w:r>
      <w:r>
        <w:rPr>
          <w:rFonts w:hint="eastAsia" w:ascii="仿宋" w:hAnsi="仿宋" w:eastAsia="仿宋"/>
          <w:color w:val="auto"/>
          <w:sz w:val="24"/>
          <w:highlight w:val="none"/>
        </w:rPr>
        <w:t>组织清理，费用由施工方承担，产生费用在工程款中扣除（专项拆除项目产生垃圾费用除外）。</w:t>
      </w:r>
    </w:p>
    <w:p w14:paraId="47942A08">
      <w:p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、施工中须确保消防安全有专人负责，工程和施工人员车辆进出校园按指定路线、时间行驶和停放。</w:t>
      </w:r>
    </w:p>
    <w:p w14:paraId="43A23FC6">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、在甲方组织验收前，乙方必须做好工地清场、环境清扫、损坏修补、成品保护等工作。</w:t>
      </w:r>
    </w:p>
    <w:p w14:paraId="687E462D">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、施工前对维修项目外其它的墙地面或设施有影响时须有相应保护措施，若因施工不当或保护不当发生破坏或损坏时，竣工验收前须修复至原样。</w:t>
      </w:r>
    </w:p>
    <w:p w14:paraId="209B97C4">
      <w:pPr>
        <w:spacing w:line="400" w:lineRule="exact"/>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、甲方可提供小型仓库用于施工机械和材料临时存放，但不得用于住宿。</w:t>
      </w:r>
    </w:p>
    <w:p w14:paraId="252F35ED">
      <w:pPr>
        <w:spacing w:line="400" w:lineRule="exact"/>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、乙方不得无故推却甲方委派的任务，如确有特殊原因，应说明情况。</w:t>
      </w:r>
    </w:p>
    <w:p w14:paraId="6EFDB43A">
      <w:pPr>
        <w:spacing w:line="400" w:lineRule="exact"/>
        <w:ind w:firstLine="480" w:firstLineChars="200"/>
        <w:contextualSpacing/>
        <w:rPr>
          <w:rFonts w:hint="eastAsia" w:ascii="仿宋" w:hAnsi="仿宋" w:eastAsia="仿宋"/>
          <w:color w:val="auto"/>
          <w:sz w:val="24"/>
          <w:highlight w:val="none"/>
        </w:rPr>
        <w:sectPr>
          <w:headerReference r:id="rId13" w:type="first"/>
          <w:footerReference r:id="rId15" w:type="first"/>
          <w:headerReference r:id="rId12" w:type="default"/>
          <w:footerReference r:id="rId14" w:type="default"/>
          <w:pgSz w:w="11906" w:h="16838"/>
          <w:pgMar w:top="1814" w:right="1474" w:bottom="1814" w:left="1474" w:header="1417" w:footer="992" w:gutter="0"/>
          <w:cols w:space="720" w:num="1"/>
          <w:titlePg/>
          <w:docGrid w:linePitch="312" w:charSpace="0"/>
        </w:sect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、施工人员应严格按照专业操作技术规程进行安全施工，在施工中造成的一切人身安全责任事故均由乙方负责</w:t>
      </w:r>
      <w:r>
        <w:rPr>
          <w:rFonts w:hint="eastAsia" w:ascii="仿宋" w:hAnsi="仿宋" w:eastAsia="仿宋"/>
          <w:color w:val="auto"/>
          <w:sz w:val="24"/>
          <w:highlight w:val="none"/>
          <w:lang w:eastAsia="zh-CN"/>
        </w:rPr>
        <w:t>。</w:t>
      </w:r>
    </w:p>
    <w:p w14:paraId="5031A859">
      <w:pPr>
        <w:spacing w:line="400" w:lineRule="exact"/>
        <w:contextualSpacing/>
        <w:jc w:val="left"/>
        <w:rPr>
          <w:rFonts w:ascii="仿宋" w:hAnsi="仿宋" w:eastAsia="仿宋"/>
          <w:color w:val="auto"/>
          <w:sz w:val="24"/>
          <w:highlight w:val="none"/>
        </w:rPr>
      </w:pPr>
      <w:bookmarkStart w:id="45" w:name="_Hlk190079108"/>
      <w:r>
        <w:rPr>
          <w:rFonts w:hint="eastAsia" w:ascii="仿宋" w:hAnsi="仿宋" w:eastAsia="仿宋"/>
          <w:color w:val="auto"/>
          <w:sz w:val="24"/>
          <w:highlight w:val="none"/>
        </w:rPr>
        <w:t>附件一</w:t>
      </w:r>
    </w:p>
    <w:tbl>
      <w:tblPr>
        <w:tblStyle w:val="21"/>
        <w:tblW w:w="13869" w:type="dxa"/>
        <w:jc w:val="right"/>
        <w:tblLayout w:type="fixed"/>
        <w:tblCellMar>
          <w:top w:w="0" w:type="dxa"/>
          <w:left w:w="108" w:type="dxa"/>
          <w:bottom w:w="0" w:type="dxa"/>
          <w:right w:w="108" w:type="dxa"/>
        </w:tblCellMar>
      </w:tblPr>
      <w:tblGrid>
        <w:gridCol w:w="549"/>
        <w:gridCol w:w="660"/>
        <w:gridCol w:w="3583"/>
        <w:gridCol w:w="629"/>
        <w:gridCol w:w="849"/>
        <w:gridCol w:w="1179"/>
        <w:gridCol w:w="1179"/>
        <w:gridCol w:w="5241"/>
      </w:tblGrid>
      <w:tr w14:paraId="475BAD0B">
        <w:tblPrEx>
          <w:tblCellMar>
            <w:top w:w="0" w:type="dxa"/>
            <w:left w:w="108" w:type="dxa"/>
            <w:bottom w:w="0" w:type="dxa"/>
            <w:right w:w="108" w:type="dxa"/>
          </w:tblCellMar>
        </w:tblPrEx>
        <w:trPr>
          <w:trHeight w:val="720" w:hRule="atLeast"/>
          <w:jc w:val="right"/>
        </w:trPr>
        <w:tc>
          <w:tcPr>
            <w:tcW w:w="13869" w:type="dxa"/>
            <w:gridSpan w:val="8"/>
            <w:tcBorders>
              <w:top w:val="nil"/>
              <w:left w:val="nil"/>
              <w:bottom w:val="nil"/>
              <w:right w:val="nil"/>
            </w:tcBorders>
            <w:shd w:val="clear" w:color="auto" w:fill="auto"/>
            <w:vAlign w:val="center"/>
          </w:tcPr>
          <w:p w14:paraId="76B7D800">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绍兴市公共交通集团2025年度场站维管项目-定价材料表</w:t>
            </w:r>
          </w:p>
        </w:tc>
      </w:tr>
      <w:tr w14:paraId="38A0F667">
        <w:tblPrEx>
          <w:tblCellMar>
            <w:top w:w="0" w:type="dxa"/>
            <w:left w:w="108" w:type="dxa"/>
            <w:bottom w:w="0" w:type="dxa"/>
            <w:right w:w="108" w:type="dxa"/>
          </w:tblCellMar>
        </w:tblPrEx>
        <w:trPr>
          <w:trHeight w:val="499"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19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5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项目类型</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74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1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07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5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单价(元)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8B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合价（元）</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1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14:paraId="2E4FBCF8">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A8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60" w:type="dxa"/>
            <w:vMerge w:val="restart"/>
            <w:tcBorders>
              <w:top w:val="nil"/>
              <w:left w:val="single" w:color="000000" w:sz="4" w:space="0"/>
              <w:bottom w:val="single" w:color="000000" w:sz="4" w:space="0"/>
              <w:right w:val="single" w:color="000000" w:sz="4" w:space="0"/>
            </w:tcBorders>
            <w:shd w:val="clear" w:color="auto" w:fill="auto"/>
            <w:vAlign w:val="center"/>
          </w:tcPr>
          <w:p w14:paraId="706C0BE1">
            <w:pPr>
              <w:jc w:val="center"/>
              <w:rPr>
                <w:rFonts w:ascii="宋体" w:hAnsi="宋体" w:cs="宋体"/>
                <w:color w:val="auto"/>
                <w:sz w:val="20"/>
                <w:szCs w:val="20"/>
                <w:highlight w:val="none"/>
              </w:rPr>
            </w:pPr>
            <w:r>
              <w:rPr>
                <w:rFonts w:hint="eastAsia" w:ascii="宋体" w:hAnsi="宋体" w:cs="宋体"/>
                <w:color w:val="auto"/>
                <w:sz w:val="20"/>
                <w:szCs w:val="20"/>
                <w:highlight w:val="none"/>
              </w:rPr>
              <w:t>场站维护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F3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站场配置防滑警示桩</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89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AB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B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97.88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8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97.88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644">
            <w:pPr>
              <w:jc w:val="center"/>
              <w:rPr>
                <w:rFonts w:ascii="宋体" w:hAnsi="宋体" w:cs="宋体"/>
                <w:color w:val="auto"/>
                <w:sz w:val="20"/>
                <w:szCs w:val="20"/>
                <w:highlight w:val="none"/>
              </w:rPr>
            </w:pPr>
            <w:r>
              <w:rPr>
                <w:rFonts w:hint="eastAsia" w:ascii="宋体" w:hAnsi="宋体" w:cs="宋体"/>
                <w:color w:val="auto"/>
                <w:sz w:val="20"/>
                <w:szCs w:val="20"/>
                <w:highlight w:val="none"/>
              </w:rPr>
              <w:t>至现场：</w:t>
            </w:r>
            <w:r>
              <w:rPr>
                <w:rFonts w:ascii="宋体" w:hAnsi="宋体" w:cs="宋体"/>
                <w:color w:val="auto"/>
                <w:sz w:val="20"/>
                <w:szCs w:val="20"/>
                <w:highlight w:val="none"/>
              </w:rPr>
              <w:t>安装防滑警示板，确保符合安全标准</w:t>
            </w:r>
          </w:p>
        </w:tc>
      </w:tr>
      <w:tr w14:paraId="79F79700">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7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2E94181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90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划标志箭头</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EA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5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B7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229.17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A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229.17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9310">
            <w:pPr>
              <w:jc w:val="center"/>
              <w:rPr>
                <w:rFonts w:ascii="宋体" w:hAnsi="宋体" w:cs="宋体"/>
                <w:color w:val="auto"/>
                <w:sz w:val="20"/>
                <w:szCs w:val="20"/>
                <w:highlight w:val="none"/>
              </w:rPr>
            </w:pPr>
            <w:r>
              <w:rPr>
                <w:rFonts w:hint="eastAsia" w:ascii="宋体" w:hAnsi="宋体" w:cs="宋体"/>
                <w:color w:val="auto"/>
                <w:sz w:val="20"/>
                <w:szCs w:val="20"/>
                <w:highlight w:val="none"/>
              </w:rPr>
              <w:t>至现场：按规范要求施划，含涂料及人工</w:t>
            </w:r>
          </w:p>
        </w:tc>
      </w:tr>
      <w:tr w14:paraId="45FFFDBA">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37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04757F29">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5F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划车位线</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C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EB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64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6F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5B08D2F6">
            <w:pPr>
              <w:tabs>
                <w:tab w:val="left" w:pos="1290"/>
              </w:tabs>
              <w:jc w:val="center"/>
              <w:rPr>
                <w:color w:val="auto"/>
                <w:highlight w:val="none"/>
              </w:rPr>
            </w:pPr>
            <w:r>
              <w:rPr>
                <w:rFonts w:hint="eastAsia" w:ascii="宋体" w:hAnsi="宋体" w:cs="宋体"/>
                <w:color w:val="auto"/>
                <w:sz w:val="20"/>
                <w:szCs w:val="20"/>
                <w:highlight w:val="none"/>
              </w:rPr>
              <w:t>至现场：按实际车位尺寸测量施划，含涂料及人工</w:t>
            </w:r>
          </w:p>
        </w:tc>
      </w:tr>
      <w:tr w14:paraId="4DBFED92">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6B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17B5C7F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EB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安装挡车杆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05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FD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4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8A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0C6D2C34">
            <w:pPr>
              <w:jc w:val="center"/>
              <w:rPr>
                <w:color w:val="auto"/>
                <w:highlight w:val="none"/>
              </w:rPr>
            </w:pPr>
            <w:r>
              <w:rPr>
                <w:rFonts w:hint="eastAsia" w:ascii="宋体" w:hAnsi="宋体" w:cs="宋体"/>
                <w:color w:val="auto"/>
                <w:sz w:val="20"/>
                <w:szCs w:val="20"/>
                <w:highlight w:val="none"/>
              </w:rPr>
              <w:t>至现场：固定式安装，含基座及紧固配件及人工</w:t>
            </w:r>
          </w:p>
        </w:tc>
      </w:tr>
      <w:tr w14:paraId="69A6887D">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7D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0081951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B6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安装挡车条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02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0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41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B8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0E0FFE23">
            <w:pPr>
              <w:jc w:val="center"/>
              <w:rPr>
                <w:color w:val="auto"/>
                <w:highlight w:val="none"/>
              </w:rPr>
            </w:pPr>
            <w:r>
              <w:rPr>
                <w:rFonts w:hint="eastAsia" w:ascii="宋体" w:hAnsi="宋体" w:cs="宋体"/>
                <w:color w:val="auto"/>
                <w:sz w:val="20"/>
                <w:szCs w:val="20"/>
                <w:highlight w:val="none"/>
              </w:rPr>
              <w:t>至现场：安装，含基座及紧固配件及人工</w:t>
            </w:r>
          </w:p>
        </w:tc>
      </w:tr>
      <w:tr w14:paraId="26DE397C">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31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47A3615D">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56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安装警示桩（塑料）</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52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78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6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7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478DABEC">
            <w:pPr>
              <w:jc w:val="center"/>
              <w:rPr>
                <w:color w:val="auto"/>
                <w:highlight w:val="none"/>
              </w:rPr>
            </w:pPr>
            <w:r>
              <w:rPr>
                <w:rFonts w:hint="eastAsia" w:ascii="宋体" w:hAnsi="宋体" w:cs="宋体"/>
                <w:color w:val="auto"/>
                <w:sz w:val="20"/>
                <w:szCs w:val="20"/>
                <w:highlight w:val="none"/>
              </w:rPr>
              <w:t>至现场：安装</w:t>
            </w:r>
            <w:r>
              <w:rPr>
                <w:rFonts w:ascii="宋体" w:hAnsi="宋体" w:cs="宋体"/>
                <w:color w:val="auto"/>
                <w:sz w:val="20"/>
                <w:szCs w:val="20"/>
                <w:highlight w:val="none"/>
              </w:rPr>
              <w:t>及反光贴安装</w:t>
            </w:r>
          </w:p>
        </w:tc>
      </w:tr>
      <w:tr w14:paraId="6F5D1103">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1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34E9637B">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24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安装警示桩（铁质）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0E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E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B6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37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5C2BB898">
            <w:pPr>
              <w:jc w:val="center"/>
              <w:rPr>
                <w:color w:val="auto"/>
                <w:highlight w:val="none"/>
              </w:rPr>
            </w:pPr>
            <w:r>
              <w:rPr>
                <w:rFonts w:hint="eastAsia" w:ascii="宋体" w:hAnsi="宋体" w:cs="宋体"/>
                <w:color w:val="auto"/>
                <w:sz w:val="20"/>
                <w:szCs w:val="20"/>
                <w:highlight w:val="none"/>
              </w:rPr>
              <w:t>至现场：安装</w:t>
            </w:r>
            <w:r>
              <w:rPr>
                <w:rFonts w:ascii="宋体" w:hAnsi="宋体" w:cs="宋体"/>
                <w:color w:val="auto"/>
                <w:sz w:val="20"/>
                <w:szCs w:val="20"/>
                <w:highlight w:val="none"/>
              </w:rPr>
              <w:t>及反光贴安装</w:t>
            </w:r>
          </w:p>
        </w:tc>
      </w:tr>
      <w:tr w14:paraId="5CBCBBED">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96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14:paraId="0DA342F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DF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安装爆闪灯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E4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72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DA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04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2128B646">
            <w:pPr>
              <w:jc w:val="center"/>
              <w:rPr>
                <w:color w:val="auto"/>
                <w:highlight w:val="none"/>
              </w:rPr>
            </w:pPr>
            <w:r>
              <w:rPr>
                <w:rFonts w:hint="eastAsia" w:ascii="宋体" w:hAnsi="宋体" w:cs="宋体"/>
                <w:color w:val="auto"/>
                <w:sz w:val="20"/>
                <w:szCs w:val="20"/>
                <w:highlight w:val="none"/>
              </w:rPr>
              <w:t>至现场：安装含线路连接及夜间警示功能测试</w:t>
            </w:r>
          </w:p>
        </w:tc>
      </w:tr>
      <w:tr w14:paraId="429B7E20">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248">
            <w:pPr>
              <w:widowControl/>
              <w:jc w:val="center"/>
              <w:textAlignment w:val="center"/>
              <w:rPr>
                <w:rFonts w:ascii="宋体" w:hAnsi="宋体" w:cs="宋体"/>
                <w:color w:val="auto"/>
                <w:sz w:val="20"/>
                <w:szCs w:val="20"/>
                <w:highlight w:val="none"/>
              </w:rPr>
            </w:pPr>
            <w:bookmarkStart w:id="46" w:name="_Hlk189751515"/>
            <w:r>
              <w:rPr>
                <w:rFonts w:hint="eastAsia" w:ascii="宋体" w:hAnsi="宋体" w:cs="宋体"/>
                <w:color w:val="auto"/>
                <w:kern w:val="0"/>
                <w:sz w:val="20"/>
                <w:szCs w:val="20"/>
                <w:highlight w:val="none"/>
                <w:lang w:bidi="ar"/>
              </w:rPr>
              <w:t>9</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7FE5DE8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4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 100W照明灯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2C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2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CB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F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6BC9F66B">
            <w:pPr>
              <w:jc w:val="center"/>
              <w:rPr>
                <w:color w:val="auto"/>
                <w:highlight w:val="none"/>
              </w:rPr>
            </w:pPr>
            <w:r>
              <w:rPr>
                <w:rFonts w:hint="eastAsia" w:ascii="宋体" w:hAnsi="宋体" w:cs="宋体"/>
                <w:color w:val="auto"/>
                <w:sz w:val="20"/>
                <w:szCs w:val="20"/>
                <w:highlight w:val="none"/>
              </w:rPr>
              <w:t>至现场：</w:t>
            </w:r>
            <w:r>
              <w:rPr>
                <w:rFonts w:ascii="宋体" w:hAnsi="宋体" w:cs="宋体"/>
                <w:color w:val="auto"/>
                <w:sz w:val="20"/>
                <w:szCs w:val="20"/>
                <w:highlight w:val="none"/>
              </w:rPr>
              <w:t>含灯具固定、线路连接及照明测试</w:t>
            </w:r>
          </w:p>
        </w:tc>
      </w:tr>
      <w:tr w14:paraId="7CB956ED">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6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1E4571E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A0B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 200W照明灯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02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CC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53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BA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3A189051">
            <w:pPr>
              <w:jc w:val="center"/>
              <w:rPr>
                <w:color w:val="auto"/>
                <w:highlight w:val="none"/>
              </w:rPr>
            </w:pPr>
            <w:r>
              <w:rPr>
                <w:rFonts w:hint="eastAsia" w:ascii="宋体" w:hAnsi="宋体" w:cs="宋体"/>
                <w:color w:val="auto"/>
                <w:sz w:val="20"/>
                <w:szCs w:val="20"/>
                <w:highlight w:val="none"/>
              </w:rPr>
              <w:t>至现场：</w:t>
            </w:r>
            <w:r>
              <w:rPr>
                <w:rFonts w:ascii="宋体" w:hAnsi="宋体" w:cs="宋体"/>
                <w:color w:val="auto"/>
                <w:sz w:val="20"/>
                <w:szCs w:val="20"/>
                <w:highlight w:val="none"/>
              </w:rPr>
              <w:t>含灯具固定、线路连接及照明测试</w:t>
            </w:r>
          </w:p>
        </w:tc>
      </w:tr>
      <w:tr w14:paraId="33D1FB90">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0C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5196D395">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10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 400W照明灯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8B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89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2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0E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30A4439A">
            <w:pPr>
              <w:jc w:val="center"/>
              <w:rPr>
                <w:color w:val="auto"/>
                <w:highlight w:val="none"/>
              </w:rPr>
            </w:pPr>
            <w:r>
              <w:rPr>
                <w:rFonts w:hint="eastAsia" w:ascii="宋体" w:hAnsi="宋体" w:cs="宋体"/>
                <w:color w:val="auto"/>
                <w:sz w:val="20"/>
                <w:szCs w:val="20"/>
                <w:highlight w:val="none"/>
              </w:rPr>
              <w:t>至现场：</w:t>
            </w:r>
            <w:r>
              <w:rPr>
                <w:rFonts w:ascii="宋体" w:hAnsi="宋体" w:cs="宋体"/>
                <w:color w:val="auto"/>
                <w:sz w:val="20"/>
                <w:szCs w:val="20"/>
                <w:highlight w:val="none"/>
              </w:rPr>
              <w:t>含灯具固定、线路连接及照明测试</w:t>
            </w:r>
          </w:p>
        </w:tc>
      </w:tr>
      <w:tr w14:paraId="699B65EB">
        <w:tblPrEx>
          <w:tblCellMar>
            <w:top w:w="0" w:type="dxa"/>
            <w:left w:w="108" w:type="dxa"/>
            <w:bottom w:w="0" w:type="dxa"/>
            <w:right w:w="108" w:type="dxa"/>
          </w:tblCellMar>
        </w:tblPrEx>
        <w:trPr>
          <w:trHeight w:val="3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9F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C1061D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7D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 1000W照明灯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CD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58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63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C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tcPr>
          <w:p w14:paraId="2F324697">
            <w:pPr>
              <w:jc w:val="center"/>
              <w:rPr>
                <w:color w:val="auto"/>
                <w:highlight w:val="none"/>
              </w:rPr>
            </w:pPr>
            <w:r>
              <w:rPr>
                <w:rFonts w:hint="eastAsia" w:ascii="宋体" w:hAnsi="宋体" w:cs="宋体"/>
                <w:color w:val="auto"/>
                <w:sz w:val="20"/>
                <w:szCs w:val="20"/>
                <w:highlight w:val="none"/>
              </w:rPr>
              <w:t>至现场：</w:t>
            </w:r>
            <w:r>
              <w:rPr>
                <w:rFonts w:ascii="宋体" w:hAnsi="宋体" w:cs="宋体"/>
                <w:color w:val="auto"/>
                <w:sz w:val="20"/>
                <w:szCs w:val="20"/>
                <w:highlight w:val="none"/>
              </w:rPr>
              <w:t>含灯具固定、线路连接及照明测试</w:t>
            </w:r>
          </w:p>
        </w:tc>
      </w:tr>
      <w:bookmarkEnd w:id="46"/>
      <w:tr w14:paraId="131097EF">
        <w:tblPrEx>
          <w:tblCellMar>
            <w:top w:w="0" w:type="dxa"/>
            <w:left w:w="108" w:type="dxa"/>
            <w:bottom w:w="0" w:type="dxa"/>
            <w:right w:w="108" w:type="dxa"/>
          </w:tblCellMar>
        </w:tblPrEx>
        <w:trPr>
          <w:trHeight w:val="102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7972">
            <w:pPr>
              <w:widowControl/>
              <w:adjustRightInd/>
              <w:jc w:val="center"/>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sz w:val="20"/>
                <w:szCs w:val="20"/>
                <w:highlight w:val="none"/>
              </w:rPr>
              <w:t>13</w:t>
            </w:r>
          </w:p>
        </w:tc>
        <w:tc>
          <w:tcPr>
            <w:tcW w:w="660" w:type="dxa"/>
            <w:vMerge w:val="restart"/>
            <w:tcBorders>
              <w:top w:val="single" w:color="auto" w:sz="4" w:space="0"/>
              <w:left w:val="nil"/>
              <w:bottom w:val="nil"/>
              <w:right w:val="nil"/>
            </w:tcBorders>
            <w:shd w:val="clear" w:color="auto" w:fill="auto"/>
            <w:vAlign w:val="center"/>
          </w:tcPr>
          <w:p w14:paraId="2C5555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候车亭、灯箱、座椅维修</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D7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候车亭灯箱、站架6mm钢化玻璃更换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76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78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76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A4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CE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1.6mm钢化玻璃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2.现场复尺、制作安装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3.按实际尺寸进行线路站点上更换</w:t>
            </w:r>
          </w:p>
        </w:tc>
      </w:tr>
      <w:tr w14:paraId="74FD1194">
        <w:tblPrEx>
          <w:tblCellMar>
            <w:top w:w="0" w:type="dxa"/>
            <w:left w:w="108" w:type="dxa"/>
            <w:bottom w:w="0" w:type="dxa"/>
            <w:right w:w="108" w:type="dxa"/>
          </w:tblCellMar>
        </w:tblPrEx>
        <w:trPr>
          <w:trHeight w:val="11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622">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14</w:t>
            </w:r>
          </w:p>
        </w:tc>
        <w:tc>
          <w:tcPr>
            <w:tcW w:w="660" w:type="dxa"/>
            <w:vMerge w:val="continue"/>
            <w:tcBorders>
              <w:top w:val="nil"/>
              <w:left w:val="nil"/>
              <w:bottom w:val="nil"/>
              <w:right w:val="nil"/>
            </w:tcBorders>
            <w:shd w:val="clear" w:color="auto" w:fill="auto"/>
            <w:vAlign w:val="center"/>
          </w:tcPr>
          <w:p w14:paraId="14D98AE4">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B1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候车亭灯箱、站架8mm钢化玻璃更换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8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06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9F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46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30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1.8mm钢化玻璃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2.现场复尺、制作安装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3.按实际尺寸进行线路站点上更换</w:t>
            </w:r>
          </w:p>
        </w:tc>
      </w:tr>
      <w:tr w14:paraId="564BA24E">
        <w:tblPrEx>
          <w:tblCellMar>
            <w:top w:w="0" w:type="dxa"/>
            <w:left w:w="108" w:type="dxa"/>
            <w:bottom w:w="0" w:type="dxa"/>
            <w:right w:w="108" w:type="dxa"/>
          </w:tblCellMar>
        </w:tblPrEx>
        <w:trPr>
          <w:trHeight w:val="11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F4D">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15</w:t>
            </w:r>
          </w:p>
        </w:tc>
        <w:tc>
          <w:tcPr>
            <w:tcW w:w="660" w:type="dxa"/>
            <w:vMerge w:val="continue"/>
            <w:tcBorders>
              <w:top w:val="nil"/>
              <w:left w:val="nil"/>
              <w:bottom w:val="nil"/>
              <w:right w:val="nil"/>
            </w:tcBorders>
            <w:shd w:val="clear" w:color="auto" w:fill="auto"/>
            <w:vAlign w:val="center"/>
          </w:tcPr>
          <w:p w14:paraId="70828F3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13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候车亭亭体氟碳漆刷漆（生锈）</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AB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4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C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5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230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1.金属面脱漆、除锈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2.防锈漆1遍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3.刷氟碳漆1遍</w:t>
            </w:r>
          </w:p>
        </w:tc>
      </w:tr>
      <w:tr w14:paraId="550EF54E">
        <w:tblPrEx>
          <w:tblCellMar>
            <w:top w:w="0" w:type="dxa"/>
            <w:left w:w="108" w:type="dxa"/>
            <w:bottom w:w="0" w:type="dxa"/>
            <w:right w:w="108" w:type="dxa"/>
          </w:tblCellMar>
        </w:tblPrEx>
        <w:trPr>
          <w:trHeight w:val="8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CC9">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16</w:t>
            </w:r>
          </w:p>
        </w:tc>
        <w:tc>
          <w:tcPr>
            <w:tcW w:w="660" w:type="dxa"/>
            <w:vMerge w:val="continue"/>
            <w:tcBorders>
              <w:top w:val="nil"/>
              <w:left w:val="nil"/>
              <w:bottom w:val="nil"/>
              <w:right w:val="nil"/>
            </w:tcBorders>
            <w:shd w:val="clear" w:color="auto" w:fill="auto"/>
            <w:vAlign w:val="center"/>
          </w:tcPr>
          <w:p w14:paraId="546509CD">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C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候车亭亭体氟碳漆刷漆（未生锈）</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E6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27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67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3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0E3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1.金属面脱漆、除锈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2.刷氟碳漆1遍</w:t>
            </w:r>
          </w:p>
        </w:tc>
      </w:tr>
      <w:tr w14:paraId="4DDA514B">
        <w:tblPrEx>
          <w:tblCellMar>
            <w:top w:w="0" w:type="dxa"/>
            <w:left w:w="108" w:type="dxa"/>
            <w:bottom w:w="0" w:type="dxa"/>
            <w:right w:w="108" w:type="dxa"/>
          </w:tblCellMar>
        </w:tblPrEx>
        <w:trPr>
          <w:trHeight w:val="42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0DA6">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17</w:t>
            </w:r>
          </w:p>
        </w:tc>
        <w:tc>
          <w:tcPr>
            <w:tcW w:w="660" w:type="dxa"/>
            <w:vMerge w:val="continue"/>
            <w:tcBorders>
              <w:top w:val="nil"/>
              <w:left w:val="nil"/>
              <w:bottom w:val="nil"/>
              <w:right w:val="nil"/>
            </w:tcBorders>
            <w:shd w:val="clear" w:color="auto" w:fill="auto"/>
            <w:vAlign w:val="center"/>
          </w:tcPr>
          <w:p w14:paraId="329A4EB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9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候车亭灯箱玻璃黑边修补更换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2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7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2F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12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5B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1.至线路站点对灯箱黑边进行黑色不干胶纸站点张贴,宽度约10C，按实际长度结算</w:t>
            </w:r>
          </w:p>
        </w:tc>
      </w:tr>
      <w:tr w14:paraId="38D85BAD">
        <w:tblPrEx>
          <w:tblCellMar>
            <w:top w:w="0" w:type="dxa"/>
            <w:left w:w="108" w:type="dxa"/>
            <w:bottom w:w="0" w:type="dxa"/>
            <w:right w:w="108" w:type="dxa"/>
          </w:tblCellMar>
        </w:tblPrEx>
        <w:trPr>
          <w:trHeight w:val="42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C0F8">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18</w:t>
            </w:r>
          </w:p>
        </w:tc>
        <w:tc>
          <w:tcPr>
            <w:tcW w:w="660" w:type="dxa"/>
            <w:vMerge w:val="continue"/>
            <w:tcBorders>
              <w:top w:val="nil"/>
              <w:left w:val="nil"/>
              <w:bottom w:val="nil"/>
              <w:right w:val="nil"/>
            </w:tcBorders>
            <w:shd w:val="clear" w:color="auto" w:fill="auto"/>
            <w:vAlign w:val="center"/>
          </w:tcPr>
          <w:p w14:paraId="76924864">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8D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201不锈钢顶棚更换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C3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55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C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F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0C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至线路站点对原候车亭顶棚进行拆除更换。</w:t>
            </w:r>
          </w:p>
        </w:tc>
      </w:tr>
      <w:tr w14:paraId="28D62C90">
        <w:tblPrEx>
          <w:tblCellMar>
            <w:top w:w="0" w:type="dxa"/>
            <w:left w:w="108" w:type="dxa"/>
            <w:bottom w:w="0" w:type="dxa"/>
            <w:right w:w="108" w:type="dxa"/>
          </w:tblCellMar>
        </w:tblPrEx>
        <w:trPr>
          <w:trHeight w:val="60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9B9C">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19</w:t>
            </w:r>
          </w:p>
        </w:tc>
        <w:tc>
          <w:tcPr>
            <w:tcW w:w="660" w:type="dxa"/>
            <w:vMerge w:val="continue"/>
            <w:tcBorders>
              <w:top w:val="nil"/>
              <w:left w:val="nil"/>
              <w:bottom w:val="nil"/>
              <w:right w:val="nil"/>
            </w:tcBorders>
            <w:shd w:val="clear" w:color="auto" w:fill="auto"/>
            <w:vAlign w:val="center"/>
          </w:tcPr>
          <w:p w14:paraId="537ED951">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7D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304不锈钢顶棚更换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B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9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5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AC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F4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至线路站点对原候车亭顶棚进行拆除更换。</w:t>
            </w:r>
          </w:p>
        </w:tc>
      </w:tr>
      <w:tr w14:paraId="3BDB2521">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A4D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20</w:t>
            </w:r>
          </w:p>
        </w:tc>
        <w:tc>
          <w:tcPr>
            <w:tcW w:w="660" w:type="dxa"/>
            <w:vMerge w:val="continue"/>
            <w:tcBorders>
              <w:top w:val="nil"/>
              <w:left w:val="nil"/>
              <w:bottom w:val="nil"/>
              <w:right w:val="nil"/>
            </w:tcBorders>
            <w:shd w:val="clear" w:color="auto" w:fill="auto"/>
            <w:vAlign w:val="center"/>
          </w:tcPr>
          <w:p w14:paraId="4CC410F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4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4.0mmPC耐力板更换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9E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26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C8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37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D68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至线路站点对原候车亭顶棚进行拆除更换。</w:t>
            </w:r>
          </w:p>
        </w:tc>
      </w:tr>
      <w:tr w14:paraId="7F7E7827">
        <w:tblPrEx>
          <w:tblCellMar>
            <w:top w:w="0" w:type="dxa"/>
            <w:left w:w="108" w:type="dxa"/>
            <w:bottom w:w="0" w:type="dxa"/>
            <w:right w:w="108" w:type="dxa"/>
          </w:tblCellMar>
        </w:tblPrEx>
        <w:trPr>
          <w:trHeight w:val="5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BCC2">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21</w:t>
            </w:r>
          </w:p>
        </w:tc>
        <w:tc>
          <w:tcPr>
            <w:tcW w:w="660" w:type="dxa"/>
            <w:vMerge w:val="continue"/>
            <w:tcBorders>
              <w:top w:val="nil"/>
              <w:left w:val="nil"/>
              <w:bottom w:val="nil"/>
              <w:right w:val="nil"/>
            </w:tcBorders>
            <w:shd w:val="clear" w:color="auto" w:fill="auto"/>
            <w:vAlign w:val="center"/>
          </w:tcPr>
          <w:p w14:paraId="6A11E418">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C1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0.6CM阳光板更换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B8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D2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9E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7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58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至线路站点对原候车亭顶棚进行拆除更换。</w:t>
            </w:r>
          </w:p>
        </w:tc>
      </w:tr>
      <w:tr w14:paraId="1DE8B43E">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22D2">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22</w:t>
            </w:r>
          </w:p>
        </w:tc>
        <w:tc>
          <w:tcPr>
            <w:tcW w:w="660" w:type="dxa"/>
            <w:vMerge w:val="continue"/>
            <w:tcBorders>
              <w:top w:val="nil"/>
              <w:left w:val="nil"/>
              <w:bottom w:val="nil"/>
              <w:right w:val="nil"/>
            </w:tcBorders>
            <w:shd w:val="clear" w:color="auto" w:fill="auto"/>
            <w:vAlign w:val="center"/>
          </w:tcPr>
          <w:p w14:paraId="3E1DB5C1">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02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0.8CM阳光板更换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FF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62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B5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14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180.00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689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至线路站点对原候车亭顶棚进行拆除更换。</w:t>
            </w:r>
          </w:p>
        </w:tc>
      </w:tr>
      <w:tr w14:paraId="39350BF8">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7E9">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23</w:t>
            </w:r>
          </w:p>
        </w:tc>
        <w:tc>
          <w:tcPr>
            <w:tcW w:w="660" w:type="dxa"/>
            <w:vMerge w:val="continue"/>
            <w:tcBorders>
              <w:top w:val="nil"/>
              <w:left w:val="nil"/>
              <w:bottom w:val="nil"/>
              <w:right w:val="nil"/>
            </w:tcBorders>
            <w:shd w:val="clear" w:color="auto" w:fill="auto"/>
            <w:vAlign w:val="center"/>
          </w:tcPr>
          <w:p w14:paraId="7E2CFB4C">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DD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1CM阳光板更换</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C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3B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C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F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086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至线路站点对原候车亭顶棚进行拆除更换。</w:t>
            </w:r>
          </w:p>
        </w:tc>
      </w:tr>
      <w:tr w14:paraId="5A12DDCF">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F5B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24</w:t>
            </w:r>
          </w:p>
        </w:tc>
        <w:tc>
          <w:tcPr>
            <w:tcW w:w="660" w:type="dxa"/>
            <w:vMerge w:val="continue"/>
            <w:tcBorders>
              <w:top w:val="nil"/>
              <w:left w:val="nil"/>
              <w:bottom w:val="nil"/>
              <w:right w:val="nil"/>
            </w:tcBorders>
            <w:shd w:val="clear" w:color="auto" w:fill="auto"/>
            <w:vAlign w:val="center"/>
          </w:tcPr>
          <w:p w14:paraId="6CFF8C2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6B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座椅1M（镀锌钢管）制作组装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2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78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9A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C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D12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含座椅主体至线路站点组装完成</w:t>
            </w:r>
          </w:p>
        </w:tc>
      </w:tr>
      <w:tr w14:paraId="4CE2FAE1">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6C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25</w:t>
            </w:r>
          </w:p>
        </w:tc>
        <w:tc>
          <w:tcPr>
            <w:tcW w:w="660" w:type="dxa"/>
            <w:vMerge w:val="continue"/>
            <w:tcBorders>
              <w:top w:val="nil"/>
              <w:left w:val="nil"/>
              <w:bottom w:val="nil"/>
              <w:right w:val="nil"/>
            </w:tcBorders>
            <w:shd w:val="clear" w:color="auto" w:fill="auto"/>
            <w:vAlign w:val="center"/>
          </w:tcPr>
          <w:p w14:paraId="029302E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2C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座椅1.2M（镀锌钢管）制作组装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3E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64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E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960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FE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960.00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44D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含座椅主体至线路站点组装完成</w:t>
            </w:r>
          </w:p>
        </w:tc>
      </w:tr>
      <w:tr w14:paraId="690125EB">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05F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26</w:t>
            </w:r>
          </w:p>
        </w:tc>
        <w:tc>
          <w:tcPr>
            <w:tcW w:w="660" w:type="dxa"/>
            <w:vMerge w:val="continue"/>
            <w:tcBorders>
              <w:top w:val="nil"/>
              <w:left w:val="nil"/>
              <w:bottom w:val="nil"/>
              <w:right w:val="nil"/>
            </w:tcBorders>
            <w:shd w:val="clear" w:color="auto" w:fill="auto"/>
            <w:vAlign w:val="center"/>
          </w:tcPr>
          <w:p w14:paraId="31011E35">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28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座椅1.5M（镀锌钢管）制作组装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9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68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2D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F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429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含座椅主体至线路站点组装完成</w:t>
            </w:r>
          </w:p>
        </w:tc>
      </w:tr>
      <w:tr w14:paraId="33B9EB17">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512">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27</w:t>
            </w:r>
          </w:p>
        </w:tc>
        <w:tc>
          <w:tcPr>
            <w:tcW w:w="660" w:type="dxa"/>
            <w:vMerge w:val="continue"/>
            <w:tcBorders>
              <w:top w:val="nil"/>
              <w:left w:val="nil"/>
              <w:bottom w:val="nil"/>
              <w:right w:val="nil"/>
            </w:tcBorders>
            <w:shd w:val="clear" w:color="auto" w:fill="auto"/>
            <w:vAlign w:val="center"/>
          </w:tcPr>
          <w:p w14:paraId="7CE3A905">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F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座椅1.8M（镀锌钢管）制作组装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7B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C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01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C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1250.00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FB6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含座椅主体至线路站点组装完成</w:t>
            </w:r>
          </w:p>
        </w:tc>
      </w:tr>
      <w:tr w14:paraId="540EB0BD">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5896">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28</w:t>
            </w:r>
          </w:p>
        </w:tc>
        <w:tc>
          <w:tcPr>
            <w:tcW w:w="660" w:type="dxa"/>
            <w:vMerge w:val="continue"/>
            <w:tcBorders>
              <w:top w:val="nil"/>
              <w:left w:val="nil"/>
              <w:bottom w:val="nil"/>
              <w:right w:val="nil"/>
            </w:tcBorders>
            <w:shd w:val="clear" w:color="auto" w:fill="auto"/>
            <w:vAlign w:val="center"/>
          </w:tcPr>
          <w:p w14:paraId="31B57381">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67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座椅2.2M（镀锌钢管）制作组装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93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1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30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4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1400.00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F5E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含座椅主体至线路站点组装完成</w:t>
            </w:r>
          </w:p>
        </w:tc>
      </w:tr>
      <w:tr w14:paraId="2C22C2C4">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7B9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29</w:t>
            </w:r>
          </w:p>
        </w:tc>
        <w:tc>
          <w:tcPr>
            <w:tcW w:w="660" w:type="dxa"/>
            <w:vMerge w:val="continue"/>
            <w:tcBorders>
              <w:top w:val="nil"/>
              <w:left w:val="nil"/>
              <w:bottom w:val="nil"/>
              <w:right w:val="nil"/>
            </w:tcBorders>
            <w:shd w:val="clear" w:color="auto" w:fill="auto"/>
            <w:vAlign w:val="center"/>
          </w:tcPr>
          <w:p w14:paraId="26092A8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27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座椅2.5M（镀锌钢管）制作组装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7F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8D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1B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3E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E1D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含座椅主体至线路站点组装完成</w:t>
            </w:r>
          </w:p>
        </w:tc>
      </w:tr>
      <w:tr w14:paraId="311E296C">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9616">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30</w:t>
            </w:r>
          </w:p>
        </w:tc>
        <w:tc>
          <w:tcPr>
            <w:tcW w:w="660" w:type="dxa"/>
            <w:vMerge w:val="continue"/>
            <w:tcBorders>
              <w:top w:val="nil"/>
              <w:left w:val="nil"/>
              <w:bottom w:val="nil"/>
              <w:right w:val="nil"/>
            </w:tcBorders>
            <w:shd w:val="clear" w:color="auto" w:fill="auto"/>
            <w:vAlign w:val="center"/>
          </w:tcPr>
          <w:p w14:paraId="179E2FA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91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座椅塑木条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1E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48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F8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2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AD3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座椅木条拆除更换</w:t>
            </w:r>
          </w:p>
        </w:tc>
      </w:tr>
      <w:tr w14:paraId="6F8C61D5">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66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31</w:t>
            </w:r>
          </w:p>
        </w:tc>
        <w:tc>
          <w:tcPr>
            <w:tcW w:w="660" w:type="dxa"/>
            <w:vMerge w:val="continue"/>
            <w:tcBorders>
              <w:top w:val="nil"/>
              <w:left w:val="nil"/>
              <w:bottom w:val="nil"/>
              <w:right w:val="nil"/>
            </w:tcBorders>
            <w:shd w:val="clear" w:color="auto" w:fill="auto"/>
            <w:vAlign w:val="center"/>
          </w:tcPr>
          <w:p w14:paraId="49C322BB">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CA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更换灯箱摇皮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8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8A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29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A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145.00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5D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至线路站点拆除原摇皮，更换新摇皮</w:t>
            </w:r>
          </w:p>
        </w:tc>
      </w:tr>
      <w:tr w14:paraId="6B32F646">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0EB2">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32</w:t>
            </w:r>
          </w:p>
        </w:tc>
        <w:tc>
          <w:tcPr>
            <w:tcW w:w="660" w:type="dxa"/>
            <w:vMerge w:val="continue"/>
            <w:tcBorders>
              <w:top w:val="nil"/>
              <w:left w:val="nil"/>
              <w:bottom w:val="nil"/>
              <w:right w:val="nil"/>
            </w:tcBorders>
            <w:shd w:val="clear" w:color="auto" w:fill="auto"/>
            <w:vAlign w:val="center"/>
          </w:tcPr>
          <w:p w14:paraId="4F83FA3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8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更换灯箱锁扣</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C9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79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21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35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145.00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879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至线路站点拆除原锁扣，更换新锁扣</w:t>
            </w:r>
          </w:p>
        </w:tc>
      </w:tr>
      <w:tr w14:paraId="0F3D166F">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4CD">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33</w:t>
            </w:r>
          </w:p>
        </w:tc>
        <w:tc>
          <w:tcPr>
            <w:tcW w:w="660" w:type="dxa"/>
            <w:vMerge w:val="continue"/>
            <w:tcBorders>
              <w:top w:val="nil"/>
              <w:left w:val="nil"/>
              <w:bottom w:val="nil"/>
              <w:right w:val="nil"/>
            </w:tcBorders>
            <w:shd w:val="clear" w:color="auto" w:fill="auto"/>
            <w:vAlign w:val="center"/>
          </w:tcPr>
          <w:p w14:paraId="60F6381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D9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更换灯箱撑杆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1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5F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FF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2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145.00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445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至线路站点拆除原撑杆，更换新撑杆</w:t>
            </w:r>
          </w:p>
        </w:tc>
      </w:tr>
      <w:tr w14:paraId="2EEC8DD0">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F397">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34</w:t>
            </w:r>
          </w:p>
        </w:tc>
        <w:tc>
          <w:tcPr>
            <w:tcW w:w="660" w:type="dxa"/>
            <w:vMerge w:val="continue"/>
            <w:tcBorders>
              <w:top w:val="nil"/>
              <w:left w:val="nil"/>
              <w:bottom w:val="nil"/>
              <w:right w:val="nil"/>
            </w:tcBorders>
            <w:shd w:val="clear" w:color="auto" w:fill="auto"/>
            <w:vAlign w:val="center"/>
          </w:tcPr>
          <w:p w14:paraId="6747A411">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4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维修灯箱撑杆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45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73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81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89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7E8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至线路站点维修撑杆，合闭站箱</w:t>
            </w:r>
          </w:p>
        </w:tc>
      </w:tr>
      <w:tr w14:paraId="71FC8654">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CD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35</w:t>
            </w:r>
          </w:p>
        </w:tc>
        <w:tc>
          <w:tcPr>
            <w:tcW w:w="660" w:type="dxa"/>
            <w:vMerge w:val="continue"/>
            <w:tcBorders>
              <w:top w:val="nil"/>
              <w:left w:val="nil"/>
              <w:bottom w:val="nil"/>
              <w:right w:val="nil"/>
            </w:tcBorders>
            <w:shd w:val="clear" w:color="auto" w:fill="auto"/>
            <w:vAlign w:val="center"/>
          </w:tcPr>
          <w:p w14:paraId="58F82DFC">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70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候车亭预埋件制作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5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3D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62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E8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120.00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FE7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至线路站点预埋件制作40cm*40cm,预埋脚深度60cm</w:t>
            </w:r>
          </w:p>
        </w:tc>
      </w:tr>
      <w:tr w14:paraId="2B799286">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DB5">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36</w:t>
            </w:r>
          </w:p>
        </w:tc>
        <w:tc>
          <w:tcPr>
            <w:tcW w:w="660" w:type="dxa"/>
            <w:vMerge w:val="continue"/>
            <w:tcBorders>
              <w:top w:val="nil"/>
              <w:left w:val="nil"/>
              <w:bottom w:val="nil"/>
              <w:right w:val="nil"/>
            </w:tcBorders>
            <w:shd w:val="clear" w:color="auto" w:fill="auto"/>
            <w:vAlign w:val="center"/>
          </w:tcPr>
          <w:p w14:paraId="05D7787A">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1F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候车亭预埋件预埋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A6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12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4D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4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480.00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8F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至线路站点进行预埋件预埋40cm*40cm,预埋脚深度60cm</w:t>
            </w:r>
          </w:p>
        </w:tc>
      </w:tr>
      <w:tr w14:paraId="3C1EC803">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49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37</w:t>
            </w:r>
          </w:p>
        </w:tc>
        <w:tc>
          <w:tcPr>
            <w:tcW w:w="660" w:type="dxa"/>
            <w:vMerge w:val="continue"/>
            <w:tcBorders>
              <w:top w:val="nil"/>
              <w:left w:val="nil"/>
              <w:bottom w:val="nil"/>
              <w:right w:val="nil"/>
            </w:tcBorders>
            <w:shd w:val="clear" w:color="auto" w:fill="auto"/>
            <w:vAlign w:val="center"/>
          </w:tcPr>
          <w:p w14:paraId="2FAA74F5">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F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座椅拆除</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5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67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B0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E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6C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至线路站点进行原座椅拆除</w:t>
            </w:r>
          </w:p>
        </w:tc>
      </w:tr>
      <w:tr w14:paraId="71F197E6">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3492">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38</w:t>
            </w:r>
          </w:p>
        </w:tc>
        <w:tc>
          <w:tcPr>
            <w:tcW w:w="660" w:type="dxa"/>
            <w:vMerge w:val="continue"/>
            <w:tcBorders>
              <w:top w:val="nil"/>
              <w:left w:val="nil"/>
              <w:bottom w:val="nil"/>
              <w:right w:val="nil"/>
            </w:tcBorders>
            <w:shd w:val="clear" w:color="auto" w:fill="auto"/>
            <w:vAlign w:val="center"/>
          </w:tcPr>
          <w:p w14:paraId="3AF70204">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BB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座椅预埋、安装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84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EA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0CB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38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480.00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80D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至线路站点进行座椅安装</w:t>
            </w:r>
          </w:p>
        </w:tc>
      </w:tr>
      <w:tr w14:paraId="215F13AB">
        <w:tblPrEx>
          <w:tblCellMar>
            <w:top w:w="0" w:type="dxa"/>
            <w:left w:w="108" w:type="dxa"/>
            <w:bottom w:w="0" w:type="dxa"/>
            <w:right w:w="108" w:type="dxa"/>
          </w:tblCellMar>
        </w:tblPrEx>
        <w:trPr>
          <w:trHeight w:val="5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A4B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39</w:t>
            </w:r>
          </w:p>
        </w:tc>
        <w:tc>
          <w:tcPr>
            <w:tcW w:w="660" w:type="dxa"/>
            <w:vMerge w:val="continue"/>
            <w:tcBorders>
              <w:top w:val="nil"/>
              <w:left w:val="nil"/>
              <w:bottom w:val="nil"/>
              <w:right w:val="nil"/>
            </w:tcBorders>
            <w:shd w:val="clear" w:color="auto" w:fill="auto"/>
            <w:vAlign w:val="center"/>
          </w:tcPr>
          <w:p w14:paraId="248CBC5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CF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6m以下候车亭整体移位</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6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5E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1E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90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9A4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新址破路面，原有候车亭设施拆除、移位安装（含灯箱、座椅）含新址基础施工；旧址路面复原等</w:t>
            </w:r>
          </w:p>
        </w:tc>
      </w:tr>
      <w:tr w14:paraId="039368BB">
        <w:tblPrEx>
          <w:tblCellMar>
            <w:top w:w="0" w:type="dxa"/>
            <w:left w:w="108" w:type="dxa"/>
            <w:bottom w:w="0" w:type="dxa"/>
            <w:right w:w="108" w:type="dxa"/>
          </w:tblCellMar>
        </w:tblPrEx>
        <w:trPr>
          <w:trHeight w:val="58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D5B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40</w:t>
            </w:r>
          </w:p>
        </w:tc>
        <w:tc>
          <w:tcPr>
            <w:tcW w:w="660" w:type="dxa"/>
            <w:vMerge w:val="continue"/>
            <w:tcBorders>
              <w:top w:val="nil"/>
              <w:left w:val="nil"/>
              <w:bottom w:val="nil"/>
              <w:right w:val="nil"/>
            </w:tcBorders>
            <w:shd w:val="clear" w:color="auto" w:fill="auto"/>
            <w:vAlign w:val="center"/>
          </w:tcPr>
          <w:p w14:paraId="587AF8A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65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6m~12m以下候车亭整体移位</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F5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9C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7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EE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1ED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新址破路面，原有候车亭设施拆除、移位安装（含灯箱、座椅）含新址基础施工；旧址路面复原等</w:t>
            </w:r>
          </w:p>
        </w:tc>
      </w:tr>
      <w:tr w14:paraId="5905A9A2">
        <w:tblPrEx>
          <w:tblCellMar>
            <w:top w:w="0" w:type="dxa"/>
            <w:left w:w="108" w:type="dxa"/>
            <w:bottom w:w="0" w:type="dxa"/>
            <w:right w:w="108" w:type="dxa"/>
          </w:tblCellMar>
        </w:tblPrEx>
        <w:trPr>
          <w:trHeight w:val="58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005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41</w:t>
            </w:r>
          </w:p>
        </w:tc>
        <w:tc>
          <w:tcPr>
            <w:tcW w:w="660" w:type="dxa"/>
            <w:vMerge w:val="continue"/>
            <w:tcBorders>
              <w:top w:val="nil"/>
              <w:left w:val="nil"/>
              <w:bottom w:val="nil"/>
              <w:right w:val="nil"/>
            </w:tcBorders>
            <w:shd w:val="clear" w:color="auto" w:fill="auto"/>
            <w:vAlign w:val="center"/>
          </w:tcPr>
          <w:p w14:paraId="3248DF5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A1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12m以上候车亭整体移位</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FE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09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0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6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E3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新址破路面，原有候车亭设施拆除、移位安装（含灯箱、座椅）含新址基础施工；旧址路面复原等</w:t>
            </w:r>
          </w:p>
        </w:tc>
      </w:tr>
      <w:tr w14:paraId="59592078">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74F">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9F0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站架、站杆、站牌制作</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14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6块式不锈钢箱式站架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2E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9A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F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E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1900.00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9AB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含站架主体1只、内框1只、站牌板12块、预埋件2只</w:t>
            </w:r>
          </w:p>
        </w:tc>
      </w:tr>
      <w:tr w14:paraId="780341D2">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00EC">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D9B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A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7块式不锈钢箱式站架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1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7F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C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A9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679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含站架主体1只、内框1只、站牌板14块、预埋件2只</w:t>
            </w:r>
          </w:p>
        </w:tc>
      </w:tr>
      <w:tr w14:paraId="6EEC0A74">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65C">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1B38">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77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8块式不锈钢箱式站架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AC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FD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9A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CA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2300.00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05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含站架主体1只、内框1只、站牌板16块、预埋件2只</w:t>
            </w:r>
          </w:p>
        </w:tc>
      </w:tr>
      <w:tr w14:paraId="3A4505EB">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58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79A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62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6块式不锈钢箱式站架内框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DC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72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0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8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DD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含框架、站牌板12块</w:t>
            </w:r>
          </w:p>
        </w:tc>
      </w:tr>
      <w:tr w14:paraId="77895F2E">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D44F">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C47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22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7块式不锈钢箱式站架内框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AA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37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66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2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3B5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含框架、站牌板14块</w:t>
            </w:r>
          </w:p>
        </w:tc>
      </w:tr>
      <w:tr w14:paraId="0D4B68B4">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AE7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F0B5">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E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8块式不锈钢箱式站架内框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EB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BA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8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04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05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含框架、站牌板16块</w:t>
            </w:r>
          </w:p>
        </w:tc>
      </w:tr>
      <w:tr w14:paraId="3BABC0AA">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068">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BFD4">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C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普通不锈钢站架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8A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CD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2C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21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1200.00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BA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站架主体为双立杆，站架名为弧度底座，预埋件2只</w:t>
            </w:r>
          </w:p>
        </w:tc>
      </w:tr>
      <w:tr w14:paraId="783ABED0">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393E">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7695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6B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4MM站架站牌板(有机玻璃板）</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3A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E8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C6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3B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E9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含站牌板主材费、裁剪人工费，站牌尺寸根据实际尺寸进行参照核算</w:t>
            </w:r>
          </w:p>
        </w:tc>
      </w:tr>
      <w:tr w14:paraId="051C4E13">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BA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814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E2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不锈钢箱式站架预埋件（2只）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E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副</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9B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5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57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140.00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6FA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一副2只，20cm*20cm,脚深度40cm</w:t>
            </w:r>
          </w:p>
        </w:tc>
      </w:tr>
      <w:tr w14:paraId="0164B1D2">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BFE">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CD94">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B2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站杆制作（2米）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BB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85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BC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08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EB6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站杆主体高2米，采用Φ50钢管，底部十字架，站杆绿漆涂刷</w:t>
            </w:r>
          </w:p>
        </w:tc>
      </w:tr>
      <w:tr w14:paraId="3E529185">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89ED">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5F6D">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55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站杆制作（2.3米）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D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6A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7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C8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117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站杆主体高2.3米，采用Φ50钢管，底部十字架，站杆绿漆涂刷</w:t>
            </w:r>
          </w:p>
        </w:tc>
      </w:tr>
      <w:tr w14:paraId="193F13A8">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57A">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B1210">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31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墩子式临时站杆制作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5D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F1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B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02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180.00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D5B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含站杆主体高度2——Φ50钢管，底部水泥墩底座40cm*40cm</w:t>
            </w:r>
          </w:p>
        </w:tc>
      </w:tr>
      <w:tr w14:paraId="33C092C6">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52BC">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C7679">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F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铁牌单架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4B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A6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27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3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3A0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可安装1块站牌，含站牌框架、连接头子</w:t>
            </w:r>
          </w:p>
        </w:tc>
      </w:tr>
      <w:tr w14:paraId="0672C885">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8863">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2E38">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53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铁牌双架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0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B7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A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B1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120.00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77A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可安装2块站牌，含站牌框架、连接头子</w:t>
            </w:r>
          </w:p>
        </w:tc>
      </w:tr>
      <w:tr w14:paraId="0E6183D5">
        <w:tblPrEx>
          <w:tblCellMar>
            <w:top w:w="0" w:type="dxa"/>
            <w:left w:w="108" w:type="dxa"/>
            <w:bottom w:w="0" w:type="dxa"/>
            <w:right w:w="108" w:type="dxa"/>
          </w:tblCellMar>
        </w:tblPrEx>
        <w:trPr>
          <w:trHeight w:val="765"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854">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75730">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5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写真站牌设计制作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D2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AC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EF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55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 </w:t>
            </w:r>
          </w:p>
        </w:tc>
        <w:tc>
          <w:tcPr>
            <w:tcW w:w="5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91F0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各类式样的站牌设计制作，面积：≤0.2㎡。单一站架的站牌＞0.2㎡按实际平方数计费。</w:t>
            </w:r>
          </w:p>
        </w:tc>
      </w:tr>
      <w:tr w14:paraId="287D63DA">
        <w:tblPrEx>
          <w:tblCellMar>
            <w:top w:w="0" w:type="dxa"/>
            <w:left w:w="108" w:type="dxa"/>
            <w:bottom w:w="0" w:type="dxa"/>
            <w:right w:w="108" w:type="dxa"/>
          </w:tblCellMar>
        </w:tblPrEx>
        <w:trPr>
          <w:trHeight w:val="48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5E0">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069F">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8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铁制站牌设计制作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E3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0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9E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8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65.00 </w:t>
            </w:r>
          </w:p>
        </w:tc>
        <w:tc>
          <w:tcPr>
            <w:tcW w:w="5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883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铁质材料，厚度为1mm，尺寸61cm*28cm,外面覆盖写真站牌（正面2面，包边处理）</w:t>
            </w:r>
          </w:p>
        </w:tc>
      </w:tr>
      <w:tr w14:paraId="7C60BAB9">
        <w:tblPrEx>
          <w:tblCellMar>
            <w:top w:w="0" w:type="dxa"/>
            <w:left w:w="108" w:type="dxa"/>
            <w:bottom w:w="0" w:type="dxa"/>
            <w:right w:w="108" w:type="dxa"/>
          </w:tblCellMar>
        </w:tblPrEx>
        <w:trPr>
          <w:trHeight w:val="5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A180">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BC50">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D5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刻字型站名制作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4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组</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89A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DD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1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 </w:t>
            </w:r>
          </w:p>
        </w:tc>
        <w:tc>
          <w:tcPr>
            <w:tcW w:w="5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BA1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刻字类站名，一般采用白底蓝字双层荧光字，每组2个站名，一般用于自建型不锈钢箱式站架或普通不锈钢站架</w:t>
            </w:r>
          </w:p>
        </w:tc>
      </w:tr>
      <w:tr w14:paraId="0854EC0E">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52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59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E07D">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4C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站牌贴补站名</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C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2F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6F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B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 </w:t>
            </w:r>
          </w:p>
        </w:tc>
        <w:tc>
          <w:tcPr>
            <w:tcW w:w="5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3A7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用于线路临时绕道调整的站名临时贴补</w:t>
            </w:r>
          </w:p>
        </w:tc>
      </w:tr>
      <w:tr w14:paraId="6AEB0750">
        <w:tblPrEx>
          <w:tblCellMar>
            <w:top w:w="0" w:type="dxa"/>
            <w:left w:w="108" w:type="dxa"/>
            <w:bottom w:w="0" w:type="dxa"/>
            <w:right w:w="108" w:type="dxa"/>
          </w:tblCellMar>
        </w:tblPrEx>
        <w:trPr>
          <w:trHeight w:val="72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334">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F9190">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82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首末班时间制作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1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CC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53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66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 </w:t>
            </w:r>
          </w:p>
        </w:tc>
        <w:tc>
          <w:tcPr>
            <w:tcW w:w="5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F1A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首末班时间内容的调整制作，面积一般&lt;0.02㎡。</w:t>
            </w:r>
          </w:p>
        </w:tc>
      </w:tr>
      <w:tr w14:paraId="0EED56C2">
        <w:tblPrEx>
          <w:tblCellMar>
            <w:top w:w="0" w:type="dxa"/>
            <w:left w:w="108" w:type="dxa"/>
            <w:bottom w:w="0" w:type="dxa"/>
            <w:right w:w="108" w:type="dxa"/>
          </w:tblCellMar>
        </w:tblPrEx>
        <w:trPr>
          <w:trHeight w:val="465"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574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A189">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5D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灯箱式站架内公益广告制作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B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13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4A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CA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18.00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BBD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一般采用喷绘布材质，对公益广告进行制作安装、更换</w:t>
            </w:r>
          </w:p>
        </w:tc>
      </w:tr>
      <w:tr w14:paraId="3685A9DB">
        <w:tblPrEx>
          <w:tblCellMar>
            <w:top w:w="0" w:type="dxa"/>
            <w:left w:w="108" w:type="dxa"/>
            <w:bottom w:w="0" w:type="dxa"/>
            <w:right w:w="108" w:type="dxa"/>
          </w:tblCellMar>
        </w:tblPrEx>
        <w:trPr>
          <w:trHeight w:val="78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BD4">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729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站杆、站牌维护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8A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写真站牌安装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64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79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D0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A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CEA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至线路站点上进行安装（揭除原站牌，张贴新站牌），单牌面积≤0.2㎡，单一站架的站牌＞0.2㎡按实际平方数计费。写真式大站名安装可参照此标准。</w:t>
            </w:r>
          </w:p>
        </w:tc>
      </w:tr>
      <w:tr w14:paraId="5406365C">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A188">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6D15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92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更换铁牌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60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AE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C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540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C6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至线路站点进行更换，含拆除原站牌，安装新站牌</w:t>
            </w:r>
          </w:p>
        </w:tc>
      </w:tr>
      <w:tr w14:paraId="6C49292F">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D4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F17F">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F8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安装或拆除铁牌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4D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F8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C5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3A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574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至线路站点进行施工，仅限单次安装或单次拆除</w:t>
            </w:r>
          </w:p>
        </w:tc>
      </w:tr>
      <w:tr w14:paraId="05582F1F">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2BD7">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7FB9">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CF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站牌贴补站名、首末班时间</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6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D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2B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8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E9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至线路站点进行贴补贴补小站名或首末班时间</w:t>
            </w:r>
          </w:p>
        </w:tc>
      </w:tr>
      <w:tr w14:paraId="70813B44">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0EEC">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0723">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B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灯箱式站架内公益广告安装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C9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25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AA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8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518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灯箱式站牌公益广告安装</w:t>
            </w:r>
          </w:p>
        </w:tc>
      </w:tr>
      <w:tr w14:paraId="389041C1">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5C4E">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0875">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0F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放置、撤回墩子式站杆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F2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45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F9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8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21F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至线路上单独旋转临时墩子或撤回临时墩子，含整套站杆站牌</w:t>
            </w:r>
          </w:p>
        </w:tc>
      </w:tr>
      <w:tr w14:paraId="58CB117C">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F9B">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093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D2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拆除站杆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A8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BF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77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8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726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含预埋式站杆进行整套（含站杆站牌）拆除，包括拆除后原站点地面平整</w:t>
            </w:r>
          </w:p>
        </w:tc>
      </w:tr>
      <w:tr w14:paraId="36E33965">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7A4">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69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0F77">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D7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安装站杆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FE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29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CA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AAA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110.00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90E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至线路站点上对新设站杆进行预埋，安装及预埋地面平整</w:t>
            </w:r>
          </w:p>
        </w:tc>
      </w:tr>
      <w:tr w14:paraId="22207724">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9C4A">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987A">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4B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油漆站杆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40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2A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5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D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CA2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至线路站点上进行锈蚀站杆进行重新刷漆（含站杆、头子、站牌架）</w:t>
            </w:r>
          </w:p>
        </w:tc>
      </w:tr>
      <w:tr w14:paraId="3A53FD26">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92E3">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5A1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站架维护</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B3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刻字型站名安装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02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2B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77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6E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13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至线路站点对站架要顶部刻字型站名进行安装，站架正反2个站名</w:t>
            </w:r>
          </w:p>
        </w:tc>
      </w:tr>
      <w:tr w14:paraId="46D50F25">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5205">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601F0">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57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站架预埋、安装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9D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54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67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52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40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至线路站点上进行站架预埋、安装，适用于不锈钢箱式站架、普通不锈钢站架</w:t>
            </w:r>
          </w:p>
        </w:tc>
      </w:tr>
      <w:tr w14:paraId="28D51DE8">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23E7">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845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C9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拆除站架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F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4E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C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F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180.00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C51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至线路站点上进行对站架进行拆除，适用于不锈钢箱式站架、普通不锈钢站架</w:t>
            </w:r>
          </w:p>
        </w:tc>
      </w:tr>
      <w:tr w14:paraId="0759B6F3">
        <w:tblPrEx>
          <w:tblCellMar>
            <w:top w:w="0" w:type="dxa"/>
            <w:left w:w="108" w:type="dxa"/>
            <w:bottom w:w="0" w:type="dxa"/>
            <w:right w:w="108" w:type="dxa"/>
          </w:tblCellMar>
        </w:tblPrEx>
        <w:trPr>
          <w:trHeight w:val="52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8426">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BE6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57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灯箱站架内加横档及小扣</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C2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5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92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97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170.00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F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对未设置站牌插板框架的灯箱站架进行改建，其中横档上中上焊接3根，底部加焊2个小扣档固定</w:t>
            </w:r>
          </w:p>
        </w:tc>
      </w:tr>
      <w:tr w14:paraId="123386D1">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C02E">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186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60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站架玻璃脱落打胶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04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C2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18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78E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F46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至线路站点对箱式站架玻璃脱胶情况进行打胶修复</w:t>
            </w:r>
          </w:p>
        </w:tc>
      </w:tr>
      <w:tr w14:paraId="1F73E32A">
        <w:tblPrEx>
          <w:tblCellMar>
            <w:top w:w="0" w:type="dxa"/>
            <w:left w:w="108" w:type="dxa"/>
            <w:bottom w:w="0" w:type="dxa"/>
            <w:right w:w="108" w:type="dxa"/>
          </w:tblCellMar>
        </w:tblPrEx>
        <w:trPr>
          <w:trHeight w:val="42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2019">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6BB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F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灯箱玻璃内部清洁</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C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D0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1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C2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C5D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至线路站点对箱式站架玻璃内部站牌、玻璃等进行清洁</w:t>
            </w:r>
          </w:p>
        </w:tc>
      </w:tr>
      <w:tr w14:paraId="4D00B63E">
        <w:tblPrEx>
          <w:tblCellMar>
            <w:top w:w="0" w:type="dxa"/>
            <w:left w:w="108" w:type="dxa"/>
            <w:bottom w:w="0" w:type="dxa"/>
            <w:right w:w="108" w:type="dxa"/>
          </w:tblCellMar>
        </w:tblPrEx>
        <w:trPr>
          <w:trHeight w:val="402"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1513">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B80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61F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更换站架顶部摇皮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E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6E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A7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F0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570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至线路站点上更换箱式站架顶部框体校皮更换，1只包括轴芯和两片合页</w:t>
            </w:r>
          </w:p>
        </w:tc>
      </w:tr>
      <w:tr w14:paraId="4ACC4611">
        <w:tblPrEx>
          <w:tblCellMar>
            <w:top w:w="0" w:type="dxa"/>
            <w:left w:w="108" w:type="dxa"/>
            <w:bottom w:w="0" w:type="dxa"/>
            <w:right w:w="108" w:type="dxa"/>
          </w:tblCellMar>
        </w:tblPrEx>
        <w:trPr>
          <w:trHeight w:val="36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24C7">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D83E">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44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更换站架底部锁扣</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AC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26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79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F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105.00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D20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至线路站点上更换箱式站架底部的不锈钢锁扣，1只包括公扣和母扣</w:t>
            </w:r>
          </w:p>
        </w:tc>
      </w:tr>
      <w:tr w14:paraId="7FF56A2E">
        <w:tblPrEx>
          <w:tblCellMar>
            <w:top w:w="0" w:type="dxa"/>
            <w:left w:w="108" w:type="dxa"/>
            <w:bottom w:w="0" w:type="dxa"/>
            <w:right w:w="108" w:type="dxa"/>
          </w:tblCellMar>
        </w:tblPrEx>
        <w:trPr>
          <w:trHeight w:val="36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DE6">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79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5166">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76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站架脱焊维修</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1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9A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A9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65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210.00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825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至线路站点上对脱焊的顶部或箱体进行焊接修复</w:t>
            </w:r>
          </w:p>
        </w:tc>
      </w:tr>
      <w:tr w14:paraId="36C3B3E3">
        <w:tblPrEx>
          <w:tblCellMar>
            <w:top w:w="0" w:type="dxa"/>
            <w:left w:w="108" w:type="dxa"/>
            <w:bottom w:w="0" w:type="dxa"/>
            <w:right w:w="108" w:type="dxa"/>
          </w:tblCellMar>
        </w:tblPrEx>
        <w:trPr>
          <w:trHeight w:val="36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CB6">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80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A152">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58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更换站架弧形底座</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D4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B1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B0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49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36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至线路站点上更换不锈钢箱式站架弧形底座</w:t>
            </w:r>
          </w:p>
        </w:tc>
      </w:tr>
      <w:tr w14:paraId="2A8292FB">
        <w:tblPrEx>
          <w:tblCellMar>
            <w:top w:w="0" w:type="dxa"/>
            <w:left w:w="108" w:type="dxa"/>
            <w:bottom w:w="0" w:type="dxa"/>
            <w:right w:w="108" w:type="dxa"/>
          </w:tblCellMar>
        </w:tblPrEx>
        <w:trPr>
          <w:trHeight w:val="36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50A">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81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0840">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AD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更换站架立柱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3F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12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E4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D7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03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返制作单位维修，对破损的站架立柱进行更换修复。</w:t>
            </w:r>
          </w:p>
        </w:tc>
      </w:tr>
      <w:tr w14:paraId="3C162ADF">
        <w:tblPrEx>
          <w:tblCellMar>
            <w:top w:w="0" w:type="dxa"/>
            <w:left w:w="108" w:type="dxa"/>
            <w:bottom w:w="0" w:type="dxa"/>
            <w:right w:w="108" w:type="dxa"/>
          </w:tblCellMar>
        </w:tblPrEx>
        <w:trPr>
          <w:trHeight w:val="36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C257">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82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5699">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3A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加长、修复站架脚</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23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28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49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C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420.00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11B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返制作单位维修，对切割破损的站架脚进行焊接加长和站架脚底板修复。</w:t>
            </w:r>
          </w:p>
        </w:tc>
      </w:tr>
      <w:tr w14:paraId="46BC77E9">
        <w:tblPrEx>
          <w:tblCellMar>
            <w:top w:w="0" w:type="dxa"/>
            <w:left w:w="108" w:type="dxa"/>
            <w:bottom w:w="0" w:type="dxa"/>
            <w:right w:w="108" w:type="dxa"/>
          </w:tblCellMar>
        </w:tblPrEx>
        <w:trPr>
          <w:trHeight w:val="540" w:hRule="atLeast"/>
          <w:jc w:val="righ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0851">
            <w:pPr>
              <w:jc w:val="center"/>
              <w:rPr>
                <w:rFonts w:hint="eastAsia"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83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B5EB1">
            <w:pPr>
              <w:jc w:val="center"/>
              <w:rPr>
                <w:rFonts w:ascii="宋体" w:hAnsi="宋体" w:cs="宋体"/>
                <w:color w:val="auto"/>
                <w:sz w:val="20"/>
                <w:szCs w:val="20"/>
                <w:highlight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5F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6mm站架阳光板包边制作</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A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3F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7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C5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100.00 </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C4D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厚度6mm阳光板，内板四周需不锈钢条包边处理,根据实际尺寸需要裁剪后四周不锈钢条包边焊接处理</w:t>
            </w:r>
          </w:p>
        </w:tc>
      </w:tr>
      <w:bookmarkEnd w:id="45"/>
    </w:tbl>
    <w:p w14:paraId="3F0D9627">
      <w:pPr>
        <w:spacing w:line="360" w:lineRule="auto"/>
        <w:jc w:val="center"/>
        <w:outlineLvl w:val="0"/>
        <w:rPr>
          <w:rFonts w:ascii="仿宋" w:hAnsi="仿宋" w:eastAsia="仿宋" w:cs="仿宋"/>
          <w:b/>
          <w:color w:val="auto"/>
          <w:sz w:val="36"/>
          <w:szCs w:val="36"/>
          <w:highlight w:val="none"/>
        </w:rPr>
        <w:sectPr>
          <w:pgSz w:w="16838" w:h="11906" w:orient="landscape"/>
          <w:pgMar w:top="1474" w:right="1814" w:bottom="1474" w:left="1814" w:header="1417" w:footer="992" w:gutter="0"/>
          <w:cols w:space="720" w:num="1"/>
          <w:titlePg/>
          <w:docGrid w:linePitch="312" w:charSpace="0"/>
        </w:sectPr>
      </w:pPr>
    </w:p>
    <w:p w14:paraId="2D8C076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4355398F">
      <w:pPr>
        <w:pStyle w:val="15"/>
        <w:spacing w:line="360" w:lineRule="auto"/>
        <w:rPr>
          <w:rFonts w:hint="eastAsia" w:ascii="仿宋" w:hAnsi="仿宋" w:eastAsia="仿宋" w:cs="仿宋"/>
          <w:color w:val="auto"/>
          <w:sz w:val="24"/>
          <w:szCs w:val="24"/>
          <w:highlight w:val="none"/>
        </w:rPr>
      </w:pPr>
    </w:p>
    <w:p w14:paraId="0F3A920E">
      <w:pPr>
        <w:pStyle w:val="15"/>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绍兴市公共交通集团有限公司</w:t>
      </w:r>
    </w:p>
    <w:p w14:paraId="06FEBAFE">
      <w:pPr>
        <w:pStyle w:val="15"/>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highlight w:val="none"/>
        </w:rPr>
        <w:t>：</w:t>
      </w:r>
    </w:p>
    <w:p w14:paraId="154AFC80">
      <w:pPr>
        <w:spacing w:line="360" w:lineRule="auto"/>
        <w:rPr>
          <w:rFonts w:hint="eastAsia" w:ascii="仿宋" w:hAnsi="仿宋" w:eastAsia="仿宋" w:cs="仿宋"/>
          <w:color w:val="auto"/>
          <w:szCs w:val="21"/>
          <w:highlight w:val="none"/>
        </w:rPr>
      </w:pPr>
    </w:p>
    <w:p w14:paraId="502604CE">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1.合同范围</w:t>
      </w:r>
    </w:p>
    <w:p w14:paraId="6B948239">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合同范围应与成交通知书、</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及被采购人接受的技术商务规范偏离表相一致。合同范围和双方的职责在“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”明确。</w:t>
      </w:r>
    </w:p>
    <w:p w14:paraId="522FB004">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2.合同的签订</w:t>
      </w:r>
    </w:p>
    <w:p w14:paraId="0A98F215">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2.1乙方须在成交通知书发出30日内按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响应文件的约定，凭成交通知书和甲方在约定的时间、地点，由法定代表人或其委托代理人与采购人签订书面合同。</w:t>
      </w:r>
    </w:p>
    <w:p w14:paraId="1BEEF49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2.1.1工程工期：具体以采购人下发的单个工程任务书为准；</w:t>
      </w:r>
    </w:p>
    <w:p w14:paraId="1C306A55">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2.1.2保修期：按标项内具体要求执行；</w:t>
      </w:r>
    </w:p>
    <w:p w14:paraId="574E516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2.1.3工程开工：以乙方开工报告时间进行开工。</w:t>
      </w:r>
    </w:p>
    <w:p w14:paraId="066E79D2">
      <w:pPr>
        <w:numPr>
          <w:ilvl w:val="0"/>
          <w:numId w:val="4"/>
        </w:numPr>
        <w:spacing w:line="400" w:lineRule="exact"/>
        <w:contextualSpacing/>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付款方式：按标项内具体要求执行。</w:t>
      </w:r>
    </w:p>
    <w:p w14:paraId="7AD04A50">
      <w:pPr>
        <w:numPr>
          <w:ilvl w:val="0"/>
          <w:numId w:val="4"/>
        </w:numPr>
        <w:spacing w:line="400" w:lineRule="exact"/>
        <w:contextualSpacing/>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工期延误</w:t>
      </w:r>
    </w:p>
    <w:p w14:paraId="5667DB94">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4.1.1乙方在接到成交通知书后30个日历天内由法定代表人或项目经理到甲方签订合同。在甲方要求时间内完成指定的施工任务，并清扫现场，做到卫生清洁。</w:t>
      </w:r>
    </w:p>
    <w:p w14:paraId="5C43117E">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4.1.2工程延误以合同工期为准，每延期一天，</w:t>
      </w:r>
      <w:r>
        <w:rPr>
          <w:rFonts w:hint="eastAsia" w:ascii="仿宋" w:hAnsi="仿宋" w:eastAsia="仿宋"/>
          <w:color w:val="auto"/>
          <w:sz w:val="24"/>
          <w:highlight w:val="none"/>
        </w:rPr>
        <w:t>乙方向甲方缴纳违约金每日500元；超过10日后，缴纳违约金每日1000元，从履约保证金中扣除</w:t>
      </w:r>
      <w:r>
        <w:rPr>
          <w:rFonts w:hint="eastAsia" w:ascii="仿宋" w:hAnsi="仿宋" w:eastAsia="仿宋" w:cs="仿宋"/>
          <w:color w:val="auto"/>
          <w:sz w:val="24"/>
          <w:szCs w:val="24"/>
          <w:highlight w:val="none"/>
        </w:rPr>
        <w:t>。提前完工不奖励。</w:t>
      </w:r>
    </w:p>
    <w:p w14:paraId="75A7F77F">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4.1.3对以下原因造成竣工日期推迟的延误，经甲方代表确认后，合同工期相应顺延。</w:t>
      </w:r>
    </w:p>
    <w:p w14:paraId="58AF4608">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（1）额外或附加的工程量超过合同造价30％以上。</w:t>
      </w:r>
    </w:p>
    <w:p w14:paraId="1DE5746A">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（2）由甲方造成的延误、障碍阻止。</w:t>
      </w:r>
    </w:p>
    <w:p w14:paraId="39ECDB9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w:t>
      </w:r>
    </w:p>
    <w:p w14:paraId="2AD767A9">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（4）非乙方的过失或造成的。</w:t>
      </w:r>
    </w:p>
    <w:p w14:paraId="1BF34B76">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5.合同修改</w:t>
      </w:r>
    </w:p>
    <w:p w14:paraId="55B6900A">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5.1双方的任何一方对合同内容提出修改，均应以书面形式通知对方，并达成由双方签署的合同修改书，须报采购管理部门批准。</w:t>
      </w:r>
    </w:p>
    <w:p w14:paraId="4171A268">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5.2除非甲方对产品的品牌、型号规格和涉及价格因素的技术参数提出修改，乙方不得对合同价格提出修改要求。</w:t>
      </w:r>
    </w:p>
    <w:p w14:paraId="5ED792E6">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质量标准和质量保证</w:t>
      </w:r>
    </w:p>
    <w:p w14:paraId="50DC311A">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乙方应按现行的国家施工验收规范和质量评定标准进行施工。因乙方原因工程质量达不到约定的质量标准，乙方承担违约责任。本工程要求合格等级，若未达到，则乙方交纳合同价的5%作为违约金后，并仍应承担返工费。 </w:t>
      </w:r>
    </w:p>
    <w:p w14:paraId="296F4B63">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6.2双方对工程质量有争议，由双方同意的工程质量检测机构鉴定，所需费用及因此造成的损失由责任方承担，双方均有责任，由双方根据其责任分别承担。</w:t>
      </w:r>
    </w:p>
    <w:p w14:paraId="1D0ED037">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6.3乙方成交的质量等级标准为工程的合同约定条件。</w:t>
      </w:r>
    </w:p>
    <w:p w14:paraId="10C3FF9F">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6.4工程竣工后由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组织验收，不能达到要求质量等级的，作违约论处：（1）要求合格等级未达到的，违约金按合同价的5%处罚；（2）要求优良等级未达到的，违约金按</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计算；（3）</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时自报优良等级，但未达到的，违约金按</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计算。</w:t>
      </w:r>
    </w:p>
    <w:p w14:paraId="58F24A80">
      <w:pPr>
        <w:autoSpaceDE w:val="0"/>
        <w:autoSpaceDN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7</w:t>
      </w:r>
      <w:r>
        <w:rPr>
          <w:rFonts w:hint="eastAsia" w:ascii="仿宋" w:hAnsi="仿宋" w:eastAsia="仿宋" w:cs="仿宋"/>
          <w:b/>
          <w:color w:val="auto"/>
          <w:kern w:val="0"/>
          <w:sz w:val="24"/>
          <w:highlight w:val="none"/>
          <w:lang w:val="zh-CN"/>
        </w:rPr>
        <w:t>、合同价款与支付</w:t>
      </w:r>
    </w:p>
    <w:p w14:paraId="12178CA0">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7.1合同价款的确定</w:t>
      </w:r>
    </w:p>
    <w:p w14:paraId="3E0B689B">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本工程的合同价根据乙方成交价确定，采用</w:t>
      </w:r>
      <w:r>
        <w:rPr>
          <w:rFonts w:hint="eastAsia" w:ascii="仿宋" w:hAnsi="仿宋" w:eastAsia="仿宋"/>
          <w:color w:val="auto"/>
          <w:sz w:val="24"/>
          <w:szCs w:val="24"/>
          <w:highlight w:val="none"/>
        </w:rPr>
        <w:t>固定</w:t>
      </w:r>
      <w:r>
        <w:rPr>
          <w:rFonts w:hint="eastAsia" w:ascii="仿宋" w:hAnsi="仿宋" w:eastAsia="仿宋" w:cs="仿宋"/>
          <w:color w:val="auto"/>
          <w:sz w:val="24"/>
          <w:szCs w:val="24"/>
          <w:highlight w:val="none"/>
        </w:rPr>
        <w:t>下浮率的方式承包。</w:t>
      </w:r>
    </w:p>
    <w:p w14:paraId="0216FFBD">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7.2合同价款的调整</w:t>
      </w:r>
    </w:p>
    <w:p w14:paraId="2162BC86">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7.2.1设计变更、重大现场技术措施等向经采购人提交变更申请，批准后才能进行变更施工，否则变更引起的合同工程量减少则按实计量，增加则按原合同工程量计量，合同价款也按此办理）；</w:t>
      </w:r>
    </w:p>
    <w:p w14:paraId="76E45F3B">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7.2.2国家调价政策文件；</w:t>
      </w:r>
    </w:p>
    <w:p w14:paraId="24FA1FDD">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7.2.3不可抗力发生；</w:t>
      </w:r>
    </w:p>
    <w:p w14:paraId="7A320598">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7.2.4合同价款中包括的内容：施工设备、劳务、管理、材料、安装、维护、利润、税金或完成工程标底预算的全部费用，包括分部分项工程费、措施项目费、其他项目费和规费、税金及政策性文件规定等各项应有费用，甲方不再承担其他任何费用。</w:t>
      </w:r>
    </w:p>
    <w:p w14:paraId="39C32949">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7.3不可抗力发生的合同价格的调整</w:t>
      </w:r>
    </w:p>
    <w:p w14:paraId="6E08EDF2">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由自然灾害引起的不可抗力产生的施工场地清理和返工，工程量按实结算，费用协商解决。</w:t>
      </w:r>
    </w:p>
    <w:p w14:paraId="169E11BC">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7.4工程款支付</w:t>
      </w:r>
    </w:p>
    <w:p w14:paraId="730D59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7.4.1</w:t>
      </w:r>
      <w:r>
        <w:rPr>
          <w:rFonts w:hint="eastAsia" w:ascii="仿宋" w:hAnsi="仿宋" w:eastAsia="仿宋"/>
          <w:color w:val="auto"/>
          <w:sz w:val="24"/>
          <w:highlight w:val="none"/>
        </w:rPr>
        <w:t>无预付款，采用</w:t>
      </w:r>
      <w:r>
        <w:rPr>
          <w:rFonts w:hint="eastAsia" w:ascii="仿宋" w:hAnsi="仿宋" w:eastAsia="仿宋"/>
          <w:b/>
          <w:color w:val="auto"/>
          <w:sz w:val="24"/>
          <w:highlight w:val="none"/>
        </w:rPr>
        <w:t>固定</w:t>
      </w:r>
      <w:r>
        <w:rPr>
          <w:rFonts w:hint="eastAsia" w:ascii="仿宋" w:hAnsi="仿宋" w:eastAsia="仿宋"/>
          <w:color w:val="auto"/>
          <w:sz w:val="24"/>
          <w:highlight w:val="none"/>
        </w:rPr>
        <w:t>下浮率承包，工程量按实调整</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按季度结算</w:t>
      </w:r>
      <w:r>
        <w:rPr>
          <w:rFonts w:hint="eastAsia" w:ascii="仿宋" w:hAnsi="仿宋" w:eastAsia="仿宋"/>
          <w:color w:val="auto"/>
          <w:sz w:val="24"/>
          <w:highlight w:val="none"/>
        </w:rPr>
        <w:t>。</w:t>
      </w:r>
    </w:p>
    <w:p w14:paraId="7CE5DA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仿宋" w:hAnsi="仿宋" w:eastAsia="仿宋" w:cs="仿宋"/>
          <w:color w:val="auto"/>
          <w:sz w:val="24"/>
          <w:highlight w:val="none"/>
        </w:rPr>
      </w:pPr>
      <w:r>
        <w:rPr>
          <w:rFonts w:hint="eastAsia" w:ascii="仿宋" w:hAnsi="仿宋" w:eastAsia="仿宋"/>
          <w:color w:val="auto"/>
          <w:sz w:val="24"/>
          <w:highlight w:val="none"/>
          <w:lang w:val="en-US" w:eastAsia="zh-CN"/>
        </w:rPr>
        <w:t>7.4.2</w:t>
      </w:r>
      <w:r>
        <w:rPr>
          <w:rFonts w:hint="eastAsia" w:ascii="仿宋" w:hAnsi="仿宋" w:eastAsia="仿宋"/>
          <w:color w:val="auto"/>
          <w:sz w:val="24"/>
          <w:highlight w:val="none"/>
        </w:rPr>
        <w:t>以单项改造工程为结算单位，按采购人委托第三方预算书、实际完成的情况、定价材料表（附件</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）、成交下浮率按季度结算</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验收合格后</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lang w:val="en-US" w:eastAsia="zh-CN"/>
        </w:rPr>
        <w:t>审核</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审核</w:t>
      </w:r>
      <w:r>
        <w:rPr>
          <w:rFonts w:hint="eastAsia" w:ascii="仿宋" w:hAnsi="仿宋" w:eastAsia="仿宋" w:cs="仿宋"/>
          <w:color w:val="auto"/>
          <w:sz w:val="24"/>
          <w:highlight w:val="none"/>
        </w:rPr>
        <w:t>并出具</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结算报告后支付至结算审计价的</w:t>
      </w:r>
      <w:r>
        <w:rPr>
          <w:rFonts w:hint="eastAsia" w:ascii="仿宋" w:hAnsi="仿宋" w:eastAsia="仿宋" w:cs="仿宋"/>
          <w:color w:val="auto"/>
          <w:sz w:val="24"/>
          <w:highlight w:val="none"/>
          <w:lang w:val="en-US" w:eastAsia="zh-CN"/>
        </w:rPr>
        <w:t>98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剩余2%工程款在工程保修期满后支付</w:t>
      </w:r>
      <w:r>
        <w:rPr>
          <w:rFonts w:hint="eastAsia" w:ascii="仿宋" w:hAnsi="仿宋" w:eastAsia="仿宋" w:cs="仿宋"/>
          <w:color w:val="auto"/>
          <w:sz w:val="24"/>
          <w:highlight w:val="none"/>
        </w:rPr>
        <w:t>。</w:t>
      </w:r>
    </w:p>
    <w:p w14:paraId="562C9F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7.4.3</w:t>
      </w:r>
      <w:r>
        <w:rPr>
          <w:rFonts w:hint="eastAsia" w:ascii="仿宋" w:hAnsi="仿宋" w:eastAsia="仿宋"/>
          <w:color w:val="auto"/>
          <w:sz w:val="24"/>
          <w:highlight w:val="none"/>
        </w:rPr>
        <w:t>在履约期间，未发生违反采购规定、投标承诺事件，且各施工项目也无质量问题，履约保证金至本项服务期限结束后一个月内一次性退还（不计息）。</w:t>
      </w:r>
    </w:p>
    <w:p w14:paraId="67043134">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甲方不按约定支付工程款应该承担的责任：按国家规定。</w:t>
      </w:r>
    </w:p>
    <w:p w14:paraId="08113D74">
      <w:pPr>
        <w:pStyle w:val="15"/>
        <w:spacing w:line="360" w:lineRule="auto"/>
        <w:ind w:firstLine="480" w:firstLineChars="200"/>
        <w:rPr>
          <w:rFonts w:hint="eastAsia" w:ascii="仿宋" w:hAnsi="仿宋" w:eastAsia="仿宋" w:cs="仿宋"/>
          <w:color w:val="auto"/>
          <w:sz w:val="24"/>
          <w:szCs w:val="24"/>
          <w:highlight w:val="none"/>
        </w:rPr>
      </w:pPr>
      <w:bookmarkStart w:id="47" w:name="_Toc163013718"/>
      <w:bookmarkStart w:id="48" w:name="_Toc165191947"/>
      <w:r>
        <w:rPr>
          <w:rFonts w:hint="eastAsia" w:ascii="仿宋" w:hAnsi="仿宋" w:eastAsia="仿宋" w:cs="仿宋"/>
          <w:color w:val="auto"/>
          <w:sz w:val="24"/>
          <w:szCs w:val="24"/>
          <w:highlight w:val="none"/>
        </w:rPr>
        <w:t>7.5安全施工</w:t>
      </w:r>
      <w:bookmarkEnd w:id="47"/>
      <w:bookmarkEnd w:id="48"/>
    </w:p>
    <w:p w14:paraId="46639C1E">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乙方必须按国家、省、市有关规定执行，切实落实各项安全技术措施，确保施工现场的安全生产和文明施工；在施工过程中由于乙方原因而发生的人身伤亡、财产损失及其它一切事故，其责任全部由乙方承担。</w:t>
      </w:r>
    </w:p>
    <w:p w14:paraId="1A083AE5">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8、材料和设备供应</w:t>
      </w:r>
    </w:p>
    <w:p w14:paraId="55F9D532">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（一）甲方供应材料、设备</w:t>
      </w:r>
    </w:p>
    <w:p w14:paraId="2FEC018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甲方供应材料设备无，但对特殊材料的单价及供货商需经甲方及有关部门认可。</w:t>
      </w:r>
    </w:p>
    <w:p w14:paraId="7171EF49">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甲方未按照条款约定的材料及设备的规格、数量、质量等级和提供时间、地点供应材料设备，所应承担的责任是：按国家规定。</w:t>
      </w:r>
    </w:p>
    <w:p w14:paraId="61A0443A">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（二）乙方采购材料、设备</w:t>
      </w:r>
    </w:p>
    <w:p w14:paraId="75B752AB">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乙方采购材料、设备：以符合设计和规范要求为原则。一般材料由甲方看样后自行采购；重要的材料应由甲方和相关部门共同看样认可后采购。</w:t>
      </w:r>
    </w:p>
    <w:p w14:paraId="1FE9563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特殊要求：所有材料必须符合设计和规范规定的防火、防水等级要求。</w:t>
      </w:r>
    </w:p>
    <w:p w14:paraId="7F53E8D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应承担的违约责任：自行处理一切损失和承担相应的违约责任。</w:t>
      </w:r>
    </w:p>
    <w:p w14:paraId="13736A27">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所有材料必须有质保书和合格证，经认证许可，并且符合施工和规范要求。</w:t>
      </w:r>
    </w:p>
    <w:p w14:paraId="7828DFD2">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8.其他</w:t>
      </w:r>
    </w:p>
    <w:p w14:paraId="6EBC2E79">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8.1乙方的施工人员进场后，必须严格按甲方确定的施工范围及工作内容和施工规范施工。做好“四防” 工作，生产和生活垃圾分别堆放，统一处理，做到文明施工，注意施工安全，施工安全生产人员的保险及费用由乙方负责，发生安全事故、治安及安全由乙方完全负责，保证施工进度。</w:t>
      </w:r>
    </w:p>
    <w:p w14:paraId="1533D00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8.2在施工过程中若出现工程质量、进度等问题，经甲方三次书面通知后仍未采取有效措施的，甲方有权单方终止合同，并保留索赔的权利。</w:t>
      </w:r>
    </w:p>
    <w:p w14:paraId="7500563F">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服务要求：①按有关保修要求和相关期限，如出现质量问题，乙方在接到甲方通知后24小时内答复，72小时内免费修复。②乙方不签订合同，给甲方造成损失的，由乙方承担。③支取工程款都必须用正式建筑发票。</w:t>
      </w:r>
    </w:p>
    <w:p w14:paraId="658D1447">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8.4施工过程中所产生的安全问题由乙方负责，甲方概不负责。</w:t>
      </w:r>
    </w:p>
    <w:p w14:paraId="11C0EE04">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9.不可抗力</w:t>
      </w:r>
    </w:p>
    <w:p w14:paraId="3CEBD0E6">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9.1如果双方中任何一方由于战争、严重火灾、水灾、台风和地震以及其它经双方同意属于不可抗力的事故，致使合同履行受阻时，履行合同的期限应予延长，延长的期限应相当于事故所影响的时间。</w:t>
      </w:r>
    </w:p>
    <w:p w14:paraId="13FFACA3">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1700671">
      <w:pPr>
        <w:autoSpaceDE w:val="0"/>
        <w:autoSpaceDN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10.解决合同纠纷的方式</w:t>
      </w:r>
    </w:p>
    <w:p w14:paraId="72CF7B1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10.1凡有关本合同或与本合同中发生的争端，双方应通过友好协商，妥善解决。如通过协商仍不能解决时，可向当地的仲裁机构申请仲裁。</w:t>
      </w:r>
    </w:p>
    <w:p w14:paraId="144D9288">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10.2仲裁和诉讼费用除仲裁机构和人民法院另有裁决外，由败诉方承担。</w:t>
      </w:r>
    </w:p>
    <w:p w14:paraId="1F822E59">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10.3在仲裁和诉讼期间，除正在进行裁定的部分外，本合同其他部分应继续执行。</w:t>
      </w:r>
    </w:p>
    <w:p w14:paraId="2C66819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10.4合同应在双方签字盖章，甲方收到乙方提供的履约担保后开始生效。</w:t>
      </w:r>
    </w:p>
    <w:p w14:paraId="69956A26">
      <w:pPr>
        <w:spacing w:line="440" w:lineRule="exact"/>
        <w:rPr>
          <w:rFonts w:hint="eastAsia" w:ascii="仿宋" w:hAnsi="仿宋" w:eastAsia="仿宋" w:cs="仿宋"/>
          <w:snapToGrid w:val="0"/>
          <w:color w:val="auto"/>
          <w:kern w:val="0"/>
          <w:sz w:val="24"/>
          <w:szCs w:val="21"/>
          <w:highlight w:val="none"/>
        </w:rPr>
      </w:pPr>
      <w:r>
        <w:rPr>
          <w:rFonts w:hint="eastAsia" w:ascii="仿宋" w:hAnsi="仿宋" w:eastAsia="仿宋" w:cs="仿宋"/>
          <w:b/>
          <w:color w:val="auto"/>
          <w:szCs w:val="21"/>
          <w:highlight w:val="none"/>
        </w:rPr>
        <w:t>（注：在正式签约时，根据上述精神应拟就更为详尽的合同书）</w:t>
      </w:r>
    </w:p>
    <w:p w14:paraId="3398371E">
      <w:pPr>
        <w:widowControl/>
        <w:spacing w:line="440" w:lineRule="exact"/>
        <w:rPr>
          <w:rFonts w:hint="eastAsia" w:ascii="仿宋" w:hAnsi="仿宋" w:eastAsia="仿宋" w:cs="仿宋"/>
          <w:color w:val="auto"/>
          <w:sz w:val="24"/>
          <w:highlight w:val="none"/>
        </w:rPr>
      </w:pPr>
    </w:p>
    <w:p w14:paraId="453325DB">
      <w:pPr>
        <w:widowControl/>
        <w:spacing w:line="440" w:lineRule="exact"/>
        <w:rPr>
          <w:rFonts w:hint="eastAsia" w:ascii="仿宋" w:hAnsi="仿宋" w:eastAsia="仿宋" w:cs="仿宋"/>
          <w:color w:val="auto"/>
          <w:sz w:val="24"/>
          <w:highlight w:val="none"/>
        </w:rPr>
      </w:pPr>
    </w:p>
    <w:p w14:paraId="75FA081F">
      <w:pPr>
        <w:pStyle w:val="15"/>
        <w:rPr>
          <w:rFonts w:hint="eastAsia" w:ascii="仿宋" w:hAnsi="仿宋" w:eastAsia="仿宋" w:cs="仿宋"/>
          <w:color w:val="auto"/>
          <w:sz w:val="24"/>
          <w:highlight w:val="none"/>
        </w:rPr>
      </w:pPr>
    </w:p>
    <w:p w14:paraId="1D33B0BF">
      <w:pPr>
        <w:pStyle w:val="15"/>
        <w:rPr>
          <w:rFonts w:hint="eastAsia" w:ascii="仿宋" w:hAnsi="仿宋" w:eastAsia="仿宋" w:cs="仿宋"/>
          <w:color w:val="auto"/>
          <w:sz w:val="24"/>
          <w:highlight w:val="none"/>
        </w:rPr>
      </w:pPr>
    </w:p>
    <w:p w14:paraId="2727F541">
      <w:pPr>
        <w:pStyle w:val="15"/>
        <w:rPr>
          <w:rFonts w:hint="eastAsia" w:ascii="仿宋" w:hAnsi="仿宋" w:eastAsia="仿宋" w:cs="仿宋"/>
          <w:color w:val="auto"/>
          <w:sz w:val="24"/>
          <w:highlight w:val="none"/>
        </w:rPr>
      </w:pPr>
    </w:p>
    <w:p w14:paraId="4E057998">
      <w:pPr>
        <w:pStyle w:val="15"/>
        <w:rPr>
          <w:rFonts w:hint="eastAsia" w:ascii="仿宋" w:hAnsi="仿宋" w:eastAsia="仿宋" w:cs="仿宋"/>
          <w:color w:val="auto"/>
          <w:sz w:val="24"/>
          <w:highlight w:val="none"/>
        </w:rPr>
      </w:pPr>
    </w:p>
    <w:p w14:paraId="6E3C6742">
      <w:pPr>
        <w:pStyle w:val="15"/>
        <w:rPr>
          <w:rFonts w:hint="eastAsia" w:ascii="仿宋" w:hAnsi="仿宋" w:eastAsia="仿宋" w:cs="仿宋"/>
          <w:color w:val="auto"/>
          <w:sz w:val="24"/>
          <w:highlight w:val="none"/>
        </w:rPr>
      </w:pPr>
    </w:p>
    <w:p w14:paraId="65A3C5BB">
      <w:pPr>
        <w:widowControl/>
        <w:spacing w:line="440" w:lineRule="exact"/>
        <w:rPr>
          <w:rFonts w:hint="eastAsia" w:ascii="仿宋" w:hAnsi="仿宋" w:eastAsia="仿宋" w:cs="仿宋"/>
          <w:color w:val="auto"/>
          <w:sz w:val="24"/>
          <w:highlight w:val="none"/>
        </w:rPr>
      </w:pPr>
    </w:p>
    <w:p w14:paraId="0609BFBE">
      <w:pPr>
        <w:rPr>
          <w:rFonts w:hint="eastAsia" w:ascii="仿宋" w:hAnsi="仿宋" w:eastAsia="仿宋" w:cs="仿宋"/>
          <w:color w:val="auto"/>
          <w:highlight w:val="none"/>
        </w:rPr>
      </w:pPr>
    </w:p>
    <w:p w14:paraId="432DBD19">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w:t>
      </w:r>
      <w:r>
        <w:rPr>
          <w:rFonts w:hint="eastAsia" w:ascii="仿宋" w:hAnsi="仿宋" w:eastAsia="仿宋" w:cs="仿宋"/>
          <w:b/>
          <w:color w:val="auto"/>
          <w:sz w:val="36"/>
          <w:szCs w:val="36"/>
          <w:highlight w:val="none"/>
          <w:lang w:val="en-US" w:eastAsia="zh-CN"/>
        </w:rPr>
        <w:t>标</w:t>
      </w:r>
      <w:r>
        <w:rPr>
          <w:rFonts w:hint="eastAsia" w:ascii="仿宋" w:hAnsi="仿宋" w:eastAsia="仿宋" w:cs="仿宋"/>
          <w:b/>
          <w:color w:val="auto"/>
          <w:sz w:val="36"/>
          <w:szCs w:val="36"/>
          <w:highlight w:val="none"/>
        </w:rPr>
        <w:t>方法及标准</w:t>
      </w:r>
    </w:p>
    <w:p w14:paraId="7509981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方法：</w:t>
      </w:r>
    </w:p>
    <w:p w14:paraId="3BB56BE3">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.1本次评标采用造价下浮率计分法， 报价下浮率幅度为 8.00%～15.00%（含上、下限，下同）。评标结果按评审后得分由高到低顺序排列。得分相同的，按投标报价由低到高顺序排列。得分且投标报价相同的并列。中标候选人并列的，</w:t>
      </w:r>
      <w:r>
        <w:rPr>
          <w:rFonts w:hint="eastAsia" w:ascii="仿宋" w:hAnsi="仿宋" w:eastAsia="仿宋" w:cs="仿宋"/>
          <w:color w:val="auto"/>
          <w:sz w:val="24"/>
          <w:highlight w:val="none"/>
          <w:lang w:val="en-US" w:eastAsia="zh-CN"/>
        </w:rPr>
        <w:t>由采购人代表</w:t>
      </w:r>
      <w:r>
        <w:rPr>
          <w:rFonts w:hint="eastAsia" w:ascii="仿宋" w:hAnsi="仿宋" w:eastAsia="仿宋" w:cs="仿宋"/>
          <w:color w:val="auto"/>
          <w:sz w:val="24"/>
          <w:highlight w:val="none"/>
        </w:rPr>
        <w:t>采用随机抽取的方式确定。</w:t>
      </w:r>
    </w:p>
    <w:p w14:paraId="2CDB8796">
      <w:pPr>
        <w:numPr>
          <w:ilvl w:val="0"/>
          <w:numId w:val="5"/>
        </w:numPr>
        <w:spacing w:line="440" w:lineRule="exact"/>
        <w:jc w:val="left"/>
        <w:rPr>
          <w:rFonts w:hint="eastAsia" w:ascii="仿宋" w:hAnsi="仿宋" w:eastAsia="仿宋" w:cs="仿宋"/>
          <w:color w:val="auto"/>
          <w:sz w:val="24"/>
          <w:szCs w:val="20"/>
          <w:highlight w:val="none"/>
          <w:lang w:val="en-US" w:eastAsia="zh-CN"/>
        </w:rPr>
      </w:pP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w:t>
      </w:r>
      <w:r>
        <w:rPr>
          <w:rFonts w:hint="eastAsia" w:ascii="仿宋" w:hAnsi="仿宋" w:eastAsia="仿宋" w:cs="仿宋"/>
          <w:strike/>
          <w:dstrike w:val="0"/>
          <w:color w:val="auto"/>
          <w:sz w:val="24"/>
          <w:highlight w:val="none"/>
        </w:rPr>
        <w:t>其中商务技术分</w:t>
      </w:r>
      <w:r>
        <w:rPr>
          <w:rFonts w:hint="eastAsia" w:ascii="仿宋" w:hAnsi="仿宋" w:eastAsia="仿宋" w:cs="仿宋"/>
          <w:strike/>
          <w:dstrike w:val="0"/>
          <w:color w:val="auto"/>
          <w:sz w:val="24"/>
          <w:highlight w:val="none"/>
          <w:lang w:val="en-US" w:eastAsia="zh-CN"/>
        </w:rPr>
        <w:t xml:space="preserve"> </w:t>
      </w:r>
      <w:r>
        <w:rPr>
          <w:rFonts w:hint="eastAsia" w:ascii="仿宋" w:hAnsi="仿宋" w:eastAsia="仿宋" w:cs="仿宋"/>
          <w:strike/>
          <w:dstrike w:val="0"/>
          <w:color w:val="auto"/>
          <w:sz w:val="24"/>
          <w:highlight w:val="none"/>
        </w:rPr>
        <w:t>分，</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分。评分依下述所列为评标打分依据，分值如下（计算分值时，按其算术平均值保留小数2位）。</w:t>
      </w:r>
    </w:p>
    <w:p w14:paraId="0C43E59F">
      <w:pPr>
        <w:spacing w:line="440" w:lineRule="exact"/>
        <w:ind w:firstLine="482" w:firstLineChars="200"/>
        <w:rPr>
          <w:rFonts w:hint="eastAsia"/>
          <w:color w:val="auto"/>
          <w:highlight w:val="none"/>
          <w:lang w:val="en-US" w:eastAsia="zh-CN"/>
        </w:rPr>
      </w:pPr>
      <w:r>
        <w:rPr>
          <w:rFonts w:hint="eastAsia" w:ascii="仿宋" w:hAnsi="仿宋" w:eastAsia="仿宋" w:cs="仿宋"/>
          <w:b/>
          <w:bCs/>
          <w:iCs/>
          <w:color w:val="auto"/>
          <w:sz w:val="24"/>
          <w:highlight w:val="none"/>
        </w:rPr>
        <w:t>2.</w:t>
      </w:r>
      <w:r>
        <w:rPr>
          <w:rFonts w:hint="eastAsia" w:ascii="仿宋" w:hAnsi="仿宋" w:eastAsia="仿宋" w:cs="仿宋"/>
          <w:b/>
          <w:bCs/>
          <w:iCs/>
          <w:color w:val="auto"/>
          <w:sz w:val="24"/>
          <w:highlight w:val="none"/>
          <w:lang w:val="en-US" w:eastAsia="zh-CN"/>
        </w:rPr>
        <w:t>1</w:t>
      </w:r>
      <w:r>
        <w:rPr>
          <w:rFonts w:hint="eastAsia" w:ascii="仿宋" w:hAnsi="仿宋" w:eastAsia="仿宋" w:cs="仿宋"/>
          <w:b/>
          <w:bCs/>
          <w:iCs/>
          <w:color w:val="auto"/>
          <w:sz w:val="24"/>
          <w:highlight w:val="none"/>
        </w:rPr>
        <w:t>价格分（10</w:t>
      </w:r>
      <w:r>
        <w:rPr>
          <w:rFonts w:hint="eastAsia" w:ascii="仿宋" w:hAnsi="仿宋" w:eastAsia="仿宋" w:cs="仿宋"/>
          <w:b/>
          <w:bCs/>
          <w:iCs/>
          <w:color w:val="auto"/>
          <w:sz w:val="24"/>
          <w:highlight w:val="none"/>
          <w:lang w:val="en-US" w:eastAsia="zh-CN"/>
        </w:rPr>
        <w:t>0</w:t>
      </w:r>
      <w:r>
        <w:rPr>
          <w:rFonts w:hint="eastAsia" w:ascii="仿宋" w:hAnsi="仿宋" w:eastAsia="仿宋" w:cs="仿宋"/>
          <w:b/>
          <w:bCs/>
          <w:iCs/>
          <w:color w:val="auto"/>
          <w:sz w:val="24"/>
          <w:highlight w:val="none"/>
        </w:rPr>
        <w:t>分）</w:t>
      </w:r>
    </w:p>
    <w:p w14:paraId="3D0D6B93">
      <w:pPr>
        <w:numPr>
          <w:ilvl w:val="0"/>
          <w:numId w:val="6"/>
        </w:numPr>
        <w:spacing w:line="440" w:lineRule="exact"/>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评分范围：通过资格和商务技术符合性审查的所有投标文件进入评分范围。</w:t>
      </w:r>
    </w:p>
    <w:p w14:paraId="480184B3">
      <w:pPr>
        <w:numPr>
          <w:ilvl w:val="0"/>
          <w:numId w:val="6"/>
        </w:numPr>
        <w:spacing w:line="440" w:lineRule="exact"/>
        <w:ind w:firstLine="484"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pacing w:val="1"/>
          <w:sz w:val="24"/>
          <w:szCs w:val="24"/>
          <w:highlight w:val="none"/>
          <w:lang w:val="en-US" w:eastAsia="zh-CN"/>
        </w:rPr>
        <w:t>投标报价范围：</w:t>
      </w:r>
      <w:r>
        <w:rPr>
          <w:rFonts w:ascii="仿宋" w:hAnsi="仿宋" w:eastAsia="仿宋" w:cs="仿宋"/>
          <w:color w:val="auto"/>
          <w:spacing w:val="1"/>
          <w:sz w:val="24"/>
          <w:szCs w:val="24"/>
          <w:highlight w:val="none"/>
        </w:rPr>
        <w:t>投标人进行下浮率报价,有效下浮范围</w:t>
      </w:r>
      <w:r>
        <w:rPr>
          <w:rFonts w:ascii="仿宋" w:hAnsi="仿宋" w:eastAsia="仿宋" w:cs="仿宋"/>
          <w:color w:val="auto"/>
          <w:spacing w:val="-1"/>
          <w:sz w:val="24"/>
          <w:szCs w:val="24"/>
          <w:highlight w:val="none"/>
        </w:rPr>
        <w:t>为</w:t>
      </w:r>
      <w:r>
        <w:rPr>
          <w:rFonts w:ascii="仿宋" w:hAnsi="仿宋" w:eastAsia="仿宋" w:cs="仿宋"/>
          <w:color w:val="auto"/>
          <w:spacing w:val="-48"/>
          <w:sz w:val="24"/>
          <w:szCs w:val="24"/>
          <w:highlight w:val="none"/>
        </w:rPr>
        <w:t xml:space="preserve"> </w:t>
      </w:r>
      <w:r>
        <w:rPr>
          <w:rFonts w:ascii="仿宋" w:hAnsi="仿宋" w:eastAsia="仿宋" w:cs="仿宋"/>
          <w:color w:val="auto"/>
          <w:spacing w:val="-1"/>
          <w:sz w:val="24"/>
          <w:szCs w:val="24"/>
          <w:highlight w:val="none"/>
        </w:rPr>
        <w:t>8</w:t>
      </w:r>
      <w:r>
        <w:rPr>
          <w:rFonts w:ascii="仿宋" w:hAnsi="仿宋" w:eastAsia="仿宋" w:cs="仿宋"/>
          <w:color w:val="auto"/>
          <w:spacing w:val="-7"/>
          <w:sz w:val="24"/>
          <w:szCs w:val="24"/>
          <w:highlight w:val="none"/>
        </w:rPr>
        <w:t>％～</w:t>
      </w:r>
      <w:r>
        <w:rPr>
          <w:rFonts w:ascii="仿宋" w:hAnsi="仿宋" w:eastAsia="仿宋" w:cs="仿宋"/>
          <w:color w:val="auto"/>
          <w:spacing w:val="-1"/>
          <w:sz w:val="24"/>
          <w:szCs w:val="24"/>
          <w:highlight w:val="none"/>
        </w:rPr>
        <w:t>15％(含上、下限</w:t>
      </w:r>
      <w:r>
        <w:rPr>
          <w:rFonts w:ascii="仿宋" w:hAnsi="仿宋" w:eastAsia="仿宋" w:cs="仿宋"/>
          <w:color w:val="auto"/>
          <w:spacing w:val="-7"/>
          <w:sz w:val="24"/>
          <w:szCs w:val="24"/>
          <w:highlight w:val="none"/>
        </w:rPr>
        <w:t>），</w:t>
      </w:r>
      <w:r>
        <w:rPr>
          <w:rFonts w:ascii="仿宋" w:hAnsi="仿宋" w:eastAsia="仿宋" w:cs="仿宋"/>
          <w:color w:val="auto"/>
          <w:spacing w:val="-1"/>
          <w:sz w:val="24"/>
          <w:szCs w:val="24"/>
          <w:highlight w:val="none"/>
        </w:rPr>
        <w:t>超出此范围的报价作无效标</w:t>
      </w:r>
      <w:r>
        <w:rPr>
          <w:rFonts w:ascii="仿宋" w:hAnsi="仿宋" w:eastAsia="仿宋" w:cs="仿宋"/>
          <w:color w:val="auto"/>
          <w:spacing w:val="-2"/>
          <w:sz w:val="24"/>
          <w:szCs w:val="24"/>
          <w:highlight w:val="none"/>
        </w:rPr>
        <w:t>处理。</w:t>
      </w:r>
    </w:p>
    <w:p w14:paraId="23B7C423">
      <w:pPr>
        <w:numPr>
          <w:ilvl w:val="0"/>
          <w:numId w:val="6"/>
        </w:numPr>
        <w:spacing w:line="440" w:lineRule="exact"/>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评标基准价：</w:t>
      </w:r>
      <w:r>
        <w:rPr>
          <w:rFonts w:ascii="仿宋" w:hAnsi="仿宋" w:eastAsia="仿宋" w:cs="仿宋"/>
          <w:color w:val="auto"/>
          <w:spacing w:val="1"/>
          <w:sz w:val="24"/>
          <w:szCs w:val="24"/>
          <w:highlight w:val="none"/>
        </w:rPr>
        <w:t>由</w:t>
      </w:r>
      <w:r>
        <w:rPr>
          <w:rFonts w:hint="eastAsia" w:ascii="仿宋" w:hAnsi="仿宋" w:eastAsia="仿宋" w:cs="仿宋"/>
          <w:color w:val="auto"/>
          <w:spacing w:val="1"/>
          <w:sz w:val="24"/>
          <w:szCs w:val="24"/>
          <w:highlight w:val="none"/>
          <w:lang w:val="en-US" w:eastAsia="zh-CN"/>
        </w:rPr>
        <w:t>采购</w:t>
      </w:r>
      <w:r>
        <w:rPr>
          <w:rFonts w:ascii="仿宋" w:hAnsi="仿宋" w:eastAsia="仿宋" w:cs="仿宋"/>
          <w:color w:val="auto"/>
          <w:spacing w:val="1"/>
          <w:sz w:val="24"/>
          <w:szCs w:val="24"/>
          <w:highlight w:val="none"/>
        </w:rPr>
        <w:t>人代表在有效下浮范围(各档之间的步长为0.5％)内，随</w:t>
      </w:r>
      <w:r>
        <w:rPr>
          <w:rFonts w:ascii="仿宋" w:hAnsi="仿宋" w:eastAsia="仿宋" w:cs="仿宋"/>
          <w:color w:val="auto"/>
          <w:sz w:val="24"/>
          <w:szCs w:val="24"/>
          <w:highlight w:val="none"/>
        </w:rPr>
        <w:t>机抽取二次下浮率，算术平均值作为基准造价评估下浮率，设为Y。</w:t>
      </w:r>
    </w:p>
    <w:p w14:paraId="48FCD871">
      <w:pPr>
        <w:numPr>
          <w:ilvl w:val="0"/>
          <w:numId w:val="6"/>
        </w:numPr>
        <w:spacing w:line="440" w:lineRule="exact"/>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根据投标文件的投标评标价与评标基准价对比，计算投标人的报价的得分值。即：</w:t>
      </w:r>
    </w:p>
    <w:p w14:paraId="1CF831AC">
      <w:pPr>
        <w:spacing w:line="360" w:lineRule="auto"/>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a.投标评标价等于评标基准价时，得100分；</w:t>
      </w:r>
    </w:p>
    <w:p w14:paraId="274E39E7">
      <w:pPr>
        <w:spacing w:line="360" w:lineRule="auto"/>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b.投标评标价每低于评标基准价1个百分点，扣5分；</w:t>
      </w:r>
    </w:p>
    <w:p w14:paraId="1087F60C">
      <w:pPr>
        <w:spacing w:line="360" w:lineRule="auto"/>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c.投标评标价每高于评标基准价1个百分点，扣4分。</w:t>
      </w:r>
    </w:p>
    <w:p w14:paraId="638C7223">
      <w:pPr>
        <w:spacing w:line="360" w:lineRule="auto"/>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以上报价得分不足一个百分点时，使用直线插入法计算，保留小数2位。</w:t>
      </w:r>
    </w:p>
    <w:p w14:paraId="2AFB9B97">
      <w:pPr>
        <w:spacing w:line="360" w:lineRule="auto"/>
        <w:ind w:firstLine="480" w:firstLineChars="20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（5）中标价=单个工程审定标底价的参与竞争部分造价*（1-中标下浮率）+审定标底中不参与竞争部分造价。</w:t>
      </w:r>
    </w:p>
    <w:p w14:paraId="28A73E5D">
      <w:pPr>
        <w:spacing w:line="360" w:lineRule="auto"/>
        <w:ind w:firstLine="480" w:firstLineChars="200"/>
        <w:jc w:val="left"/>
        <w:rPr>
          <w:rFonts w:hint="eastAsia" w:ascii="仿宋" w:hAnsi="仿宋" w:eastAsia="仿宋" w:cs="仿宋"/>
          <w:b/>
          <w:color w:val="auto"/>
          <w:sz w:val="36"/>
          <w:szCs w:val="20"/>
          <w:highlight w:val="none"/>
        </w:rPr>
      </w:pPr>
      <w:r>
        <w:rPr>
          <w:rFonts w:hint="eastAsia" w:ascii="仿宋" w:hAnsi="仿宋" w:eastAsia="仿宋" w:cs="仿宋"/>
          <w:color w:val="auto"/>
          <w:sz w:val="24"/>
          <w:szCs w:val="20"/>
          <w:highlight w:val="none"/>
          <w:lang w:val="en-US" w:eastAsia="zh-CN"/>
        </w:rPr>
        <w:t>（6）对投标人进行排序，推荐中标候选人。</w:t>
      </w:r>
    </w:p>
    <w:bookmarkEnd w:id="41"/>
    <w:bookmarkEnd w:id="42"/>
    <w:p w14:paraId="3062C984">
      <w:pPr>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第六部分 投标文件及其附件格式</w:t>
      </w:r>
    </w:p>
    <w:p w14:paraId="5E2FAF9B">
      <w:pPr>
        <w:widowControl/>
        <w:adjustRightInd/>
        <w:jc w:val="center"/>
        <w:rPr>
          <w:rFonts w:hint="eastAsia" w:ascii="仿宋" w:hAnsi="仿宋" w:eastAsia="仿宋" w:cs="仿宋"/>
          <w:b/>
          <w:color w:val="auto"/>
          <w:sz w:val="36"/>
          <w:szCs w:val="20"/>
          <w:highlight w:val="none"/>
        </w:rPr>
      </w:pPr>
    </w:p>
    <w:p w14:paraId="0A06534C">
      <w:pPr>
        <w:spacing w:line="360" w:lineRule="auto"/>
        <w:jc w:val="center"/>
        <w:outlineLvl w:val="0"/>
        <w:rPr>
          <w:rFonts w:hint="eastAsia" w:ascii="仿宋" w:hAnsi="仿宋" w:eastAsia="仿宋" w:cs="仿宋"/>
          <w:b/>
          <w:color w:val="auto"/>
          <w:kern w:val="0"/>
          <w:sz w:val="36"/>
          <w:szCs w:val="36"/>
          <w:highlight w:val="none"/>
        </w:rPr>
      </w:pPr>
    </w:p>
    <w:p w14:paraId="6FE1E24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03906C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5398587">
      <w:pPr>
        <w:spacing w:line="360" w:lineRule="auto"/>
        <w:jc w:val="center"/>
        <w:outlineLvl w:val="0"/>
        <w:rPr>
          <w:rFonts w:hint="eastAsia" w:ascii="仿宋" w:hAnsi="仿宋" w:eastAsia="仿宋" w:cs="仿宋"/>
          <w:b/>
          <w:color w:val="auto"/>
          <w:kern w:val="0"/>
          <w:sz w:val="36"/>
          <w:szCs w:val="36"/>
          <w:highlight w:val="none"/>
        </w:rPr>
      </w:pPr>
    </w:p>
    <w:p w14:paraId="2DE46FD8">
      <w:pPr>
        <w:numPr>
          <w:ilvl w:val="0"/>
          <w:numId w:val="7"/>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供应商企业营业执照………………………………………………………（页码）</w:t>
      </w:r>
    </w:p>
    <w:p w14:paraId="4EDE9D97">
      <w:pPr>
        <w:numPr>
          <w:ilvl w:val="0"/>
          <w:numId w:val="7"/>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符合参加采购活动应当具备的一般条件的承诺函………………………（页码）</w:t>
      </w:r>
    </w:p>
    <w:p w14:paraId="3CF1761D">
      <w:pPr>
        <w:numPr>
          <w:ilvl w:val="0"/>
          <w:numId w:val="7"/>
        </w:numPr>
        <w:snapToGrid w:val="0"/>
        <w:spacing w:line="360" w:lineRule="auto"/>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符合特定资格条件（如果项目要求）的有关证明材料（复印件）……（页码）</w:t>
      </w:r>
    </w:p>
    <w:p w14:paraId="1FC4D660">
      <w:pPr>
        <w:pStyle w:val="15"/>
        <w:numPr>
          <w:ilvl w:val="0"/>
          <w:numId w:val="7"/>
        </w:numPr>
        <w:ind w:left="0" w:leftChars="0" w:firstLine="0" w:firstLineChars="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项目负责人无在建承诺书…………………………………………………（页码）</w:t>
      </w:r>
    </w:p>
    <w:p w14:paraId="333B1101">
      <w:pPr>
        <w:snapToGrid w:val="0"/>
        <w:spacing w:line="360" w:lineRule="auto"/>
        <w:ind w:firstLine="480" w:firstLineChars="200"/>
        <w:rPr>
          <w:rFonts w:hint="eastAsia" w:ascii="仿宋" w:hAnsi="仿宋" w:eastAsia="仿宋" w:cs="仿宋"/>
          <w:color w:val="auto"/>
          <w:sz w:val="24"/>
          <w:highlight w:val="none"/>
        </w:rPr>
      </w:pPr>
    </w:p>
    <w:p w14:paraId="2B3D0CEC">
      <w:pPr>
        <w:spacing w:line="360" w:lineRule="auto"/>
        <w:ind w:firstLine="480" w:firstLineChars="200"/>
        <w:rPr>
          <w:rFonts w:hint="eastAsia" w:ascii="仿宋" w:hAnsi="仿宋" w:eastAsia="仿宋" w:cs="仿宋"/>
          <w:color w:val="auto"/>
          <w:sz w:val="24"/>
          <w:highlight w:val="none"/>
        </w:rPr>
      </w:pPr>
    </w:p>
    <w:p w14:paraId="1B9CD6E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一、企业营业执照（复印件）</w:t>
      </w:r>
    </w:p>
    <w:p w14:paraId="319E9236">
      <w:pPr>
        <w:snapToGrid w:val="0"/>
        <w:spacing w:line="360" w:lineRule="auto"/>
        <w:ind w:right="480"/>
        <w:jc w:val="center"/>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营业执照（或事业法人登记证）复印件并加盖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w:t>
      </w:r>
    </w:p>
    <w:p w14:paraId="442B69D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18330C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二、符合参加采购活动应当具备的一般条件的承诺函</w:t>
      </w:r>
    </w:p>
    <w:p w14:paraId="6D4F28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EA68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我方参与（项目名称）【招标编号：（采购编号）】采购活动，郑重承诺：</w:t>
      </w:r>
    </w:p>
    <w:p w14:paraId="4336ACB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08EF8A84">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6C036D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108E5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05537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8896E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5609A6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16F44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w:t>
      </w:r>
      <w:r>
        <w:rPr>
          <w:rFonts w:hint="eastAsia" w:ascii="仿宋" w:hAnsi="仿宋" w:eastAsia="仿宋" w:cs="仿宋"/>
          <w:color w:val="auto"/>
          <w:sz w:val="24"/>
          <w:highlight w:val="none"/>
          <w:lang w:val="en-US" w:eastAsia="zh-CN"/>
        </w:rPr>
        <w:t>失信主体</w:t>
      </w:r>
      <w:r>
        <w:rPr>
          <w:rFonts w:hint="eastAsia" w:ascii="仿宋" w:hAnsi="仿宋" w:eastAsia="仿宋" w:cs="仿宋"/>
          <w:color w:val="auto"/>
          <w:sz w:val="24"/>
          <w:highlight w:val="none"/>
        </w:rPr>
        <w:t>、政府采购严重违法失信行为记录名单。</w:t>
      </w:r>
    </w:p>
    <w:p w14:paraId="451930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35636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6D96FE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6F2C757">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投标人名称(电子印章)：</w:t>
      </w:r>
    </w:p>
    <w:p w14:paraId="2F179A05">
      <w:pPr>
        <w:pStyle w:val="26"/>
        <w:rPr>
          <w:rFonts w:hint="eastAsia" w:ascii="仿宋" w:hAnsi="仿宋" w:eastAsia="仿宋" w:cs="仿宋"/>
          <w:color w:val="auto"/>
          <w:highlight w:val="none"/>
        </w:rPr>
      </w:pPr>
    </w:p>
    <w:p w14:paraId="11952794">
      <w:pPr>
        <w:wordWrap w:val="0"/>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r>
        <w:rPr>
          <w:rFonts w:hint="eastAsia" w:ascii="仿宋" w:hAnsi="仿宋" w:eastAsia="仿宋" w:cs="仿宋"/>
          <w:color w:val="auto"/>
          <w:kern w:val="0"/>
          <w:sz w:val="24"/>
          <w:highlight w:val="none"/>
        </w:rPr>
        <w:t xml:space="preserve">    </w:t>
      </w:r>
    </w:p>
    <w:p w14:paraId="39490A32">
      <w:pPr>
        <w:spacing w:line="360" w:lineRule="auto"/>
        <w:jc w:val="center"/>
        <w:outlineLvl w:val="1"/>
        <w:rPr>
          <w:rFonts w:hint="eastAsia" w:ascii="仿宋" w:hAnsi="仿宋" w:eastAsia="仿宋" w:cs="仿宋"/>
          <w:b/>
          <w:color w:val="auto"/>
          <w:sz w:val="32"/>
          <w:szCs w:val="32"/>
          <w:highlight w:val="none"/>
        </w:rPr>
      </w:pPr>
    </w:p>
    <w:p w14:paraId="50CDF797">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三、符合特定资格条件（如果项目要求）</w:t>
      </w:r>
    </w:p>
    <w:p w14:paraId="66BC7580">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的有关证明材料（复印件）</w:t>
      </w:r>
    </w:p>
    <w:p w14:paraId="59724D4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（由投标人根据招标公告合格的投标人应具备的特定资格要求编制；如果本项目没有设置特定资格条件，则不需要提供）</w:t>
      </w:r>
    </w:p>
    <w:p w14:paraId="0029C0E5">
      <w:pPr>
        <w:spacing w:line="4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z w:val="24"/>
          <w:highlight w:val="none"/>
          <w:lang w:val="en-US" w:eastAsia="zh-CN"/>
        </w:rPr>
        <w:t>（1）投标单位应具备建设行政主管部门核发的建筑工程施工总承包三级及以上和市政公用工程施工总承包三级及以上资质（对应资质应在“浙江省建筑市场监管公共服务系统”上资质动态核查结果处于“合格”状态），具有安全生产许可证；省外企业须浙江省住建厅备案（有效期内）或在“浙江省建筑市场监管公共服务系统”企业信息备案（省内企业不作要求）。</w:t>
      </w:r>
    </w:p>
    <w:p w14:paraId="05005DE2">
      <w:pPr>
        <w:numPr>
          <w:ilvl w:val="0"/>
          <w:numId w:val="8"/>
        </w:numPr>
        <w:spacing w:line="4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负责人须具备建筑工程二级及以上和市政公用工程二级及以上注册建造师执业资格，具有安全生产考核合格证（B证），且无在建工程。拟派项目负责人必须为本单位在职职工（在职职工不包括离、退休返聘人员），须提供缴费期限包含2024年11月至2025年1月的投标人所属社保机构养老保险交纳清单或证明（缴费单位和投标人名称必须一致，并加盖社保缴费证明专用章）；</w:t>
      </w:r>
    </w:p>
    <w:p w14:paraId="4E7B4423">
      <w:pPr>
        <w:numPr>
          <w:ilvl w:val="0"/>
          <w:numId w:val="8"/>
        </w:numPr>
        <w:spacing w:line="4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在投标截止日存在在其他任何在建合同工程上现任项目负责人（包括工程总承包项目中的施工负责人）的，不得以拟派项目负责人的身份参加本次投标。在建合同工程的开始时间为合同工程中标通知书发出日期（不通过招标方式的，开始时间为合同签订日期），结束时间为该合同工程通过验收或合同解除日期。</w:t>
      </w:r>
    </w:p>
    <w:p w14:paraId="550A69C8">
      <w:pPr>
        <w:pStyle w:val="27"/>
        <w:rPr>
          <w:rFonts w:hint="eastAsia" w:ascii="仿宋" w:hAnsi="仿宋" w:eastAsia="仿宋" w:cs="仿宋"/>
          <w:color w:val="auto"/>
          <w:sz w:val="24"/>
          <w:highlight w:val="none"/>
        </w:rPr>
      </w:pPr>
    </w:p>
    <w:p w14:paraId="3064B22F">
      <w:pPr>
        <w:rPr>
          <w:rFonts w:hint="eastAsia" w:ascii="仿宋" w:hAnsi="仿宋" w:eastAsia="仿宋" w:cs="仿宋"/>
          <w:color w:val="auto"/>
          <w:sz w:val="24"/>
          <w:highlight w:val="none"/>
        </w:rPr>
      </w:pPr>
    </w:p>
    <w:p w14:paraId="469DE00F">
      <w:pPr>
        <w:pageBreakBefore/>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项目负责人无在建承诺书（格式）</w:t>
      </w:r>
    </w:p>
    <w:p w14:paraId="761FAF35">
      <w:pPr>
        <w:spacing w:line="480" w:lineRule="auto"/>
        <w:jc w:val="left"/>
        <w:rPr>
          <w:rFonts w:hint="eastAsia" w:ascii="仿宋" w:hAnsi="仿宋" w:eastAsia="仿宋" w:cs="仿宋"/>
          <w:color w:val="auto"/>
          <w:kern w:val="32"/>
          <w:sz w:val="24"/>
          <w:highlight w:val="none"/>
        </w:rPr>
      </w:pPr>
    </w:p>
    <w:p w14:paraId="0F760044">
      <w:pPr>
        <w:spacing w:line="480" w:lineRule="auto"/>
        <w:jc w:val="left"/>
        <w:rPr>
          <w:rFonts w:hint="eastAsia" w:ascii="仿宋" w:hAnsi="仿宋" w:eastAsia="仿宋" w:cs="仿宋"/>
          <w:color w:val="auto"/>
          <w:kern w:val="32"/>
          <w:sz w:val="24"/>
          <w:highlight w:val="none"/>
        </w:rPr>
      </w:pPr>
      <w:r>
        <w:rPr>
          <w:rFonts w:hint="eastAsia" w:ascii="仿宋" w:hAnsi="仿宋" w:eastAsia="仿宋" w:cs="仿宋"/>
          <w:color w:val="auto"/>
          <w:kern w:val="32"/>
          <w:sz w:val="24"/>
          <w:highlight w:val="none"/>
          <w:lang w:eastAsia="zh-CN"/>
        </w:rPr>
        <w:t>绍兴</w:t>
      </w:r>
      <w:r>
        <w:rPr>
          <w:rFonts w:hint="eastAsia" w:ascii="仿宋" w:hAnsi="仿宋" w:eastAsia="仿宋" w:cs="仿宋"/>
          <w:color w:val="auto"/>
          <w:kern w:val="32"/>
          <w:sz w:val="24"/>
          <w:highlight w:val="none"/>
          <w:lang w:val="en-US" w:eastAsia="zh-CN"/>
        </w:rPr>
        <w:t>市公交交通集团有限公司</w:t>
      </w:r>
      <w:r>
        <w:rPr>
          <w:rFonts w:hint="eastAsia" w:ascii="仿宋" w:hAnsi="仿宋" w:eastAsia="仿宋" w:cs="仿宋"/>
          <w:color w:val="auto"/>
          <w:kern w:val="32"/>
          <w:sz w:val="24"/>
          <w:highlight w:val="none"/>
        </w:rPr>
        <w:t>（</w:t>
      </w:r>
      <w:r>
        <w:rPr>
          <w:rFonts w:hint="eastAsia" w:ascii="仿宋" w:hAnsi="仿宋" w:eastAsia="仿宋" w:cs="仿宋"/>
          <w:color w:val="auto"/>
          <w:kern w:val="32"/>
          <w:sz w:val="24"/>
          <w:highlight w:val="none"/>
          <w:lang w:val="en-US" w:eastAsia="zh-CN"/>
        </w:rPr>
        <w:t>采购</w:t>
      </w:r>
      <w:r>
        <w:rPr>
          <w:rFonts w:hint="eastAsia" w:ascii="仿宋" w:hAnsi="仿宋" w:eastAsia="仿宋" w:cs="仿宋"/>
          <w:color w:val="auto"/>
          <w:kern w:val="32"/>
          <w:sz w:val="24"/>
          <w:highlight w:val="none"/>
        </w:rPr>
        <w:t>人）</w:t>
      </w:r>
      <w:r>
        <w:rPr>
          <w:rFonts w:hint="eastAsia" w:ascii="仿宋" w:hAnsi="仿宋" w:eastAsia="仿宋" w:cs="仿宋"/>
          <w:color w:val="auto"/>
          <w:kern w:val="32"/>
          <w:sz w:val="24"/>
          <w:highlight w:val="none"/>
          <w:lang w:val="zh-CN"/>
        </w:rPr>
        <w:t>：</w:t>
      </w:r>
    </w:p>
    <w:p w14:paraId="5C7A9E4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日发布的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公告，我单位申请参加</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，拟派项目负责人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，并作出如下承诺及声明：</w:t>
      </w:r>
    </w:p>
    <w:p w14:paraId="5E46E2C6">
      <w:pPr>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1、项目负责人目前</w:t>
      </w:r>
      <w:r>
        <w:rPr>
          <w:rFonts w:hint="eastAsia" w:ascii="仿宋" w:hAnsi="仿宋" w:eastAsia="仿宋" w:cs="仿宋"/>
          <w:color w:val="auto"/>
          <w:sz w:val="24"/>
          <w:highlight w:val="none"/>
          <w:u w:val="single"/>
        </w:rPr>
        <w:t xml:space="preserve">        </w:t>
      </w:r>
      <w:r>
        <w:rPr>
          <w:rFonts w:hint="eastAsia" w:ascii="仿宋" w:hAnsi="仿宋" w:eastAsia="仿宋" w:cs="仿宋"/>
          <w:b/>
          <w:color w:val="auto"/>
          <w:sz w:val="24"/>
          <w:highlight w:val="none"/>
        </w:rPr>
        <w:t>（请填写“有”或“无”）在建工程。</w:t>
      </w:r>
    </w:p>
    <w:p w14:paraId="46D55D8B">
      <w:pPr>
        <w:spacing w:line="480" w:lineRule="auto"/>
        <w:ind w:firstLine="480" w:firstLineChars="200"/>
        <w:rPr>
          <w:rFonts w:hint="eastAsia" w:ascii="仿宋" w:hAnsi="仿宋" w:eastAsia="仿宋" w:cs="仿宋"/>
          <w:color w:val="auto"/>
          <w:sz w:val="24"/>
          <w:highlight w:val="none"/>
        </w:rPr>
      </w:pPr>
    </w:p>
    <w:p w14:paraId="041F176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我单位愿恪守信誉，并提供良好合作，若有作假，愿意承担责任。</w:t>
      </w:r>
    </w:p>
    <w:p w14:paraId="04933B5F">
      <w:pPr>
        <w:spacing w:line="480" w:lineRule="auto"/>
        <w:ind w:firstLine="4908" w:firstLineChars="2045"/>
        <w:rPr>
          <w:rFonts w:hint="eastAsia" w:ascii="仿宋" w:hAnsi="仿宋" w:eastAsia="仿宋" w:cs="仿宋"/>
          <w:bCs/>
          <w:color w:val="auto"/>
          <w:sz w:val="24"/>
          <w:highlight w:val="none"/>
        </w:rPr>
      </w:pPr>
    </w:p>
    <w:p w14:paraId="1D81037F">
      <w:pPr>
        <w:spacing w:line="480" w:lineRule="auto"/>
        <w:ind w:firstLine="4908" w:firstLineChars="2045"/>
        <w:rPr>
          <w:rFonts w:hint="eastAsia" w:ascii="仿宋" w:hAnsi="仿宋" w:eastAsia="仿宋" w:cs="仿宋"/>
          <w:bCs/>
          <w:color w:val="auto"/>
          <w:sz w:val="24"/>
          <w:highlight w:val="none"/>
        </w:rPr>
      </w:pPr>
    </w:p>
    <w:p w14:paraId="19D032F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电子印</w:t>
      </w:r>
      <w:r>
        <w:rPr>
          <w:rFonts w:hint="eastAsia" w:ascii="仿宋" w:hAnsi="仿宋" w:eastAsia="仿宋" w:cs="仿宋"/>
          <w:color w:val="auto"/>
          <w:kern w:val="0"/>
          <w:sz w:val="24"/>
          <w:highlight w:val="none"/>
          <w:lang w:val="zh-CN"/>
        </w:rPr>
        <w:t>章)：</w:t>
      </w:r>
    </w:p>
    <w:p w14:paraId="390475E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法定代表人或其授权代表(签字或盖章)：</w:t>
      </w:r>
    </w:p>
    <w:p w14:paraId="2F5887B0">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CDA965B">
      <w:pPr>
        <w:pStyle w:val="26"/>
        <w:rPr>
          <w:rFonts w:hint="eastAsia"/>
          <w:color w:val="auto"/>
          <w:highlight w:val="none"/>
        </w:rPr>
      </w:pPr>
    </w:p>
    <w:p w14:paraId="5F2891C2">
      <w:pPr>
        <w:rPr>
          <w:rFonts w:hint="eastAsia" w:ascii="仿宋" w:hAnsi="仿宋" w:eastAsia="仿宋" w:cs="仿宋"/>
          <w:color w:val="auto"/>
          <w:sz w:val="24"/>
          <w:highlight w:val="none"/>
        </w:rPr>
      </w:pPr>
    </w:p>
    <w:p w14:paraId="4DFBEDA0">
      <w:pPr>
        <w:pStyle w:val="15"/>
        <w:rPr>
          <w:rFonts w:hint="eastAsia" w:ascii="仿宋" w:hAnsi="仿宋" w:eastAsia="仿宋" w:cs="仿宋"/>
          <w:color w:val="auto"/>
          <w:sz w:val="24"/>
          <w:highlight w:val="none"/>
        </w:rPr>
      </w:pPr>
    </w:p>
    <w:p w14:paraId="6FAC3049">
      <w:pPr>
        <w:pStyle w:val="15"/>
        <w:rPr>
          <w:rFonts w:hint="eastAsia" w:ascii="仿宋" w:hAnsi="仿宋" w:eastAsia="仿宋" w:cs="仿宋"/>
          <w:color w:val="auto"/>
          <w:sz w:val="24"/>
          <w:highlight w:val="none"/>
        </w:rPr>
      </w:pPr>
    </w:p>
    <w:p w14:paraId="225249E5">
      <w:pPr>
        <w:pStyle w:val="15"/>
        <w:rPr>
          <w:rFonts w:hint="eastAsia" w:ascii="仿宋" w:hAnsi="仿宋" w:eastAsia="仿宋" w:cs="仿宋"/>
          <w:color w:val="auto"/>
          <w:sz w:val="24"/>
          <w:highlight w:val="none"/>
        </w:rPr>
      </w:pPr>
    </w:p>
    <w:p w14:paraId="7029C99E">
      <w:pPr>
        <w:pStyle w:val="15"/>
        <w:rPr>
          <w:rFonts w:hint="eastAsia" w:ascii="仿宋" w:hAnsi="仿宋" w:eastAsia="仿宋" w:cs="仿宋"/>
          <w:color w:val="auto"/>
          <w:sz w:val="24"/>
          <w:highlight w:val="none"/>
        </w:rPr>
      </w:pPr>
    </w:p>
    <w:p w14:paraId="14026E58">
      <w:pPr>
        <w:pStyle w:val="15"/>
        <w:rPr>
          <w:rFonts w:hint="eastAsia" w:ascii="仿宋" w:hAnsi="仿宋" w:eastAsia="仿宋" w:cs="仿宋"/>
          <w:color w:val="auto"/>
          <w:sz w:val="24"/>
          <w:highlight w:val="none"/>
        </w:rPr>
      </w:pPr>
    </w:p>
    <w:p w14:paraId="68917B81">
      <w:pPr>
        <w:pStyle w:val="15"/>
        <w:rPr>
          <w:rFonts w:hint="eastAsia" w:ascii="仿宋" w:hAnsi="仿宋" w:eastAsia="仿宋" w:cs="仿宋"/>
          <w:color w:val="auto"/>
          <w:sz w:val="24"/>
          <w:highlight w:val="none"/>
        </w:rPr>
      </w:pPr>
    </w:p>
    <w:p w14:paraId="3EAB61AD">
      <w:pPr>
        <w:pStyle w:val="15"/>
        <w:rPr>
          <w:rFonts w:hint="eastAsia" w:ascii="仿宋" w:hAnsi="仿宋" w:eastAsia="仿宋" w:cs="仿宋"/>
          <w:color w:val="auto"/>
          <w:sz w:val="24"/>
          <w:highlight w:val="none"/>
        </w:rPr>
      </w:pPr>
    </w:p>
    <w:p w14:paraId="582A09CE">
      <w:pPr>
        <w:pStyle w:val="15"/>
        <w:rPr>
          <w:rFonts w:hint="eastAsia" w:ascii="仿宋" w:hAnsi="仿宋" w:eastAsia="仿宋" w:cs="仿宋"/>
          <w:color w:val="auto"/>
          <w:sz w:val="24"/>
          <w:highlight w:val="none"/>
        </w:rPr>
      </w:pPr>
    </w:p>
    <w:p w14:paraId="0E7B8EB4">
      <w:pPr>
        <w:pStyle w:val="15"/>
        <w:rPr>
          <w:rFonts w:hint="eastAsia" w:ascii="仿宋" w:hAnsi="仿宋" w:eastAsia="仿宋" w:cs="仿宋"/>
          <w:color w:val="auto"/>
          <w:sz w:val="24"/>
          <w:highlight w:val="none"/>
        </w:rPr>
      </w:pPr>
    </w:p>
    <w:p w14:paraId="2050A7B6">
      <w:pPr>
        <w:pStyle w:val="15"/>
        <w:rPr>
          <w:rFonts w:hint="eastAsia" w:ascii="仿宋" w:hAnsi="仿宋" w:eastAsia="仿宋" w:cs="仿宋"/>
          <w:color w:val="auto"/>
          <w:sz w:val="24"/>
          <w:highlight w:val="none"/>
        </w:rPr>
      </w:pPr>
    </w:p>
    <w:p w14:paraId="59DCABC4">
      <w:pPr>
        <w:pStyle w:val="15"/>
        <w:rPr>
          <w:rFonts w:hint="eastAsia" w:ascii="仿宋" w:hAnsi="仿宋" w:eastAsia="仿宋" w:cs="仿宋"/>
          <w:color w:val="auto"/>
          <w:sz w:val="24"/>
          <w:highlight w:val="none"/>
        </w:rPr>
      </w:pPr>
    </w:p>
    <w:p w14:paraId="4A8017AB">
      <w:pPr>
        <w:pStyle w:val="15"/>
        <w:rPr>
          <w:rFonts w:hint="eastAsia" w:ascii="仿宋" w:hAnsi="仿宋" w:eastAsia="仿宋" w:cs="仿宋"/>
          <w:color w:val="auto"/>
          <w:sz w:val="24"/>
          <w:highlight w:val="none"/>
        </w:rPr>
      </w:pPr>
    </w:p>
    <w:p w14:paraId="6DEE14B1">
      <w:pPr>
        <w:pStyle w:val="15"/>
        <w:rPr>
          <w:rFonts w:hint="eastAsia" w:ascii="仿宋" w:hAnsi="仿宋" w:eastAsia="仿宋" w:cs="仿宋"/>
          <w:color w:val="auto"/>
          <w:sz w:val="24"/>
          <w:highlight w:val="none"/>
        </w:rPr>
      </w:pPr>
    </w:p>
    <w:p w14:paraId="73E38C4A">
      <w:pPr>
        <w:pStyle w:val="15"/>
        <w:rPr>
          <w:rFonts w:hint="eastAsia" w:ascii="仿宋" w:hAnsi="仿宋" w:eastAsia="仿宋" w:cs="仿宋"/>
          <w:color w:val="auto"/>
          <w:sz w:val="24"/>
          <w:highlight w:val="none"/>
        </w:rPr>
      </w:pPr>
    </w:p>
    <w:p w14:paraId="073DB8EF">
      <w:pPr>
        <w:pStyle w:val="15"/>
        <w:rPr>
          <w:rFonts w:hint="eastAsia" w:ascii="仿宋" w:hAnsi="仿宋" w:eastAsia="仿宋" w:cs="仿宋"/>
          <w:color w:val="auto"/>
          <w:sz w:val="24"/>
          <w:highlight w:val="none"/>
        </w:rPr>
      </w:pPr>
    </w:p>
    <w:p w14:paraId="2F7DD0F2">
      <w:pPr>
        <w:pStyle w:val="26"/>
        <w:rPr>
          <w:rFonts w:hint="eastAsia"/>
          <w:color w:val="auto"/>
          <w:highlight w:val="none"/>
        </w:rPr>
      </w:pPr>
    </w:p>
    <w:p w14:paraId="765D317F">
      <w:pPr>
        <w:spacing w:line="336"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7C88951">
      <w:pPr>
        <w:spacing w:line="336" w:lineRule="auto"/>
        <w:jc w:val="center"/>
        <w:outlineLvl w:val="0"/>
        <w:rPr>
          <w:rFonts w:hint="eastAsia" w:ascii="仿宋" w:hAnsi="仿宋" w:eastAsia="仿宋" w:cs="仿宋"/>
          <w:b/>
          <w:color w:val="auto"/>
          <w:kern w:val="0"/>
          <w:sz w:val="24"/>
          <w:highlight w:val="none"/>
        </w:rPr>
      </w:pPr>
    </w:p>
    <w:p w14:paraId="4464334A">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A51CEA8">
      <w:pPr>
        <w:pStyle w:val="35"/>
        <w:numPr>
          <w:ilvl w:val="0"/>
          <w:numId w:val="9"/>
        </w:numPr>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投标函…………………………………………………………………………（页码）</w:t>
      </w:r>
    </w:p>
    <w:p w14:paraId="07BB94BB">
      <w:pPr>
        <w:pStyle w:val="35"/>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（2）法定代表人授权委托书 …………………………………………………… （页码）</w:t>
      </w:r>
    </w:p>
    <w:p w14:paraId="12CB7D19">
      <w:pPr>
        <w:pStyle w:val="35"/>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（3）法定代表人及其授权代表身份证复印件……………………………………（页码）</w:t>
      </w:r>
    </w:p>
    <w:p w14:paraId="5685EA60">
      <w:pPr>
        <w:pStyle w:val="35"/>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（4）法定代表人身份证明书……………………………………………………… （页码）</w:t>
      </w:r>
    </w:p>
    <w:p w14:paraId="1AAD6D02">
      <w:pPr>
        <w:pStyle w:val="35"/>
        <w:spacing w:line="336" w:lineRule="auto"/>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（5）商务技术偏离表……………………………………………………………… （页码）</w:t>
      </w:r>
    </w:p>
    <w:p w14:paraId="2C57AB5A">
      <w:pPr>
        <w:pStyle w:val="35"/>
        <w:spacing w:line="336" w:lineRule="auto"/>
        <w:ind w:left="0" w:firstLine="0" w:firstLineChars="0"/>
        <w:rPr>
          <w:rFonts w:hint="eastAsia" w:ascii="仿宋" w:hAnsi="仿宋" w:eastAsia="仿宋" w:cs="仿宋"/>
          <w:strike/>
          <w:dstrike w:val="0"/>
          <w:color w:val="auto"/>
          <w:kern w:val="0"/>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6</w:t>
      </w:r>
      <w:r>
        <w:rPr>
          <w:rFonts w:hint="eastAsia" w:ascii="仿宋" w:hAnsi="仿宋" w:eastAsia="仿宋" w:cs="仿宋"/>
          <w:color w:val="auto"/>
          <w:highlight w:val="none"/>
          <w:lang w:val="zh-CN"/>
        </w:rPr>
        <w:t>）采购供应商廉洁自律承诺书</w:t>
      </w:r>
      <w:r>
        <w:rPr>
          <w:rFonts w:hint="eastAsia" w:ascii="仿宋" w:hAnsi="仿宋" w:eastAsia="仿宋" w:cs="仿宋"/>
          <w:color w:val="auto"/>
          <w:highlight w:val="none"/>
        </w:rPr>
        <w:t>………………………………………………… （页码）</w:t>
      </w:r>
      <w:r>
        <w:rPr>
          <w:rFonts w:hint="eastAsia" w:ascii="仿宋" w:hAnsi="仿宋" w:eastAsia="仿宋" w:cs="仿宋"/>
          <w:strike/>
          <w:dstrike w:val="0"/>
          <w:color w:val="auto"/>
          <w:highlight w:val="none"/>
        </w:rPr>
        <w:t>（7）</w:t>
      </w:r>
      <w:r>
        <w:rPr>
          <w:rFonts w:hint="eastAsia" w:ascii="仿宋" w:hAnsi="仿宋" w:eastAsia="仿宋" w:cs="仿宋"/>
          <w:strike/>
          <w:dstrike w:val="0"/>
          <w:snapToGrid w:val="0"/>
          <w:color w:val="auto"/>
          <w:kern w:val="0"/>
          <w:szCs w:val="21"/>
          <w:highlight w:val="none"/>
          <w:lang w:val="zh-CN"/>
        </w:rPr>
        <w:t>评分对应表</w:t>
      </w:r>
      <w:r>
        <w:rPr>
          <w:rFonts w:hint="eastAsia" w:ascii="仿宋" w:hAnsi="仿宋" w:eastAsia="仿宋" w:cs="仿宋"/>
          <w:strike/>
          <w:dstrike w:val="0"/>
          <w:color w:val="auto"/>
          <w:highlight w:val="none"/>
        </w:rPr>
        <w:t>…………………………………………………………………</w:t>
      </w:r>
      <w:r>
        <w:rPr>
          <w:rFonts w:hint="eastAsia" w:ascii="仿宋" w:hAnsi="仿宋" w:eastAsia="仿宋" w:cs="仿宋"/>
          <w:strike/>
          <w:dstrike w:val="0"/>
          <w:color w:val="auto"/>
          <w:kern w:val="0"/>
          <w:highlight w:val="none"/>
          <w:lang w:val="zh-CN"/>
        </w:rPr>
        <w:t>…</w:t>
      </w:r>
      <w:r>
        <w:rPr>
          <w:rFonts w:hint="eastAsia" w:ascii="仿宋" w:hAnsi="仿宋" w:eastAsia="仿宋" w:cs="仿宋"/>
          <w:strike/>
          <w:dstrike w:val="0"/>
          <w:color w:val="auto"/>
          <w:kern w:val="0"/>
          <w:highlight w:val="none"/>
        </w:rPr>
        <w:t>（页码）</w:t>
      </w:r>
    </w:p>
    <w:p w14:paraId="4ACF6BB4">
      <w:pPr>
        <w:pStyle w:val="35"/>
        <w:spacing w:line="336" w:lineRule="auto"/>
        <w:ind w:left="0" w:firstLine="0" w:firstLineChars="0"/>
        <w:rPr>
          <w:rFonts w:hint="eastAsia" w:ascii="仿宋" w:hAnsi="仿宋" w:eastAsia="仿宋" w:cs="仿宋"/>
          <w:strike/>
          <w:dstrike w:val="0"/>
          <w:color w:val="auto"/>
          <w:highlight w:val="none"/>
        </w:rPr>
      </w:pPr>
      <w:r>
        <w:rPr>
          <w:rFonts w:hint="eastAsia" w:ascii="仿宋" w:eastAsia="仿宋" w:cs="仿宋"/>
          <w:strike w:val="0"/>
          <w:dstrike w:val="0"/>
          <w:color w:val="auto"/>
          <w:kern w:val="0"/>
          <w:highlight w:val="none"/>
          <w:lang w:eastAsia="zh-CN"/>
        </w:rPr>
        <w:t>（</w:t>
      </w:r>
      <w:r>
        <w:rPr>
          <w:rFonts w:hint="eastAsia" w:ascii="仿宋" w:eastAsia="仿宋" w:cs="仿宋"/>
          <w:strike w:val="0"/>
          <w:dstrike w:val="0"/>
          <w:color w:val="auto"/>
          <w:kern w:val="0"/>
          <w:highlight w:val="none"/>
          <w:lang w:val="en-US" w:eastAsia="zh-CN"/>
        </w:rPr>
        <w:t>8</w:t>
      </w:r>
      <w:r>
        <w:rPr>
          <w:rFonts w:hint="eastAsia" w:ascii="仿宋" w:eastAsia="仿宋" w:cs="仿宋"/>
          <w:strike w:val="0"/>
          <w:dstrike w:val="0"/>
          <w:color w:val="auto"/>
          <w:kern w:val="0"/>
          <w:highlight w:val="none"/>
          <w:lang w:eastAsia="zh-CN"/>
        </w:rPr>
        <w:t>）</w:t>
      </w:r>
      <w:r>
        <w:rPr>
          <w:rFonts w:hint="eastAsia" w:ascii="仿宋" w:hAnsi="仿宋" w:eastAsia="仿宋" w:cs="仿宋"/>
          <w:strike w:val="0"/>
          <w:dstrike w:val="0"/>
          <w:color w:val="auto"/>
          <w:kern w:val="0"/>
          <w:highlight w:val="none"/>
        </w:rPr>
        <w:t>具有履行合同所必需的设备和专业技术能力的承诺函</w:t>
      </w:r>
      <w:r>
        <w:rPr>
          <w:rFonts w:hint="eastAsia" w:ascii="仿宋" w:hAnsi="仿宋" w:eastAsia="仿宋" w:cs="仿宋"/>
          <w:strike w:val="0"/>
          <w:color w:val="auto"/>
          <w:highlight w:val="none"/>
        </w:rPr>
        <w:t>…</w:t>
      </w:r>
      <w:r>
        <w:rPr>
          <w:rFonts w:hint="eastAsia" w:ascii="仿宋" w:hAnsi="仿宋" w:eastAsia="仿宋" w:cs="仿宋"/>
          <w:color w:val="auto"/>
          <w:highlight w:val="none"/>
        </w:rPr>
        <w:t>……………………（页码）</w:t>
      </w:r>
    </w:p>
    <w:p w14:paraId="2AC492E9">
      <w:pPr>
        <w:spacing w:line="360" w:lineRule="auto"/>
        <w:ind w:right="-368" w:rightChars="-175"/>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认为需要的其他商务技术文件或说明………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21054B9F">
      <w:pPr>
        <w:snapToGrid w:val="0"/>
        <w:spacing w:line="360" w:lineRule="auto"/>
        <w:jc w:val="center"/>
        <w:rPr>
          <w:rFonts w:hint="eastAsia" w:ascii="仿宋" w:hAnsi="仿宋" w:eastAsia="仿宋" w:cs="仿宋"/>
          <w:b/>
          <w:color w:val="auto"/>
          <w:kern w:val="0"/>
          <w:sz w:val="32"/>
          <w:szCs w:val="32"/>
          <w:highlight w:val="none"/>
          <w:lang w:val="zh-CN"/>
        </w:rPr>
      </w:pPr>
    </w:p>
    <w:p w14:paraId="44591E86">
      <w:pPr>
        <w:snapToGrid w:val="0"/>
        <w:spacing w:line="360" w:lineRule="auto"/>
        <w:jc w:val="center"/>
        <w:rPr>
          <w:rFonts w:hint="eastAsia" w:ascii="仿宋" w:hAnsi="仿宋" w:eastAsia="仿宋" w:cs="仿宋"/>
          <w:b/>
          <w:color w:val="auto"/>
          <w:kern w:val="0"/>
          <w:sz w:val="32"/>
          <w:szCs w:val="32"/>
          <w:highlight w:val="none"/>
          <w:lang w:val="zh-CN"/>
        </w:rPr>
      </w:pPr>
    </w:p>
    <w:p w14:paraId="7A8527B9">
      <w:pPr>
        <w:pStyle w:val="26"/>
        <w:rPr>
          <w:rFonts w:hint="eastAsia" w:ascii="仿宋" w:hAnsi="仿宋" w:eastAsia="仿宋" w:cs="仿宋"/>
          <w:color w:val="auto"/>
          <w:highlight w:val="none"/>
          <w:lang w:val="zh-CN"/>
        </w:rPr>
      </w:pPr>
    </w:p>
    <w:p w14:paraId="7247EBC4">
      <w:pPr>
        <w:pStyle w:val="27"/>
        <w:rPr>
          <w:rFonts w:hint="eastAsia" w:ascii="仿宋" w:hAnsi="仿宋" w:eastAsia="仿宋" w:cs="仿宋"/>
          <w:color w:val="auto"/>
          <w:highlight w:val="none"/>
          <w:lang w:val="zh-CN"/>
        </w:rPr>
      </w:pPr>
    </w:p>
    <w:p w14:paraId="53218986">
      <w:pPr>
        <w:rPr>
          <w:rFonts w:hint="eastAsia" w:ascii="仿宋" w:hAnsi="仿宋" w:eastAsia="仿宋" w:cs="仿宋"/>
          <w:color w:val="auto"/>
          <w:highlight w:val="none"/>
          <w:lang w:val="zh-CN"/>
        </w:rPr>
      </w:pPr>
    </w:p>
    <w:p w14:paraId="5EAC054D">
      <w:pPr>
        <w:snapToGrid w:val="0"/>
        <w:spacing w:line="360" w:lineRule="auto"/>
        <w:jc w:val="center"/>
        <w:rPr>
          <w:rFonts w:hint="eastAsia" w:ascii="仿宋" w:hAnsi="仿宋" w:eastAsia="仿宋" w:cs="仿宋"/>
          <w:b/>
          <w:color w:val="auto"/>
          <w:kern w:val="0"/>
          <w:sz w:val="32"/>
          <w:szCs w:val="32"/>
          <w:highlight w:val="none"/>
          <w:lang w:val="zh-CN"/>
        </w:rPr>
      </w:pPr>
    </w:p>
    <w:p w14:paraId="02783351">
      <w:pPr>
        <w:snapToGrid w:val="0"/>
        <w:spacing w:line="360" w:lineRule="auto"/>
        <w:jc w:val="center"/>
        <w:outlineLvl w:val="0"/>
        <w:rPr>
          <w:rFonts w:hint="eastAsia" w:ascii="仿宋" w:hAnsi="仿宋" w:eastAsia="仿宋" w:cs="仿宋"/>
          <w:b/>
          <w:color w:val="auto"/>
          <w:kern w:val="0"/>
          <w:sz w:val="32"/>
          <w:szCs w:val="32"/>
          <w:highlight w:val="none"/>
        </w:rPr>
      </w:pPr>
    </w:p>
    <w:p w14:paraId="59B7B86B">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E520BB4">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76D749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6497C49">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488435B5">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FC48751">
      <w:pPr>
        <w:snapToGrid w:val="0"/>
        <w:spacing w:line="360" w:lineRule="auto"/>
        <w:outlineLvl w:val="0"/>
        <w:rPr>
          <w:rFonts w:hint="eastAsia" w:ascii="仿宋" w:hAnsi="仿宋" w:eastAsia="仿宋" w:cs="仿宋"/>
          <w:b/>
          <w:color w:val="auto"/>
          <w:kern w:val="0"/>
          <w:sz w:val="32"/>
          <w:szCs w:val="32"/>
          <w:highlight w:val="none"/>
        </w:rPr>
      </w:pPr>
    </w:p>
    <w:p w14:paraId="20515361">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562ACCB">
      <w:pPr>
        <w:pStyle w:val="36"/>
        <w:spacing w:after="120" w:line="336"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p>
    <w:p w14:paraId="1D27242E">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根据贵方招标文件（</w:t>
      </w:r>
      <w:r>
        <w:rPr>
          <w:rFonts w:hint="eastAsia" w:ascii="仿宋" w:hAnsi="仿宋" w:eastAsia="仿宋" w:cs="仿宋"/>
          <w:b/>
          <w:color w:val="auto"/>
          <w:szCs w:val="24"/>
          <w:highlight w:val="none"/>
          <w:u w:val="single"/>
        </w:rPr>
        <w:t>填写招标编号：</w:t>
      </w:r>
      <w:r>
        <w:rPr>
          <w:rFonts w:hint="eastAsia" w:ascii="仿宋" w:hAnsi="仿宋" w:eastAsia="仿宋" w:cs="仿宋"/>
          <w:color w:val="auto"/>
          <w:szCs w:val="24"/>
          <w:highlight w:val="none"/>
        </w:rPr>
        <w:t>）的要求，正式授权</w:t>
      </w:r>
      <w:r>
        <w:rPr>
          <w:rFonts w:hint="eastAsia" w:ascii="仿宋" w:hAnsi="仿宋" w:eastAsia="仿宋" w:cs="仿宋"/>
          <w:b/>
          <w:color w:val="auto"/>
          <w:szCs w:val="24"/>
          <w:highlight w:val="none"/>
          <w:u w:val="single"/>
        </w:rPr>
        <w:t>（全权代表姓名    、单位    、职务   ）</w:t>
      </w:r>
      <w:r>
        <w:rPr>
          <w:rFonts w:hint="eastAsia" w:ascii="仿宋" w:hAnsi="仿宋" w:eastAsia="仿宋" w:cs="仿宋"/>
          <w:color w:val="auto"/>
          <w:szCs w:val="24"/>
          <w:highlight w:val="none"/>
        </w:rPr>
        <w:t>代表供应商</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 xml:space="preserve">填写单位    、地址   </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提交投标文件。</w:t>
      </w:r>
    </w:p>
    <w:p w14:paraId="387D2836">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我方已完全明白招标文件的所有条款要求，兹声明同意如下：</w:t>
      </w:r>
    </w:p>
    <w:p w14:paraId="3E27B442">
      <w:pPr>
        <w:pStyle w:val="6"/>
        <w:numPr>
          <w:ilvl w:val="0"/>
          <w:numId w:val="0"/>
        </w:numPr>
        <w:spacing w:after="120" w:line="336" w:lineRule="auto"/>
        <w:ind w:left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1.我方同意在供应商须知规定的开标日期起遵守本投标文件中的承诺且在投标有效期满之前均具有约束力。</w:t>
      </w:r>
    </w:p>
    <w:p w14:paraId="686BB0A2">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2.我方承诺已经具备本项目招标文件中要求的参加采购活动的供应商应当具备的条件。</w:t>
      </w:r>
    </w:p>
    <w:p w14:paraId="761FEB57">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投标文件中填列的技术参数、配置、服务、数量等相关内容都是真实、准确的。保证在本次项目中所提供的资料全部真实和合法。同意向采购人或采购代理机构提供可能另外要求的与投标有关的任何数据或资料。</w:t>
      </w:r>
    </w:p>
    <w:p w14:paraId="6AF76815">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4.我方理解贵方将不受所收到的最低报价的约束。</w:t>
      </w:r>
    </w:p>
    <w:p w14:paraId="2EB11FD1">
      <w:pPr>
        <w:pStyle w:val="6"/>
        <w:numPr>
          <w:ilvl w:val="0"/>
          <w:numId w:val="0"/>
        </w:numPr>
        <w:spacing w:after="120" w:line="336" w:lineRule="auto"/>
        <w:ind w:left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5.本投标自开标之日（投标截止之日）起</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天内有效。</w:t>
      </w:r>
    </w:p>
    <w:p w14:paraId="19B88406">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我方将严格遵守以下条款，即供应商有下列情形之一的，处以采购金额5‰以上10‰以下的罚款，列入不良行为记录名单，在一至三年内禁止参加本项目采购人（及其集团公司）发起的采购活动；构成犯罪的，依法追究刑事责任：</w:t>
      </w:r>
    </w:p>
    <w:p w14:paraId="4ADD9EA7">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64B8460E">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1AEE87B7">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c)与采购人、其它供应商或者采购代理机构恶意串通的；</w:t>
      </w:r>
    </w:p>
    <w:p w14:paraId="0827D350">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3DC147A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238103C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611A442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0EBFE6D8">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63E2803D">
      <w:pPr>
        <w:snapToGrid w:val="0"/>
        <w:spacing w:line="336" w:lineRule="auto"/>
        <w:ind w:firstLine="480" w:firstLineChars="20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供应商(电子印章)：　　　　　　　　　日期：  </w:t>
      </w:r>
    </w:p>
    <w:p w14:paraId="3B6835A8">
      <w:pPr>
        <w:widowControl/>
        <w:adjustRightInd/>
        <w:jc w:val="both"/>
        <w:rPr>
          <w:rFonts w:hint="eastAsia" w:ascii="仿宋" w:hAnsi="仿宋" w:eastAsia="仿宋" w:cs="仿宋"/>
          <w:b/>
          <w:color w:val="auto"/>
          <w:sz w:val="30"/>
          <w:szCs w:val="30"/>
          <w:highlight w:val="none"/>
        </w:rPr>
      </w:pPr>
    </w:p>
    <w:p w14:paraId="51E88B37">
      <w:pPr>
        <w:widowControl/>
        <w:adjustRightInd/>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二、法定代表人授权委托书（格式） </w:t>
      </w:r>
      <w:r>
        <w:rPr>
          <w:rFonts w:hint="eastAsia" w:ascii="仿宋" w:hAnsi="仿宋" w:eastAsia="仿宋" w:cs="仿宋"/>
          <w:b/>
          <w:color w:val="auto"/>
          <w:kern w:val="0"/>
          <w:sz w:val="32"/>
          <w:szCs w:val="32"/>
          <w:highlight w:val="none"/>
          <w:lang w:val="zh-CN"/>
        </w:rPr>
        <w:t>（适用于非联合体投标）</w:t>
      </w:r>
    </w:p>
    <w:p w14:paraId="048F80A2">
      <w:pPr>
        <w:jc w:val="center"/>
        <w:rPr>
          <w:rFonts w:hint="eastAsia" w:ascii="仿宋" w:hAnsi="仿宋" w:eastAsia="仿宋" w:cs="仿宋"/>
          <w:b/>
          <w:color w:val="auto"/>
          <w:sz w:val="24"/>
          <w:highlight w:val="none"/>
        </w:rPr>
      </w:pPr>
    </w:p>
    <w:p w14:paraId="551C6D9C">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（填写姓名</w:t>
      </w:r>
      <w:r>
        <w:rPr>
          <w:rFonts w:hint="eastAsia" w:ascii="仿宋" w:hAnsi="仿宋" w:eastAsia="仿宋" w:cs="仿宋"/>
          <w:color w:val="auto"/>
          <w:sz w:val="24"/>
          <w:highlight w:val="none"/>
          <w:u w:val="single"/>
          <w:lang w:val="en-US" w:eastAsia="zh-CN"/>
        </w:rPr>
        <w:t>及身份证号码</w:t>
      </w:r>
      <w:r>
        <w:rPr>
          <w:rFonts w:hint="eastAsia" w:ascii="仿宋" w:hAnsi="仿宋" w:eastAsia="仿宋" w:cs="仿宋"/>
          <w:color w:val="auto"/>
          <w:sz w:val="24"/>
          <w:highlight w:val="none"/>
        </w:rPr>
        <w:t>）为我公司授权代表</w:t>
      </w:r>
      <w:r>
        <w:rPr>
          <w:rFonts w:hint="default" w:ascii="仿宋" w:hAnsi="仿宋" w:eastAsia="仿宋" w:cs="仿宋"/>
          <w:color w:val="auto"/>
          <w:sz w:val="24"/>
          <w:highlight w:val="none"/>
          <w:woUserID w:val="1"/>
        </w:rPr>
        <w:t>，</w:t>
      </w:r>
      <w:r>
        <w:rPr>
          <w:rFonts w:hint="eastAsia" w:ascii="仿宋" w:hAnsi="仿宋" w:eastAsia="仿宋" w:cs="仿宋"/>
          <w:color w:val="auto"/>
          <w:sz w:val="24"/>
          <w:highlight w:val="none"/>
        </w:rPr>
        <w:t>以本公司的名义参加组织的投标活动。授权代表在开标、评标、合同谈判过程中所签署的一切文件和处理与之有关的一切事务，我均予以承认。</w:t>
      </w:r>
    </w:p>
    <w:p w14:paraId="4BE28757">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w:t>
      </w:r>
      <w:r>
        <w:rPr>
          <w:rFonts w:hint="eastAsia" w:ascii="仿宋" w:hAnsi="仿宋" w:eastAsia="仿宋" w:cs="仿宋"/>
          <w:color w:val="auto"/>
          <w:sz w:val="24"/>
          <w:highlight w:val="none"/>
          <w:lang w:val="en-US" w:eastAsia="zh-CN"/>
        </w:rPr>
        <w:t>授权</w:t>
      </w:r>
      <w:r>
        <w:rPr>
          <w:rFonts w:hint="eastAsia" w:ascii="仿宋" w:hAnsi="仿宋" w:eastAsia="仿宋" w:cs="仿宋"/>
          <w:color w:val="auto"/>
          <w:sz w:val="24"/>
          <w:highlight w:val="none"/>
        </w:rPr>
        <w:t>代表在授权书有效期内签署的所有文件不因授权的撤销而失效。</w:t>
      </w:r>
    </w:p>
    <w:p w14:paraId="5B633A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621987C">
      <w:pPr>
        <w:snapToGrid w:val="0"/>
        <w:spacing w:line="600" w:lineRule="exact"/>
        <w:jc w:val="left"/>
        <w:rPr>
          <w:rFonts w:hint="eastAsia" w:ascii="仿宋" w:hAnsi="仿宋" w:eastAsia="仿宋" w:cs="仿宋"/>
          <w:color w:val="auto"/>
          <w:sz w:val="24"/>
          <w:highlight w:val="none"/>
        </w:rPr>
      </w:pPr>
    </w:p>
    <w:p w14:paraId="16EE38B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2C569DB6">
      <w:pPr>
        <w:spacing w:line="360" w:lineRule="exact"/>
        <w:rPr>
          <w:rFonts w:hint="eastAsia" w:ascii="仿宋" w:hAnsi="仿宋" w:eastAsia="仿宋" w:cs="仿宋"/>
          <w:color w:val="auto"/>
          <w:sz w:val="24"/>
          <w:highlight w:val="none"/>
        </w:rPr>
      </w:pPr>
    </w:p>
    <w:p w14:paraId="010127D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F1DE5F2">
      <w:pPr>
        <w:spacing w:line="360" w:lineRule="exact"/>
        <w:rPr>
          <w:rFonts w:hint="eastAsia" w:ascii="仿宋" w:hAnsi="仿宋" w:eastAsia="仿宋" w:cs="仿宋"/>
          <w:color w:val="auto"/>
          <w:sz w:val="24"/>
          <w:highlight w:val="none"/>
        </w:rPr>
      </w:pPr>
    </w:p>
    <w:p w14:paraId="4BCE11A3">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1218C3A8">
      <w:pPr>
        <w:spacing w:line="360" w:lineRule="exact"/>
        <w:rPr>
          <w:rFonts w:hint="eastAsia" w:ascii="仿宋" w:hAnsi="仿宋" w:eastAsia="仿宋" w:cs="仿宋"/>
          <w:color w:val="auto"/>
          <w:sz w:val="24"/>
          <w:highlight w:val="none"/>
        </w:rPr>
      </w:pPr>
    </w:p>
    <w:p w14:paraId="6BEB31B3">
      <w:pPr>
        <w:spacing w:line="360" w:lineRule="exact"/>
        <w:rPr>
          <w:rFonts w:hint="eastAsia" w:ascii="仿宋" w:hAnsi="仿宋" w:eastAsia="仿宋" w:cs="仿宋"/>
          <w:color w:val="auto"/>
          <w:sz w:val="24"/>
          <w:highlight w:val="none"/>
        </w:rPr>
      </w:pPr>
    </w:p>
    <w:p w14:paraId="21CF13C8">
      <w:pPr>
        <w:spacing w:line="360" w:lineRule="exact"/>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color w:val="auto"/>
          <w:sz w:val="24"/>
          <w:highlight w:val="none"/>
        </w:rPr>
        <w:t>（电子印章）：</w:t>
      </w:r>
    </w:p>
    <w:p w14:paraId="001B43EE">
      <w:pPr>
        <w:spacing w:line="360" w:lineRule="exact"/>
        <w:rPr>
          <w:rFonts w:hint="eastAsia" w:ascii="仿宋" w:hAnsi="仿宋" w:eastAsia="仿宋" w:cs="仿宋"/>
          <w:color w:val="auto"/>
          <w:sz w:val="24"/>
          <w:highlight w:val="none"/>
        </w:rPr>
      </w:pPr>
    </w:p>
    <w:p w14:paraId="67A6C898">
      <w:pPr>
        <w:spacing w:line="360" w:lineRule="exact"/>
        <w:rPr>
          <w:rFonts w:hint="eastAsia" w:ascii="仿宋" w:hAnsi="仿宋" w:eastAsia="仿宋" w:cs="仿宋"/>
          <w:color w:val="auto"/>
          <w:sz w:val="24"/>
          <w:highlight w:val="none"/>
        </w:rPr>
      </w:pPr>
    </w:p>
    <w:p w14:paraId="44AF995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7C01FAB">
      <w:pPr>
        <w:spacing w:line="360" w:lineRule="exact"/>
        <w:rPr>
          <w:rFonts w:hint="eastAsia" w:ascii="仿宋" w:hAnsi="仿宋" w:eastAsia="仿宋" w:cs="仿宋"/>
          <w:color w:val="auto"/>
          <w:sz w:val="24"/>
          <w:highlight w:val="none"/>
        </w:rPr>
      </w:pPr>
    </w:p>
    <w:p w14:paraId="5EEA4327">
      <w:pPr>
        <w:spacing w:line="360" w:lineRule="exact"/>
        <w:rPr>
          <w:rFonts w:hint="eastAsia" w:ascii="仿宋" w:hAnsi="仿宋" w:eastAsia="仿宋" w:cs="仿宋"/>
          <w:color w:val="auto"/>
          <w:sz w:val="24"/>
          <w:highlight w:val="none"/>
        </w:rPr>
      </w:pPr>
    </w:p>
    <w:p w14:paraId="53908263">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FECE540">
      <w:pPr>
        <w:ind w:firstLine="4920" w:firstLineChars="2050"/>
        <w:jc w:val="left"/>
        <w:rPr>
          <w:rFonts w:hint="eastAsia" w:ascii="仿宋" w:hAnsi="仿宋" w:eastAsia="仿宋" w:cs="仿宋"/>
          <w:color w:val="auto"/>
          <w:sz w:val="24"/>
          <w:highlight w:val="none"/>
        </w:rPr>
      </w:pPr>
    </w:p>
    <w:p w14:paraId="2F62B907">
      <w:pPr>
        <w:spacing w:line="800" w:lineRule="exact"/>
        <w:rPr>
          <w:rFonts w:hint="eastAsia" w:ascii="仿宋" w:hAnsi="仿宋" w:eastAsia="仿宋" w:cs="仿宋"/>
          <w:b/>
          <w:color w:val="auto"/>
          <w:sz w:val="24"/>
          <w:highlight w:val="none"/>
        </w:rPr>
      </w:pPr>
    </w:p>
    <w:p w14:paraId="00668DBB">
      <w:pPr>
        <w:pStyle w:val="15"/>
        <w:rPr>
          <w:rFonts w:hint="eastAsia" w:ascii="仿宋" w:hAnsi="仿宋" w:eastAsia="仿宋" w:cs="仿宋"/>
          <w:b/>
          <w:color w:val="auto"/>
          <w:sz w:val="24"/>
          <w:highlight w:val="none"/>
        </w:rPr>
      </w:pPr>
    </w:p>
    <w:p w14:paraId="75CFCFA1">
      <w:pPr>
        <w:pStyle w:val="15"/>
        <w:rPr>
          <w:rFonts w:hint="eastAsia" w:ascii="仿宋" w:hAnsi="仿宋" w:eastAsia="仿宋" w:cs="仿宋"/>
          <w:b/>
          <w:color w:val="auto"/>
          <w:sz w:val="24"/>
          <w:highlight w:val="none"/>
        </w:rPr>
      </w:pPr>
    </w:p>
    <w:p w14:paraId="45E20265">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三、法定代表人及其授权代表身份证复印件（正反面）</w:t>
      </w:r>
    </w:p>
    <w:p w14:paraId="713AE03A">
      <w:pPr>
        <w:rPr>
          <w:rFonts w:hint="eastAsia" w:ascii="仿宋" w:hAnsi="仿宋" w:eastAsia="仿宋" w:cs="仿宋"/>
          <w:b/>
          <w:color w:val="auto"/>
          <w:sz w:val="24"/>
          <w:highlight w:val="none"/>
        </w:rPr>
      </w:pPr>
    </w:p>
    <w:p w14:paraId="3FB66298">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四、法定代表人身份证明书(格式)</w:t>
      </w:r>
    </w:p>
    <w:p w14:paraId="65F3D31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 应 商：</w:t>
      </w:r>
    </w:p>
    <w:p w14:paraId="26DFB67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p>
    <w:p w14:paraId="79800BCD">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p>
    <w:p w14:paraId="0E262F3B">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p>
    <w:p w14:paraId="2F6D42B8">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p>
    <w:p w14:paraId="399EC34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（填写供应商名称）</w:t>
      </w:r>
      <w:r>
        <w:rPr>
          <w:rFonts w:hint="eastAsia" w:ascii="仿宋" w:hAnsi="仿宋" w:eastAsia="仿宋" w:cs="仿宋"/>
          <w:color w:val="auto"/>
          <w:sz w:val="24"/>
          <w:highlight w:val="none"/>
        </w:rPr>
        <w:t>的法定代表人。</w:t>
      </w:r>
    </w:p>
    <w:p w14:paraId="05D40C7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9839B75">
      <w:pPr>
        <w:spacing w:line="440" w:lineRule="exact"/>
        <w:rPr>
          <w:rFonts w:hint="eastAsia" w:ascii="仿宋" w:hAnsi="仿宋" w:eastAsia="仿宋" w:cs="仿宋"/>
          <w:color w:val="auto"/>
          <w:sz w:val="24"/>
          <w:highlight w:val="none"/>
        </w:rPr>
      </w:pPr>
    </w:p>
    <w:p w14:paraId="6164628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名称（电子印章）：</w:t>
      </w:r>
    </w:p>
    <w:p w14:paraId="35772E18">
      <w:pPr>
        <w:spacing w:line="440" w:lineRule="exact"/>
        <w:ind w:right="480"/>
        <w:rPr>
          <w:rFonts w:hint="eastAsia" w:ascii="仿宋" w:hAnsi="仿宋" w:eastAsia="仿宋" w:cs="仿宋"/>
          <w:color w:val="auto"/>
          <w:sz w:val="24"/>
          <w:highlight w:val="none"/>
        </w:rPr>
      </w:pPr>
    </w:p>
    <w:p w14:paraId="63856530">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8906D13">
      <w:pPr>
        <w:jc w:val="center"/>
        <w:rPr>
          <w:rFonts w:hint="eastAsia" w:ascii="仿宋" w:hAnsi="仿宋" w:eastAsia="仿宋" w:cs="仿宋"/>
          <w:b/>
          <w:color w:val="auto"/>
          <w:kern w:val="0"/>
          <w:sz w:val="32"/>
          <w:szCs w:val="32"/>
          <w:highlight w:val="none"/>
        </w:rPr>
      </w:pPr>
    </w:p>
    <w:p w14:paraId="6C2FA3EA">
      <w:pPr>
        <w:pStyle w:val="26"/>
        <w:rPr>
          <w:rFonts w:hint="eastAsia" w:ascii="仿宋" w:hAnsi="仿宋" w:eastAsia="仿宋" w:cs="仿宋"/>
          <w:color w:val="auto"/>
          <w:highlight w:val="none"/>
        </w:rPr>
      </w:pPr>
    </w:p>
    <w:p w14:paraId="64A98D83">
      <w:pPr>
        <w:pStyle w:val="27"/>
        <w:rPr>
          <w:rFonts w:hint="eastAsia" w:ascii="仿宋" w:hAnsi="仿宋" w:eastAsia="仿宋" w:cs="仿宋"/>
          <w:color w:val="auto"/>
          <w:highlight w:val="none"/>
        </w:rPr>
      </w:pPr>
    </w:p>
    <w:p w14:paraId="42CD4DF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54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FAA8139">
            <w:pPr>
              <w:autoSpaceDE w:val="0"/>
              <w:autoSpaceDN w:val="0"/>
              <w:spacing w:line="24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center"/>
          </w:tcPr>
          <w:p w14:paraId="148C5C62">
            <w:pPr>
              <w:autoSpaceDE w:val="0"/>
              <w:autoSpaceDN w:val="0"/>
              <w:spacing w:line="24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0"/>
            <w:vAlign w:val="center"/>
          </w:tcPr>
          <w:p w14:paraId="57C6AA1C">
            <w:pPr>
              <w:autoSpaceDE w:val="0"/>
              <w:autoSpaceDN w:val="0"/>
              <w:spacing w:line="24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0"/>
            <w:vAlign w:val="center"/>
          </w:tcPr>
          <w:p w14:paraId="295DEEE0">
            <w:pPr>
              <w:autoSpaceDE w:val="0"/>
              <w:autoSpaceDN w:val="0"/>
              <w:spacing w:line="24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B60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102B10A">
            <w:pPr>
              <w:autoSpaceDE w:val="0"/>
              <w:autoSpaceDN w:val="0"/>
              <w:spacing w:line="240" w:lineRule="atLeas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center"/>
          </w:tcPr>
          <w:p w14:paraId="151820A5">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3546" w:type="dxa"/>
            <w:noWrap w:val="0"/>
            <w:vAlign w:val="center"/>
          </w:tcPr>
          <w:p w14:paraId="5E6AA49D">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1276" w:type="dxa"/>
            <w:noWrap w:val="0"/>
            <w:vAlign w:val="center"/>
          </w:tcPr>
          <w:p w14:paraId="3D995C2E">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r>
      <w:tr w14:paraId="09B1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3D69DB3">
            <w:pPr>
              <w:spacing w:line="240" w:lineRule="atLeas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center"/>
          </w:tcPr>
          <w:p w14:paraId="1BA5FE7B">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3546" w:type="dxa"/>
            <w:noWrap w:val="0"/>
            <w:vAlign w:val="center"/>
          </w:tcPr>
          <w:p w14:paraId="185DA389">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1276" w:type="dxa"/>
            <w:noWrap w:val="0"/>
            <w:vAlign w:val="center"/>
          </w:tcPr>
          <w:p w14:paraId="0F38840B">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r>
      <w:tr w14:paraId="6A01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3FB60FD">
            <w:pPr>
              <w:spacing w:line="240" w:lineRule="atLeas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center"/>
          </w:tcPr>
          <w:p w14:paraId="6E36CA6A">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3546" w:type="dxa"/>
            <w:noWrap w:val="0"/>
            <w:vAlign w:val="center"/>
          </w:tcPr>
          <w:p w14:paraId="23FA036E">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c>
          <w:tcPr>
            <w:tcW w:w="1276" w:type="dxa"/>
            <w:noWrap w:val="0"/>
            <w:vAlign w:val="center"/>
          </w:tcPr>
          <w:p w14:paraId="75FD3B2C">
            <w:pPr>
              <w:keepNext/>
              <w:keepLines/>
              <w:tabs>
                <w:tab w:val="left" w:pos="432"/>
              </w:tabs>
              <w:spacing w:line="240" w:lineRule="atLeast"/>
              <w:jc w:val="center"/>
              <w:textAlignment w:val="center"/>
              <w:outlineLvl w:val="0"/>
              <w:rPr>
                <w:rFonts w:hint="eastAsia" w:ascii="仿宋" w:hAnsi="仿宋" w:eastAsia="仿宋" w:cs="仿宋"/>
                <w:b/>
                <w:color w:val="auto"/>
                <w:kern w:val="0"/>
                <w:sz w:val="32"/>
                <w:szCs w:val="32"/>
                <w:highlight w:val="none"/>
              </w:rPr>
            </w:pPr>
          </w:p>
        </w:tc>
      </w:tr>
    </w:tbl>
    <w:p w14:paraId="7B88FC1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供应商保证：除商务技术偏离表列出的偏离外，供应商响应招标文件的全部要求</w:t>
      </w:r>
    </w:p>
    <w:p w14:paraId="780FFEE6">
      <w:pPr>
        <w:jc w:val="center"/>
        <w:rPr>
          <w:rFonts w:hint="eastAsia" w:ascii="仿宋" w:hAnsi="仿宋" w:eastAsia="仿宋" w:cs="仿宋"/>
          <w:b/>
          <w:color w:val="auto"/>
          <w:kern w:val="0"/>
          <w:sz w:val="32"/>
          <w:szCs w:val="32"/>
          <w:highlight w:val="none"/>
        </w:rPr>
      </w:pPr>
    </w:p>
    <w:p w14:paraId="45C7ACB4">
      <w:pPr>
        <w:spacing w:line="360" w:lineRule="auto"/>
        <w:ind w:right="420"/>
        <w:rPr>
          <w:rFonts w:hint="eastAsia"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30BB4102">
      <w:pPr>
        <w:rPr>
          <w:rFonts w:hint="eastAsia" w:ascii="仿宋" w:hAnsi="仿宋" w:eastAsia="仿宋" w:cs="仿宋"/>
          <w:color w:val="auto"/>
          <w:highlight w:val="none"/>
        </w:rPr>
      </w:pPr>
    </w:p>
    <w:p w14:paraId="5337A123">
      <w:pPr>
        <w:widowControl/>
        <w:adjustRightInd/>
        <w:jc w:val="center"/>
        <w:rPr>
          <w:rFonts w:hint="eastAsia" w:ascii="仿宋" w:hAnsi="仿宋" w:eastAsia="仿宋" w:cs="仿宋"/>
          <w:b/>
          <w:bCs/>
          <w:color w:val="auto"/>
          <w:sz w:val="32"/>
          <w:szCs w:val="32"/>
          <w:highlight w:val="none"/>
        </w:rPr>
      </w:pPr>
    </w:p>
    <w:p w14:paraId="0D709EDA">
      <w:pPr>
        <w:pStyle w:val="15"/>
        <w:rPr>
          <w:rFonts w:hint="eastAsia" w:ascii="仿宋" w:hAnsi="仿宋" w:eastAsia="仿宋" w:cs="仿宋"/>
          <w:b/>
          <w:bCs/>
          <w:color w:val="auto"/>
          <w:sz w:val="32"/>
          <w:szCs w:val="32"/>
          <w:highlight w:val="none"/>
        </w:rPr>
      </w:pPr>
    </w:p>
    <w:p w14:paraId="64ED197F">
      <w:pPr>
        <w:pStyle w:val="15"/>
        <w:rPr>
          <w:rFonts w:hint="eastAsia" w:ascii="仿宋" w:hAnsi="仿宋" w:eastAsia="仿宋" w:cs="仿宋"/>
          <w:b/>
          <w:bCs/>
          <w:color w:val="auto"/>
          <w:sz w:val="32"/>
          <w:szCs w:val="32"/>
          <w:highlight w:val="none"/>
        </w:rPr>
      </w:pPr>
    </w:p>
    <w:p w14:paraId="42F7BB4E">
      <w:pPr>
        <w:pStyle w:val="15"/>
        <w:rPr>
          <w:rFonts w:hint="eastAsia" w:ascii="仿宋" w:hAnsi="仿宋" w:eastAsia="仿宋" w:cs="仿宋"/>
          <w:b/>
          <w:bCs/>
          <w:color w:val="auto"/>
          <w:sz w:val="32"/>
          <w:szCs w:val="32"/>
          <w:highlight w:val="none"/>
        </w:rPr>
      </w:pPr>
    </w:p>
    <w:p w14:paraId="716173AF">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0FF6CCCB">
      <w:pPr>
        <w:snapToGrid w:val="0"/>
        <w:spacing w:line="360" w:lineRule="auto"/>
        <w:rPr>
          <w:rFonts w:hint="eastAsia" w:ascii="仿宋" w:hAnsi="仿宋" w:eastAsia="仿宋" w:cs="仿宋"/>
          <w:color w:val="auto"/>
          <w:sz w:val="24"/>
          <w:highlight w:val="none"/>
        </w:rPr>
      </w:pPr>
    </w:p>
    <w:p w14:paraId="6BC37FC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E6EAB1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w:t>
      </w:r>
      <w:r>
        <w:rPr>
          <w:rFonts w:hint="eastAsia" w:ascii="仿宋" w:hAnsi="仿宋" w:eastAsia="仿宋" w:cs="仿宋"/>
          <w:color w:val="auto"/>
          <w:kern w:val="0"/>
          <w:sz w:val="24"/>
          <w:highlight w:val="none"/>
        </w:rPr>
        <w:t>单位</w:t>
      </w:r>
      <w:r>
        <w:rPr>
          <w:rFonts w:hint="eastAsia" w:ascii="仿宋" w:hAnsi="仿宋" w:eastAsia="仿宋" w:cs="仿宋"/>
          <w:color w:val="auto"/>
          <w:kern w:val="0"/>
          <w:sz w:val="24"/>
          <w:highlight w:val="none"/>
          <w:lang w:val="zh-CN"/>
        </w:rPr>
        <w:t>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w:t>
      </w:r>
      <w:r>
        <w:rPr>
          <w:rFonts w:hint="eastAsia" w:ascii="仿宋" w:hAnsi="仿宋" w:eastAsia="仿宋" w:cs="仿宋"/>
          <w:color w:val="auto"/>
          <w:kern w:val="0"/>
          <w:sz w:val="24"/>
          <w:highlight w:val="none"/>
        </w:rPr>
        <w:t>单位</w:t>
      </w:r>
      <w:r>
        <w:rPr>
          <w:rFonts w:hint="eastAsia" w:ascii="仿宋" w:hAnsi="仿宋" w:eastAsia="仿宋" w:cs="仿宋"/>
          <w:color w:val="auto"/>
          <w:kern w:val="0"/>
          <w:sz w:val="24"/>
          <w:highlight w:val="none"/>
          <w:lang w:val="zh-CN"/>
        </w:rPr>
        <w:t>将严格遵守国家法律法规要求，并郑重承诺：</w:t>
      </w:r>
    </w:p>
    <w:p w14:paraId="39448A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E645D1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36C3EA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952BB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0E4C2E">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6DE0075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6088EF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w:t>
      </w:r>
      <w:r>
        <w:rPr>
          <w:rFonts w:hint="eastAsia" w:ascii="仿宋" w:hAnsi="仿宋" w:eastAsia="仿宋" w:cs="仿宋"/>
          <w:color w:val="auto"/>
          <w:kern w:val="0"/>
          <w:sz w:val="24"/>
          <w:highlight w:val="none"/>
        </w:rPr>
        <w:t>单位</w:t>
      </w:r>
      <w:r>
        <w:rPr>
          <w:rFonts w:hint="eastAsia" w:ascii="仿宋" w:hAnsi="仿宋" w:eastAsia="仿宋" w:cs="仿宋"/>
          <w:color w:val="auto"/>
          <w:kern w:val="0"/>
          <w:sz w:val="24"/>
          <w:highlight w:val="none"/>
          <w:lang w:val="zh-CN"/>
        </w:rPr>
        <w:t>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项目所在行业主管部门（如有）</w:t>
      </w:r>
      <w:r>
        <w:rPr>
          <w:rFonts w:hint="eastAsia" w:ascii="仿宋" w:hAnsi="仿宋" w:eastAsia="仿宋" w:cs="仿宋"/>
          <w:color w:val="auto"/>
          <w:kern w:val="0"/>
          <w:sz w:val="24"/>
          <w:highlight w:val="none"/>
          <w:lang w:val="zh-CN"/>
        </w:rPr>
        <w:t>。由此引起的相应损失均由我单位承担。</w:t>
      </w:r>
    </w:p>
    <w:p w14:paraId="3530A35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电子印章</w:t>
      </w:r>
      <w:r>
        <w:rPr>
          <w:rFonts w:hint="eastAsia" w:ascii="仿宋" w:hAnsi="仿宋" w:eastAsia="仿宋" w:cs="仿宋"/>
          <w:color w:val="auto"/>
          <w:kern w:val="0"/>
          <w:sz w:val="24"/>
          <w:highlight w:val="none"/>
          <w:lang w:val="zh-CN"/>
        </w:rPr>
        <w:t xml:space="preserve">）：       </w:t>
      </w:r>
    </w:p>
    <w:p w14:paraId="78DA1F2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507BE3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79CED8">
      <w:pPr>
        <w:spacing w:line="360" w:lineRule="auto"/>
        <w:jc w:val="both"/>
        <w:rPr>
          <w:rFonts w:hint="eastAsia" w:ascii="仿宋" w:hAnsi="仿宋" w:eastAsia="仿宋" w:cs="仿宋"/>
          <w:b/>
          <w:bCs/>
          <w:color w:val="auto"/>
          <w:spacing w:val="6"/>
          <w:sz w:val="32"/>
          <w:szCs w:val="32"/>
          <w:highlight w:val="none"/>
        </w:rPr>
      </w:pPr>
    </w:p>
    <w:p w14:paraId="4154374B">
      <w:pPr>
        <w:pStyle w:val="15"/>
        <w:rPr>
          <w:rFonts w:hint="eastAsia" w:ascii="仿宋" w:hAnsi="仿宋" w:eastAsia="仿宋" w:cs="仿宋"/>
          <w:b/>
          <w:bCs/>
          <w:color w:val="auto"/>
          <w:spacing w:val="6"/>
          <w:sz w:val="32"/>
          <w:szCs w:val="32"/>
          <w:highlight w:val="none"/>
        </w:rPr>
      </w:pPr>
    </w:p>
    <w:p w14:paraId="2D5F484E">
      <w:pPr>
        <w:pStyle w:val="15"/>
        <w:rPr>
          <w:rFonts w:hint="eastAsia" w:ascii="仿宋" w:hAnsi="仿宋" w:eastAsia="仿宋" w:cs="仿宋"/>
          <w:b/>
          <w:bCs/>
          <w:color w:val="auto"/>
          <w:spacing w:val="6"/>
          <w:sz w:val="32"/>
          <w:szCs w:val="32"/>
          <w:highlight w:val="none"/>
        </w:rPr>
      </w:pPr>
    </w:p>
    <w:p w14:paraId="2F0B461E">
      <w:pPr>
        <w:pStyle w:val="15"/>
        <w:rPr>
          <w:rFonts w:hint="eastAsia" w:ascii="仿宋" w:hAnsi="仿宋" w:eastAsia="仿宋" w:cs="仿宋"/>
          <w:b/>
          <w:bCs/>
          <w:color w:val="auto"/>
          <w:spacing w:val="6"/>
          <w:sz w:val="32"/>
          <w:szCs w:val="32"/>
          <w:highlight w:val="none"/>
        </w:rPr>
      </w:pPr>
    </w:p>
    <w:p w14:paraId="4DA487DB">
      <w:pPr>
        <w:pStyle w:val="15"/>
        <w:rPr>
          <w:rFonts w:hint="eastAsia" w:ascii="仿宋" w:hAnsi="仿宋" w:eastAsia="仿宋" w:cs="仿宋"/>
          <w:b/>
          <w:bCs/>
          <w:color w:val="auto"/>
          <w:spacing w:val="6"/>
          <w:sz w:val="32"/>
          <w:szCs w:val="32"/>
          <w:highlight w:val="none"/>
        </w:rPr>
      </w:pPr>
    </w:p>
    <w:p w14:paraId="74634044">
      <w:pPr>
        <w:pStyle w:val="15"/>
        <w:rPr>
          <w:rFonts w:hint="eastAsia" w:ascii="仿宋" w:hAnsi="仿宋" w:eastAsia="仿宋" w:cs="仿宋"/>
          <w:b/>
          <w:bCs/>
          <w:color w:val="auto"/>
          <w:spacing w:val="6"/>
          <w:sz w:val="32"/>
          <w:szCs w:val="32"/>
          <w:highlight w:val="none"/>
        </w:rPr>
      </w:pPr>
    </w:p>
    <w:p w14:paraId="0B507B89">
      <w:pPr>
        <w:pStyle w:val="15"/>
        <w:rPr>
          <w:rFonts w:hint="eastAsia" w:ascii="仿宋" w:hAnsi="仿宋" w:eastAsia="仿宋" w:cs="仿宋"/>
          <w:b/>
          <w:bCs/>
          <w:color w:val="auto"/>
          <w:spacing w:val="6"/>
          <w:sz w:val="32"/>
          <w:szCs w:val="32"/>
          <w:highlight w:val="none"/>
        </w:rPr>
      </w:pPr>
    </w:p>
    <w:p w14:paraId="3DFFDA79">
      <w:pPr>
        <w:pStyle w:val="15"/>
        <w:rPr>
          <w:rFonts w:hint="eastAsia" w:ascii="仿宋" w:hAnsi="仿宋" w:eastAsia="仿宋" w:cs="仿宋"/>
          <w:b/>
          <w:bCs/>
          <w:color w:val="auto"/>
          <w:spacing w:val="6"/>
          <w:sz w:val="32"/>
          <w:szCs w:val="32"/>
          <w:highlight w:val="none"/>
        </w:rPr>
      </w:pPr>
    </w:p>
    <w:p w14:paraId="4ADC2B39">
      <w:pPr>
        <w:spacing w:line="360" w:lineRule="auto"/>
        <w:jc w:val="both"/>
        <w:rPr>
          <w:rFonts w:hint="eastAsia" w:ascii="仿宋" w:hAnsi="仿宋" w:eastAsia="仿宋" w:cs="仿宋"/>
          <w:b/>
          <w:bCs/>
          <w:color w:val="auto"/>
          <w:spacing w:val="6"/>
          <w:sz w:val="32"/>
          <w:szCs w:val="32"/>
          <w:highlight w:val="none"/>
        </w:rPr>
      </w:pPr>
    </w:p>
    <w:p w14:paraId="2FB180D7">
      <w:pPr>
        <w:spacing w:line="360" w:lineRule="auto"/>
        <w:jc w:val="center"/>
        <w:rPr>
          <w:rFonts w:hint="eastAsia" w:ascii="仿宋" w:hAnsi="仿宋" w:eastAsia="仿宋" w:cs="仿宋"/>
          <w:strike/>
          <w:dstrike w:val="0"/>
          <w:color w:val="auto"/>
          <w:spacing w:val="6"/>
          <w:sz w:val="32"/>
          <w:szCs w:val="32"/>
          <w:highlight w:val="none"/>
        </w:rPr>
      </w:pPr>
      <w:r>
        <w:rPr>
          <w:rFonts w:hint="eastAsia" w:ascii="仿宋" w:hAnsi="仿宋" w:eastAsia="仿宋" w:cs="仿宋"/>
          <w:b/>
          <w:bCs/>
          <w:strike/>
          <w:dstrike w:val="0"/>
          <w:color w:val="auto"/>
          <w:spacing w:val="6"/>
          <w:sz w:val="32"/>
          <w:szCs w:val="32"/>
          <w:highlight w:val="none"/>
        </w:rPr>
        <w:t>七、评分对应表</w:t>
      </w:r>
    </w:p>
    <w:p w14:paraId="78FADB99">
      <w:pPr>
        <w:pStyle w:val="9"/>
        <w:snapToGrid w:val="0"/>
        <w:rPr>
          <w:rFonts w:hint="eastAsia" w:ascii="仿宋" w:hAnsi="仿宋" w:eastAsia="仿宋" w:cs="仿宋"/>
          <w:strike/>
          <w:dstrike w:val="0"/>
          <w:color w:val="auto"/>
          <w:sz w:val="30"/>
          <w:szCs w:val="30"/>
          <w:highlight w:val="none"/>
          <w:u w:val="single"/>
        </w:rPr>
      </w:pPr>
      <w:r>
        <w:rPr>
          <w:rFonts w:hint="eastAsia" w:ascii="仿宋" w:hAnsi="仿宋" w:eastAsia="仿宋" w:cs="仿宋"/>
          <w:strike/>
          <w:dstrike w:val="0"/>
          <w:color w:val="auto"/>
          <w:sz w:val="30"/>
          <w:szCs w:val="30"/>
          <w:highlight w:val="none"/>
        </w:rPr>
        <w:t xml:space="preserve"> </w:t>
      </w:r>
    </w:p>
    <w:tbl>
      <w:tblPr>
        <w:tblStyle w:val="2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569C2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7933CC26">
            <w:pPr>
              <w:snapToGrid w:val="0"/>
              <w:spacing w:before="120" w:beforeLines="50"/>
              <w:jc w:val="center"/>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199562">
            <w:pPr>
              <w:snapToGrid w:val="0"/>
              <w:spacing w:before="120" w:beforeLines="50"/>
              <w:jc w:val="center"/>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74B0D6F">
            <w:pPr>
              <w:snapToGrid w:val="0"/>
              <w:spacing w:before="120" w:beforeLines="50"/>
              <w:jc w:val="center"/>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投标文件页码</w:t>
            </w:r>
          </w:p>
        </w:tc>
      </w:tr>
      <w:tr w14:paraId="32DF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F16E66B">
            <w:pPr>
              <w:snapToGrid w:val="0"/>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2C73DC97">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CEE21FE">
            <w:pPr>
              <w:snapToGrid w:val="0"/>
              <w:spacing w:before="120" w:beforeLines="50"/>
              <w:rPr>
                <w:rFonts w:hint="eastAsia" w:ascii="仿宋" w:hAnsi="仿宋" w:eastAsia="仿宋" w:cs="仿宋"/>
                <w:strike/>
                <w:dstrike w:val="0"/>
                <w:color w:val="auto"/>
                <w:sz w:val="24"/>
                <w:highlight w:val="none"/>
              </w:rPr>
            </w:pPr>
          </w:p>
        </w:tc>
      </w:tr>
      <w:tr w14:paraId="346AB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656223FB">
            <w:pPr>
              <w:snapToGrid w:val="0"/>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233F81E9">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3B18DC8">
            <w:pPr>
              <w:snapToGrid w:val="0"/>
              <w:spacing w:before="120" w:beforeLines="50"/>
              <w:ind w:left="43"/>
              <w:rPr>
                <w:rFonts w:hint="eastAsia" w:ascii="仿宋" w:hAnsi="仿宋" w:eastAsia="仿宋" w:cs="仿宋"/>
                <w:strike/>
                <w:dstrike w:val="0"/>
                <w:color w:val="auto"/>
                <w:sz w:val="24"/>
                <w:highlight w:val="none"/>
              </w:rPr>
            </w:pPr>
          </w:p>
        </w:tc>
      </w:tr>
      <w:tr w14:paraId="347C9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4DEEA6D4">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1744FA42">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4BF3302">
            <w:pPr>
              <w:snapToGrid w:val="0"/>
              <w:spacing w:before="120" w:beforeLines="50"/>
              <w:ind w:left="43"/>
              <w:rPr>
                <w:rFonts w:hint="eastAsia" w:ascii="仿宋" w:hAnsi="仿宋" w:eastAsia="仿宋" w:cs="仿宋"/>
                <w:strike/>
                <w:dstrike w:val="0"/>
                <w:color w:val="auto"/>
                <w:sz w:val="24"/>
                <w:highlight w:val="none"/>
              </w:rPr>
            </w:pPr>
          </w:p>
        </w:tc>
      </w:tr>
      <w:tr w14:paraId="790F8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75330662">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2608F25">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72F3336">
            <w:pPr>
              <w:snapToGrid w:val="0"/>
              <w:spacing w:before="120" w:beforeLines="50"/>
              <w:ind w:left="43"/>
              <w:rPr>
                <w:rFonts w:hint="eastAsia" w:ascii="仿宋" w:hAnsi="仿宋" w:eastAsia="仿宋" w:cs="仿宋"/>
                <w:strike/>
                <w:dstrike w:val="0"/>
                <w:color w:val="auto"/>
                <w:sz w:val="24"/>
                <w:highlight w:val="none"/>
              </w:rPr>
            </w:pPr>
          </w:p>
        </w:tc>
      </w:tr>
      <w:tr w14:paraId="3A9CA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61E216FE">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BC27A99">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2998D00">
            <w:pPr>
              <w:snapToGrid w:val="0"/>
              <w:spacing w:before="120" w:beforeLines="50"/>
              <w:rPr>
                <w:rFonts w:hint="eastAsia" w:ascii="仿宋" w:hAnsi="仿宋" w:eastAsia="仿宋" w:cs="仿宋"/>
                <w:strike/>
                <w:dstrike w:val="0"/>
                <w:color w:val="auto"/>
                <w:sz w:val="24"/>
                <w:highlight w:val="none"/>
              </w:rPr>
            </w:pPr>
          </w:p>
        </w:tc>
      </w:tr>
      <w:tr w14:paraId="73389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178F007">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F8D5996">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5BA56D9">
            <w:pPr>
              <w:snapToGrid w:val="0"/>
              <w:spacing w:before="120" w:beforeLines="50"/>
              <w:rPr>
                <w:rFonts w:hint="eastAsia" w:ascii="仿宋" w:hAnsi="仿宋" w:eastAsia="仿宋" w:cs="仿宋"/>
                <w:strike/>
                <w:dstrike w:val="0"/>
                <w:color w:val="auto"/>
                <w:sz w:val="24"/>
                <w:highlight w:val="none"/>
              </w:rPr>
            </w:pPr>
          </w:p>
        </w:tc>
      </w:tr>
      <w:tr w14:paraId="45952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3022735D">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ABFCDCB">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089523D">
            <w:pPr>
              <w:snapToGrid w:val="0"/>
              <w:spacing w:before="120" w:beforeLines="50"/>
              <w:rPr>
                <w:rFonts w:hint="eastAsia" w:ascii="仿宋" w:hAnsi="仿宋" w:eastAsia="仿宋" w:cs="仿宋"/>
                <w:strike/>
                <w:dstrike w:val="0"/>
                <w:color w:val="auto"/>
                <w:sz w:val="24"/>
                <w:highlight w:val="none"/>
              </w:rPr>
            </w:pPr>
          </w:p>
        </w:tc>
      </w:tr>
      <w:tr w14:paraId="0EDE7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D8082FA">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0CF4E44">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9277C17">
            <w:pPr>
              <w:snapToGrid w:val="0"/>
              <w:spacing w:before="120" w:beforeLines="50"/>
              <w:rPr>
                <w:rFonts w:hint="eastAsia" w:ascii="仿宋" w:hAnsi="仿宋" w:eastAsia="仿宋" w:cs="仿宋"/>
                <w:strike/>
                <w:dstrike w:val="0"/>
                <w:color w:val="auto"/>
                <w:sz w:val="24"/>
                <w:highlight w:val="none"/>
              </w:rPr>
            </w:pPr>
          </w:p>
        </w:tc>
      </w:tr>
      <w:tr w14:paraId="051C4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498AB742">
            <w:pPr>
              <w:snapToGrid w:val="0"/>
              <w:rPr>
                <w:rFonts w:hint="eastAsia" w:ascii="仿宋" w:hAnsi="仿宋" w:eastAsia="仿宋" w:cs="仿宋"/>
                <w:strike/>
                <w:dstrike w:val="0"/>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181AB6D">
            <w:pPr>
              <w:snapToGrid w:val="0"/>
              <w:spacing w:before="120" w:beforeLines="50"/>
              <w:rPr>
                <w:rFonts w:hint="eastAsia" w:ascii="仿宋" w:hAnsi="仿宋" w:eastAsia="仿宋" w:cs="仿宋"/>
                <w:strike/>
                <w:dstrike w:val="0"/>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6CA5757">
            <w:pPr>
              <w:snapToGrid w:val="0"/>
              <w:spacing w:before="120" w:beforeLines="50"/>
              <w:rPr>
                <w:rFonts w:hint="eastAsia" w:ascii="仿宋" w:hAnsi="仿宋" w:eastAsia="仿宋" w:cs="仿宋"/>
                <w:strike/>
                <w:dstrike w:val="0"/>
                <w:color w:val="auto"/>
                <w:sz w:val="24"/>
                <w:highlight w:val="none"/>
              </w:rPr>
            </w:pPr>
          </w:p>
        </w:tc>
      </w:tr>
    </w:tbl>
    <w:p w14:paraId="0244ED93">
      <w:pPr>
        <w:snapToGrid w:val="0"/>
        <w:spacing w:before="120" w:beforeLines="50"/>
        <w:rPr>
          <w:rFonts w:hint="eastAsia" w:ascii="仿宋" w:hAnsi="仿宋" w:eastAsia="仿宋" w:cs="仿宋"/>
          <w:b/>
          <w:strike/>
          <w:dstrike w:val="0"/>
          <w:color w:val="auto"/>
          <w:sz w:val="24"/>
          <w:highlight w:val="none"/>
        </w:rPr>
      </w:pPr>
      <w:r>
        <w:rPr>
          <w:rFonts w:hint="eastAsia" w:ascii="仿宋" w:hAnsi="仿宋" w:eastAsia="仿宋" w:cs="仿宋"/>
          <w:b/>
          <w:strike/>
          <w:dstrike w:val="0"/>
          <w:color w:val="auto"/>
          <w:sz w:val="24"/>
          <w:highlight w:val="none"/>
        </w:rPr>
        <w:t xml:space="preserve">注：如果本项目评标办法采用综合评审法，需在商务技术文件中提供此评分对应表。 </w:t>
      </w:r>
    </w:p>
    <w:p w14:paraId="32B8E9BD">
      <w:pPr>
        <w:snapToGrid w:val="0"/>
        <w:spacing w:before="120" w:beforeLines="50"/>
        <w:rPr>
          <w:rFonts w:hint="eastAsia" w:ascii="仿宋" w:hAnsi="仿宋" w:eastAsia="仿宋" w:cs="仿宋"/>
          <w:strike/>
          <w:dstrike w:val="0"/>
          <w:color w:val="auto"/>
          <w:sz w:val="30"/>
          <w:szCs w:val="30"/>
          <w:highlight w:val="none"/>
        </w:rPr>
      </w:pPr>
    </w:p>
    <w:p w14:paraId="31912345">
      <w:pPr>
        <w:autoSpaceDE w:val="0"/>
        <w:autoSpaceDN w:val="0"/>
        <w:spacing w:line="360" w:lineRule="auto"/>
        <w:ind w:firstLine="4560" w:firstLineChars="1900"/>
        <w:rPr>
          <w:rFonts w:hint="eastAsia" w:ascii="仿宋" w:hAnsi="仿宋" w:eastAsia="仿宋" w:cs="仿宋"/>
          <w:strike/>
          <w:dstrike w:val="0"/>
          <w:color w:val="auto"/>
          <w:kern w:val="0"/>
          <w:sz w:val="24"/>
          <w:highlight w:val="none"/>
        </w:rPr>
      </w:pPr>
      <w:r>
        <w:rPr>
          <w:rFonts w:hint="eastAsia" w:ascii="仿宋" w:hAnsi="仿宋" w:eastAsia="仿宋" w:cs="仿宋"/>
          <w:strike/>
          <w:dstrike w:val="0"/>
          <w:color w:val="auto"/>
          <w:kern w:val="0"/>
          <w:sz w:val="24"/>
          <w:highlight w:val="none"/>
          <w:lang w:val="en-US" w:eastAsia="zh-CN"/>
        </w:rPr>
        <w:t>供应商</w:t>
      </w:r>
      <w:r>
        <w:rPr>
          <w:rFonts w:hint="eastAsia" w:ascii="仿宋" w:hAnsi="仿宋" w:eastAsia="仿宋" w:cs="仿宋"/>
          <w:strike/>
          <w:dstrike w:val="0"/>
          <w:color w:val="auto"/>
          <w:kern w:val="0"/>
          <w:sz w:val="24"/>
          <w:highlight w:val="none"/>
        </w:rPr>
        <w:t>名称（电子印章）：</w:t>
      </w:r>
    </w:p>
    <w:p w14:paraId="1A4A7304">
      <w:pPr>
        <w:snapToGrid w:val="0"/>
        <w:spacing w:before="50" w:after="50"/>
        <w:rPr>
          <w:rFonts w:hint="eastAsia" w:ascii="仿宋" w:hAnsi="仿宋" w:eastAsia="仿宋" w:cs="仿宋"/>
          <w:b/>
          <w:color w:val="auto"/>
          <w:kern w:val="0"/>
          <w:sz w:val="32"/>
          <w:szCs w:val="32"/>
          <w:highlight w:val="none"/>
        </w:rPr>
      </w:pPr>
      <w:r>
        <w:rPr>
          <w:rFonts w:hint="eastAsia" w:ascii="仿宋" w:hAnsi="仿宋" w:eastAsia="仿宋" w:cs="仿宋"/>
          <w:strike/>
          <w:dstrike w:val="0"/>
          <w:color w:val="auto"/>
          <w:kern w:val="0"/>
          <w:sz w:val="24"/>
          <w:highlight w:val="none"/>
        </w:rPr>
        <w:t xml:space="preserve">                                       日期：  年  月   日</w:t>
      </w:r>
    </w:p>
    <w:p w14:paraId="238252C6">
      <w:pPr>
        <w:snapToGrid w:val="0"/>
        <w:spacing w:line="360" w:lineRule="auto"/>
        <w:ind w:right="480"/>
        <w:rPr>
          <w:rFonts w:hint="eastAsia" w:ascii="仿宋" w:hAnsi="仿宋" w:eastAsia="仿宋" w:cs="仿宋"/>
          <w:b/>
          <w:color w:val="auto"/>
          <w:kern w:val="0"/>
          <w:sz w:val="32"/>
          <w:szCs w:val="32"/>
          <w:highlight w:val="none"/>
        </w:rPr>
      </w:pPr>
    </w:p>
    <w:p w14:paraId="4E972D52">
      <w:pPr>
        <w:pStyle w:val="15"/>
        <w:rPr>
          <w:rFonts w:hint="eastAsia" w:ascii="仿宋" w:hAnsi="仿宋" w:eastAsia="仿宋" w:cs="仿宋"/>
          <w:b/>
          <w:color w:val="auto"/>
          <w:kern w:val="0"/>
          <w:sz w:val="32"/>
          <w:szCs w:val="32"/>
          <w:highlight w:val="none"/>
        </w:rPr>
      </w:pPr>
    </w:p>
    <w:p w14:paraId="7C588A94">
      <w:pPr>
        <w:pStyle w:val="15"/>
        <w:rPr>
          <w:rFonts w:hint="eastAsia" w:ascii="仿宋" w:hAnsi="仿宋" w:eastAsia="仿宋" w:cs="仿宋"/>
          <w:b/>
          <w:color w:val="auto"/>
          <w:kern w:val="0"/>
          <w:sz w:val="32"/>
          <w:szCs w:val="32"/>
          <w:highlight w:val="none"/>
        </w:rPr>
      </w:pPr>
    </w:p>
    <w:p w14:paraId="74DD3307">
      <w:pPr>
        <w:pStyle w:val="15"/>
        <w:rPr>
          <w:rFonts w:hint="eastAsia" w:ascii="仿宋" w:hAnsi="仿宋" w:eastAsia="仿宋" w:cs="仿宋"/>
          <w:b/>
          <w:color w:val="auto"/>
          <w:kern w:val="0"/>
          <w:sz w:val="32"/>
          <w:szCs w:val="32"/>
          <w:highlight w:val="none"/>
        </w:rPr>
      </w:pPr>
    </w:p>
    <w:p w14:paraId="35C4C623">
      <w:pPr>
        <w:pStyle w:val="15"/>
        <w:rPr>
          <w:rFonts w:hint="eastAsia" w:ascii="仿宋" w:hAnsi="仿宋" w:eastAsia="仿宋" w:cs="仿宋"/>
          <w:b/>
          <w:color w:val="auto"/>
          <w:kern w:val="0"/>
          <w:sz w:val="32"/>
          <w:szCs w:val="32"/>
          <w:highlight w:val="none"/>
        </w:rPr>
      </w:pPr>
    </w:p>
    <w:p w14:paraId="008B1FF7">
      <w:pPr>
        <w:pStyle w:val="15"/>
        <w:rPr>
          <w:rFonts w:hint="eastAsia" w:ascii="仿宋" w:hAnsi="仿宋" w:eastAsia="仿宋" w:cs="仿宋"/>
          <w:b/>
          <w:color w:val="auto"/>
          <w:kern w:val="0"/>
          <w:sz w:val="32"/>
          <w:szCs w:val="32"/>
          <w:highlight w:val="none"/>
        </w:rPr>
      </w:pPr>
    </w:p>
    <w:p w14:paraId="48FA27F3">
      <w:pPr>
        <w:pStyle w:val="15"/>
        <w:rPr>
          <w:rFonts w:hint="eastAsia" w:ascii="仿宋" w:hAnsi="仿宋" w:eastAsia="仿宋" w:cs="仿宋"/>
          <w:b/>
          <w:color w:val="auto"/>
          <w:kern w:val="0"/>
          <w:sz w:val="32"/>
          <w:szCs w:val="32"/>
          <w:highlight w:val="none"/>
        </w:rPr>
      </w:pPr>
    </w:p>
    <w:p w14:paraId="79C162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、具有履行合同所必需的设备和专业技术能力的承诺函</w:t>
      </w:r>
    </w:p>
    <w:p w14:paraId="0D3ACA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绍兴市公共交通集团有限公司</w:t>
      </w:r>
      <w:r>
        <w:rPr>
          <w:rFonts w:hint="eastAsia" w:ascii="仿宋" w:hAnsi="仿宋" w:eastAsia="仿宋" w:cs="仿宋"/>
          <w:color w:val="auto"/>
          <w:sz w:val="24"/>
          <w:highlight w:val="none"/>
        </w:rPr>
        <w:t>、泰宇建筑工程技术咨询有限公司</w:t>
      </w:r>
      <w:r>
        <w:rPr>
          <w:rFonts w:hint="eastAsia" w:ascii="仿宋" w:hAnsi="仿宋" w:eastAsia="仿宋" w:cs="仿宋"/>
          <w:color w:val="auto"/>
          <w:kern w:val="0"/>
          <w:sz w:val="24"/>
          <w:highlight w:val="none"/>
          <w:lang w:val="zh-CN"/>
        </w:rPr>
        <w:t>：</w:t>
      </w:r>
    </w:p>
    <w:p w14:paraId="6F5928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我方郑重承诺，我方具有履行</w:t>
      </w:r>
      <w:r>
        <w:rPr>
          <w:rFonts w:hint="eastAsia" w:ascii="仿宋" w:hAnsi="仿宋" w:eastAsia="仿宋" w:cs="仿宋"/>
          <w:color w:val="auto"/>
          <w:sz w:val="24"/>
          <w:highlight w:val="none"/>
          <w:lang w:eastAsia="zh-CN"/>
        </w:rPr>
        <w:t>绍兴市公共交通集团有限公司2025年度场站维管项目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文件编号:</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lang w:eastAsia="zh-CN"/>
        </w:rPr>
        <w:t>TYJZ2025016</w:t>
      </w:r>
      <w:r>
        <w:rPr>
          <w:rFonts w:hint="eastAsia" w:ascii="仿宋" w:hAnsi="仿宋" w:eastAsia="仿宋" w:cs="仿宋"/>
          <w:color w:val="auto"/>
          <w:sz w:val="24"/>
          <w:highlight w:val="none"/>
        </w:rPr>
        <w:t>）合同所必需的设备和专业技术能力。如成交，我方将保证合同顺利履行。</w:t>
      </w:r>
    </w:p>
    <w:p w14:paraId="49D0DA3E">
      <w:pPr>
        <w:snapToGrid w:val="0"/>
        <w:spacing w:line="360" w:lineRule="auto"/>
        <w:rPr>
          <w:rFonts w:hint="eastAsia" w:ascii="仿宋" w:hAnsi="仿宋" w:eastAsia="仿宋" w:cs="仿宋"/>
          <w:color w:val="auto"/>
          <w:kern w:val="0"/>
          <w:sz w:val="24"/>
          <w:highlight w:val="none"/>
          <w:lang w:val="zh-CN"/>
        </w:rPr>
      </w:pPr>
    </w:p>
    <w:p w14:paraId="178A321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供应商名称(电子印章)：</w:t>
      </w:r>
    </w:p>
    <w:p w14:paraId="4F53AFC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法定代表人或其委托代理人：（签字或盖章）</w:t>
      </w:r>
    </w:p>
    <w:p w14:paraId="6CBDDE89">
      <w:pPr>
        <w:tabs>
          <w:tab w:val="left" w:pos="4860"/>
        </w:tabs>
        <w:spacing w:line="360" w:lineRule="auto"/>
        <w:ind w:right="1560" w:firstLine="480" w:firstLineChars="200"/>
        <w:jc w:val="center"/>
        <w:rPr>
          <w:rFonts w:hint="eastAsia" w:ascii="仿宋" w:hAnsi="仿宋" w:eastAsia="仿宋" w:cs="仿宋"/>
          <w:b/>
          <w:bCs/>
          <w:strike/>
          <w:color w:val="auto"/>
          <w:sz w:val="30"/>
          <w:szCs w:val="30"/>
          <w:highlight w:val="none"/>
        </w:rPr>
      </w:pPr>
      <w:r>
        <w:rPr>
          <w:rFonts w:hint="eastAsia" w:ascii="仿宋" w:hAnsi="仿宋" w:eastAsia="仿宋" w:cs="仿宋"/>
          <w:color w:val="auto"/>
          <w:sz w:val="24"/>
          <w:highlight w:val="none"/>
        </w:rPr>
        <w:t>日期：   年    月   日</w:t>
      </w:r>
    </w:p>
    <w:p w14:paraId="340C4CDB">
      <w:pPr>
        <w:spacing w:line="360" w:lineRule="auto"/>
        <w:jc w:val="center"/>
        <w:rPr>
          <w:rFonts w:hint="eastAsia" w:ascii="仿宋" w:hAnsi="仿宋" w:eastAsia="仿宋" w:cs="仿宋"/>
          <w:b/>
          <w:bCs/>
          <w:strike/>
          <w:color w:val="auto"/>
          <w:sz w:val="24"/>
          <w:highlight w:val="none"/>
        </w:rPr>
      </w:pPr>
    </w:p>
    <w:p w14:paraId="596ADE4F">
      <w:pPr>
        <w:pStyle w:val="15"/>
        <w:rPr>
          <w:rFonts w:hint="eastAsia" w:ascii="仿宋" w:hAnsi="仿宋" w:eastAsia="仿宋" w:cs="仿宋"/>
          <w:b/>
          <w:bCs/>
          <w:strike/>
          <w:color w:val="auto"/>
          <w:sz w:val="24"/>
          <w:highlight w:val="none"/>
        </w:rPr>
      </w:pPr>
    </w:p>
    <w:p w14:paraId="1FF13D1E">
      <w:pPr>
        <w:pStyle w:val="15"/>
        <w:rPr>
          <w:rFonts w:hint="eastAsia" w:ascii="仿宋" w:hAnsi="仿宋" w:eastAsia="仿宋" w:cs="仿宋"/>
          <w:b/>
          <w:bCs/>
          <w:strike/>
          <w:color w:val="auto"/>
          <w:sz w:val="24"/>
          <w:highlight w:val="none"/>
        </w:rPr>
      </w:pPr>
    </w:p>
    <w:p w14:paraId="6BB07CB9">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、认为需要的</w:t>
      </w:r>
      <w:r>
        <w:rPr>
          <w:rFonts w:hint="eastAsia" w:ascii="仿宋" w:hAnsi="仿宋" w:eastAsia="仿宋" w:cs="仿宋"/>
          <w:b/>
          <w:color w:val="auto"/>
          <w:kern w:val="0"/>
          <w:sz w:val="32"/>
          <w:szCs w:val="32"/>
          <w:highlight w:val="none"/>
          <w:lang w:val="zh-CN"/>
        </w:rPr>
        <w:t>其他商务技术文件或说明</w:t>
      </w:r>
    </w:p>
    <w:p w14:paraId="5B95DD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4A0182AF">
      <w:pPr>
        <w:spacing w:line="360" w:lineRule="auto"/>
        <w:rPr>
          <w:rFonts w:hint="eastAsia" w:ascii="仿宋" w:hAnsi="仿宋" w:eastAsia="仿宋" w:cs="仿宋"/>
          <w:color w:val="auto"/>
          <w:sz w:val="24"/>
          <w:highlight w:val="none"/>
        </w:rPr>
      </w:pPr>
    </w:p>
    <w:p w14:paraId="69E20D97">
      <w:pPr>
        <w:pStyle w:val="26"/>
        <w:rPr>
          <w:rFonts w:hint="eastAsia" w:ascii="仿宋" w:hAnsi="仿宋" w:eastAsia="仿宋" w:cs="仿宋"/>
          <w:color w:val="auto"/>
          <w:highlight w:val="none"/>
        </w:rPr>
      </w:pPr>
    </w:p>
    <w:p w14:paraId="02B1CEA4">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 xml:space="preserve">名称（电子印章）：                          </w:t>
      </w:r>
    </w:p>
    <w:p w14:paraId="51B0C5C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29FD70">
      <w:pPr>
        <w:pStyle w:val="27"/>
        <w:rPr>
          <w:rFonts w:hint="eastAsia" w:ascii="仿宋" w:hAnsi="仿宋" w:eastAsia="仿宋" w:cs="仿宋"/>
          <w:color w:val="auto"/>
          <w:highlight w:val="none"/>
        </w:rPr>
        <w:sectPr>
          <w:pgSz w:w="11906" w:h="16838"/>
          <w:pgMar w:top="1814" w:right="1474" w:bottom="1814" w:left="1474" w:header="1417" w:footer="992" w:gutter="0"/>
          <w:cols w:space="720" w:num="1"/>
          <w:titlePg/>
          <w:docGrid w:linePitch="312" w:charSpace="0"/>
        </w:sectPr>
      </w:pPr>
    </w:p>
    <w:p w14:paraId="13AA038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300007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2382BDE">
      <w:pPr>
        <w:spacing w:line="360" w:lineRule="auto"/>
        <w:jc w:val="center"/>
        <w:outlineLvl w:val="0"/>
        <w:rPr>
          <w:rFonts w:hint="eastAsia" w:ascii="仿宋" w:hAnsi="仿宋" w:eastAsia="仿宋" w:cs="仿宋"/>
          <w:b/>
          <w:color w:val="auto"/>
          <w:kern w:val="0"/>
          <w:sz w:val="36"/>
          <w:szCs w:val="36"/>
          <w:highlight w:val="none"/>
        </w:rPr>
      </w:pPr>
    </w:p>
    <w:p w14:paraId="49B303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78BAC73">
      <w:pPr>
        <w:snapToGrid w:val="0"/>
        <w:spacing w:line="360" w:lineRule="auto"/>
        <w:ind w:right="480"/>
        <w:jc w:val="left"/>
        <w:rPr>
          <w:rFonts w:hint="eastAsia" w:ascii="仿宋" w:hAnsi="仿宋" w:eastAsia="仿宋" w:cs="仿宋"/>
          <w:b/>
          <w:color w:val="auto"/>
          <w:kern w:val="0"/>
          <w:sz w:val="32"/>
          <w:szCs w:val="32"/>
          <w:highlight w:val="none"/>
        </w:rPr>
      </w:pPr>
      <w:r>
        <w:rPr>
          <w:rFonts w:hint="eastAsia" w:ascii="仿宋" w:hAnsi="仿宋" w:eastAsia="仿宋" w:cs="仿宋"/>
          <w:snapToGrid w:val="0"/>
          <w:color w:val="auto"/>
          <w:sz w:val="24"/>
          <w:szCs w:val="21"/>
          <w:highlight w:val="none"/>
        </w:rPr>
        <w:t>（2）投标人针对报价需要说明的其他文件和说明（如有）</w:t>
      </w:r>
      <w:r>
        <w:rPr>
          <w:rFonts w:hint="eastAsia" w:ascii="仿宋" w:hAnsi="仿宋" w:eastAsia="仿宋" w:cs="仿宋"/>
          <w:color w:val="auto"/>
          <w:sz w:val="24"/>
          <w:highlight w:val="none"/>
        </w:rPr>
        <w:t>…………………（页码）</w:t>
      </w:r>
    </w:p>
    <w:p w14:paraId="0D2FE8EC">
      <w:pPr>
        <w:snapToGrid w:val="0"/>
        <w:spacing w:line="360" w:lineRule="auto"/>
        <w:ind w:right="480"/>
        <w:jc w:val="center"/>
        <w:rPr>
          <w:rFonts w:hint="eastAsia" w:ascii="仿宋" w:hAnsi="仿宋" w:eastAsia="仿宋" w:cs="仿宋"/>
          <w:b/>
          <w:color w:val="auto"/>
          <w:kern w:val="0"/>
          <w:sz w:val="32"/>
          <w:szCs w:val="32"/>
          <w:highlight w:val="none"/>
        </w:rPr>
      </w:pPr>
    </w:p>
    <w:p w14:paraId="281B246A">
      <w:pPr>
        <w:snapToGrid w:val="0"/>
        <w:spacing w:line="360" w:lineRule="auto"/>
        <w:ind w:right="480"/>
        <w:jc w:val="center"/>
        <w:rPr>
          <w:rFonts w:hint="eastAsia" w:ascii="仿宋" w:hAnsi="仿宋" w:eastAsia="仿宋" w:cs="仿宋"/>
          <w:b/>
          <w:color w:val="auto"/>
          <w:kern w:val="0"/>
          <w:sz w:val="32"/>
          <w:szCs w:val="32"/>
          <w:highlight w:val="none"/>
        </w:rPr>
      </w:pPr>
    </w:p>
    <w:p w14:paraId="2ADEF535">
      <w:pPr>
        <w:snapToGrid w:val="0"/>
        <w:spacing w:line="360" w:lineRule="auto"/>
        <w:ind w:right="480"/>
        <w:jc w:val="center"/>
        <w:rPr>
          <w:rFonts w:hint="eastAsia" w:ascii="仿宋" w:hAnsi="仿宋" w:eastAsia="仿宋" w:cs="仿宋"/>
          <w:b/>
          <w:color w:val="auto"/>
          <w:kern w:val="0"/>
          <w:sz w:val="32"/>
          <w:szCs w:val="32"/>
          <w:highlight w:val="none"/>
        </w:rPr>
      </w:pPr>
    </w:p>
    <w:p w14:paraId="720AF28E">
      <w:pPr>
        <w:snapToGrid w:val="0"/>
        <w:spacing w:line="360" w:lineRule="auto"/>
        <w:ind w:right="480"/>
        <w:jc w:val="center"/>
        <w:rPr>
          <w:rFonts w:hint="eastAsia" w:ascii="仿宋" w:hAnsi="仿宋" w:eastAsia="仿宋" w:cs="仿宋"/>
          <w:b/>
          <w:color w:val="auto"/>
          <w:kern w:val="0"/>
          <w:sz w:val="32"/>
          <w:szCs w:val="32"/>
          <w:highlight w:val="none"/>
        </w:rPr>
      </w:pPr>
    </w:p>
    <w:p w14:paraId="1ABE55AC">
      <w:pPr>
        <w:snapToGrid w:val="0"/>
        <w:spacing w:line="360" w:lineRule="auto"/>
        <w:ind w:right="480"/>
        <w:jc w:val="center"/>
        <w:rPr>
          <w:rFonts w:hint="eastAsia" w:ascii="仿宋" w:hAnsi="仿宋" w:eastAsia="仿宋" w:cs="仿宋"/>
          <w:b/>
          <w:color w:val="auto"/>
          <w:kern w:val="0"/>
          <w:sz w:val="32"/>
          <w:szCs w:val="32"/>
          <w:highlight w:val="none"/>
        </w:rPr>
      </w:pPr>
    </w:p>
    <w:p w14:paraId="0E631082">
      <w:pPr>
        <w:snapToGrid w:val="0"/>
        <w:spacing w:line="360" w:lineRule="auto"/>
        <w:ind w:right="480"/>
        <w:jc w:val="center"/>
        <w:rPr>
          <w:rFonts w:hint="eastAsia" w:ascii="仿宋" w:hAnsi="仿宋" w:eastAsia="仿宋" w:cs="仿宋"/>
          <w:b/>
          <w:color w:val="auto"/>
          <w:kern w:val="0"/>
          <w:sz w:val="32"/>
          <w:szCs w:val="32"/>
          <w:highlight w:val="none"/>
        </w:rPr>
      </w:pPr>
    </w:p>
    <w:p w14:paraId="367FAFEB">
      <w:pPr>
        <w:snapToGrid w:val="0"/>
        <w:spacing w:line="360" w:lineRule="auto"/>
        <w:ind w:right="480"/>
        <w:jc w:val="center"/>
        <w:rPr>
          <w:rFonts w:hint="eastAsia" w:ascii="仿宋" w:hAnsi="仿宋" w:eastAsia="仿宋" w:cs="仿宋"/>
          <w:b/>
          <w:color w:val="auto"/>
          <w:kern w:val="0"/>
          <w:sz w:val="32"/>
          <w:szCs w:val="32"/>
          <w:highlight w:val="none"/>
        </w:rPr>
      </w:pPr>
    </w:p>
    <w:p w14:paraId="44BF0B4C">
      <w:pPr>
        <w:snapToGrid w:val="0"/>
        <w:spacing w:line="360" w:lineRule="auto"/>
        <w:ind w:right="480"/>
        <w:jc w:val="center"/>
        <w:rPr>
          <w:rFonts w:hint="eastAsia" w:ascii="仿宋" w:hAnsi="仿宋" w:eastAsia="仿宋" w:cs="仿宋"/>
          <w:b/>
          <w:color w:val="auto"/>
          <w:kern w:val="0"/>
          <w:sz w:val="32"/>
          <w:szCs w:val="32"/>
          <w:highlight w:val="none"/>
        </w:rPr>
      </w:pPr>
    </w:p>
    <w:p w14:paraId="7279657A">
      <w:pPr>
        <w:snapToGrid w:val="0"/>
        <w:spacing w:line="360" w:lineRule="auto"/>
        <w:ind w:right="480"/>
        <w:jc w:val="center"/>
        <w:rPr>
          <w:rFonts w:hint="eastAsia" w:ascii="仿宋" w:hAnsi="仿宋" w:eastAsia="仿宋" w:cs="仿宋"/>
          <w:b/>
          <w:color w:val="auto"/>
          <w:kern w:val="0"/>
          <w:sz w:val="32"/>
          <w:szCs w:val="32"/>
          <w:highlight w:val="none"/>
        </w:rPr>
      </w:pPr>
    </w:p>
    <w:p w14:paraId="73940EB7">
      <w:pPr>
        <w:snapToGrid w:val="0"/>
        <w:spacing w:line="360" w:lineRule="auto"/>
        <w:ind w:right="480"/>
        <w:jc w:val="center"/>
        <w:rPr>
          <w:rFonts w:hint="eastAsia" w:ascii="仿宋" w:hAnsi="仿宋" w:eastAsia="仿宋" w:cs="仿宋"/>
          <w:b/>
          <w:color w:val="auto"/>
          <w:kern w:val="0"/>
          <w:sz w:val="32"/>
          <w:szCs w:val="32"/>
          <w:highlight w:val="none"/>
        </w:rPr>
      </w:pPr>
    </w:p>
    <w:p w14:paraId="66567AFF">
      <w:pPr>
        <w:snapToGrid w:val="0"/>
        <w:spacing w:line="360" w:lineRule="auto"/>
        <w:ind w:right="480"/>
        <w:jc w:val="center"/>
        <w:rPr>
          <w:rFonts w:hint="eastAsia" w:ascii="仿宋" w:hAnsi="仿宋" w:eastAsia="仿宋" w:cs="仿宋"/>
          <w:b/>
          <w:color w:val="auto"/>
          <w:kern w:val="0"/>
          <w:sz w:val="32"/>
          <w:szCs w:val="32"/>
          <w:highlight w:val="none"/>
        </w:rPr>
      </w:pPr>
    </w:p>
    <w:p w14:paraId="12E1D497">
      <w:pPr>
        <w:snapToGrid w:val="0"/>
        <w:spacing w:line="360" w:lineRule="auto"/>
        <w:ind w:right="480"/>
        <w:rPr>
          <w:rFonts w:hint="eastAsia" w:ascii="仿宋" w:hAnsi="仿宋" w:eastAsia="仿宋" w:cs="仿宋"/>
          <w:b/>
          <w:color w:val="auto"/>
          <w:kern w:val="0"/>
          <w:sz w:val="32"/>
          <w:szCs w:val="32"/>
          <w:highlight w:val="none"/>
        </w:rPr>
      </w:pPr>
    </w:p>
    <w:p w14:paraId="3895FC0C">
      <w:pPr>
        <w:pStyle w:val="3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18" w:type="first"/>
          <w:headerReference r:id="rId16" w:type="default"/>
          <w:footerReference r:id="rId17" w:type="default"/>
          <w:pgSz w:w="11906" w:h="16838"/>
          <w:pgMar w:top="1814" w:right="1474" w:bottom="1814" w:left="1474" w:header="1417" w:footer="992" w:gutter="0"/>
          <w:cols w:space="720" w:num="1"/>
          <w:titlePg/>
          <w:docGrid w:linePitch="312" w:charSpace="0"/>
        </w:sectPr>
      </w:pPr>
    </w:p>
    <w:p w14:paraId="243C1E61">
      <w:pPr>
        <w:pStyle w:val="3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F1E78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F5D071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w:t>
      </w:r>
      <w:r>
        <w:rPr>
          <w:rFonts w:hint="eastAsia" w:ascii="仿宋" w:hAnsi="仿宋" w:eastAsia="仿宋" w:cs="仿宋"/>
          <w:color w:val="auto"/>
          <w:kern w:val="0"/>
          <w:sz w:val="24"/>
          <w:highlight w:val="none"/>
        </w:rPr>
        <w:t>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zh-CN"/>
        </w:rPr>
        <w:t>供应商</w:t>
      </w:r>
      <w:r>
        <w:rPr>
          <w:rFonts w:hint="eastAsia" w:ascii="仿宋" w:hAnsi="仿宋" w:eastAsia="仿宋" w:cs="仿宋"/>
          <w:color w:val="auto"/>
          <w:sz w:val="24"/>
          <w:highlight w:val="none"/>
        </w:rPr>
        <w:t>全称</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21"/>
        <w:tblW w:w="95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3086"/>
        <w:gridCol w:w="2694"/>
        <w:gridCol w:w="1170"/>
        <w:gridCol w:w="1002"/>
      </w:tblGrid>
      <w:tr w14:paraId="029C0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560" w:type="dxa"/>
            <w:noWrap w:val="0"/>
            <w:vAlign w:val="center"/>
          </w:tcPr>
          <w:p w14:paraId="2E9F0246">
            <w:pPr>
              <w:pStyle w:val="15"/>
              <w:spacing w:line="360" w:lineRule="auto"/>
              <w:jc w:val="center"/>
              <w:rPr>
                <w:rFonts w:hint="eastAsia" w:ascii="仿宋" w:hAnsi="仿宋" w:eastAsia="仿宋" w:cs="仿宋"/>
                <w:color w:val="auto"/>
                <w:sz w:val="24"/>
                <w:szCs w:val="24"/>
                <w:highlight w:val="none"/>
              </w:rPr>
            </w:pPr>
            <w:bookmarkStart w:id="49" w:name="_Toc86217005"/>
            <w:r>
              <w:rPr>
                <w:rFonts w:hint="eastAsia" w:ascii="仿宋" w:hAnsi="仿宋" w:eastAsia="仿宋" w:cs="仿宋"/>
                <w:color w:val="auto"/>
                <w:sz w:val="24"/>
                <w:szCs w:val="24"/>
                <w:highlight w:val="none"/>
              </w:rPr>
              <w:t>序号</w:t>
            </w:r>
          </w:p>
        </w:tc>
        <w:tc>
          <w:tcPr>
            <w:tcW w:w="3086" w:type="dxa"/>
            <w:noWrap w:val="0"/>
            <w:vAlign w:val="center"/>
          </w:tcPr>
          <w:p w14:paraId="3A66D150">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694" w:type="dxa"/>
            <w:noWrap w:val="0"/>
            <w:vAlign w:val="center"/>
          </w:tcPr>
          <w:p w14:paraId="6DE4EF43">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1170" w:type="dxa"/>
            <w:noWrap w:val="0"/>
            <w:vAlign w:val="center"/>
          </w:tcPr>
          <w:p w14:paraId="4AD16536">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增值税率</w:t>
            </w:r>
          </w:p>
        </w:tc>
        <w:tc>
          <w:tcPr>
            <w:tcW w:w="1002" w:type="dxa"/>
            <w:noWrap w:val="0"/>
            <w:vAlign w:val="center"/>
          </w:tcPr>
          <w:p w14:paraId="0CCDB3B7">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70C8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560" w:type="dxa"/>
            <w:noWrap w:val="0"/>
            <w:vAlign w:val="center"/>
          </w:tcPr>
          <w:p w14:paraId="1BFA6AAE">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86" w:type="dxa"/>
            <w:noWrap w:val="0"/>
            <w:vAlign w:val="center"/>
          </w:tcPr>
          <w:p w14:paraId="0B32A5BF">
            <w:pPr>
              <w:pStyle w:val="15"/>
              <w:spacing w:line="360" w:lineRule="auto"/>
              <w:ind w:firstLine="480" w:firstLineChars="200"/>
              <w:jc w:val="center"/>
              <w:rPr>
                <w:rFonts w:hint="eastAsia" w:ascii="仿宋" w:hAnsi="仿宋" w:eastAsia="仿宋" w:cs="仿宋"/>
                <w:color w:val="auto"/>
                <w:sz w:val="24"/>
                <w:szCs w:val="24"/>
                <w:highlight w:val="none"/>
              </w:rPr>
            </w:pPr>
          </w:p>
        </w:tc>
        <w:tc>
          <w:tcPr>
            <w:tcW w:w="2694" w:type="dxa"/>
            <w:noWrap w:val="0"/>
            <w:vAlign w:val="center"/>
          </w:tcPr>
          <w:p w14:paraId="7B42A288">
            <w:pPr>
              <w:pStyle w:val="15"/>
              <w:spacing w:line="360" w:lineRule="auto"/>
              <w:ind w:firstLine="480" w:firstLineChars="200"/>
              <w:jc w:val="center"/>
              <w:rPr>
                <w:rFonts w:hint="eastAsia" w:ascii="仿宋" w:hAnsi="仿宋" w:eastAsia="仿宋" w:cs="仿宋"/>
                <w:color w:val="auto"/>
                <w:sz w:val="24"/>
                <w:szCs w:val="24"/>
                <w:highlight w:val="none"/>
              </w:rPr>
            </w:pPr>
          </w:p>
        </w:tc>
        <w:tc>
          <w:tcPr>
            <w:tcW w:w="1170" w:type="dxa"/>
            <w:noWrap w:val="0"/>
            <w:vAlign w:val="top"/>
          </w:tcPr>
          <w:p w14:paraId="7C280B81">
            <w:pPr>
              <w:pStyle w:val="15"/>
              <w:spacing w:line="360" w:lineRule="auto"/>
              <w:ind w:firstLine="480" w:firstLineChars="200"/>
              <w:jc w:val="center"/>
              <w:rPr>
                <w:rFonts w:hint="eastAsia" w:ascii="仿宋" w:hAnsi="仿宋" w:eastAsia="仿宋" w:cs="仿宋"/>
                <w:color w:val="auto"/>
                <w:sz w:val="24"/>
                <w:szCs w:val="24"/>
                <w:highlight w:val="none"/>
              </w:rPr>
            </w:pPr>
          </w:p>
        </w:tc>
        <w:tc>
          <w:tcPr>
            <w:tcW w:w="1002" w:type="dxa"/>
            <w:noWrap w:val="0"/>
            <w:vAlign w:val="top"/>
          </w:tcPr>
          <w:p w14:paraId="44EC046E">
            <w:pPr>
              <w:pStyle w:val="15"/>
              <w:spacing w:line="360" w:lineRule="auto"/>
              <w:ind w:firstLine="480" w:firstLineChars="200"/>
              <w:jc w:val="center"/>
              <w:rPr>
                <w:rFonts w:hint="eastAsia" w:ascii="仿宋" w:hAnsi="仿宋" w:eastAsia="仿宋" w:cs="仿宋"/>
                <w:color w:val="auto"/>
                <w:sz w:val="24"/>
                <w:szCs w:val="24"/>
                <w:highlight w:val="none"/>
              </w:rPr>
            </w:pPr>
          </w:p>
        </w:tc>
      </w:tr>
      <w:tr w14:paraId="0D3E4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560" w:type="dxa"/>
            <w:noWrap w:val="0"/>
            <w:vAlign w:val="center"/>
          </w:tcPr>
          <w:p w14:paraId="3F0E953E">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下浮率报价</w:t>
            </w:r>
          </w:p>
          <w:p w14:paraId="35288163">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7952" w:type="dxa"/>
            <w:gridSpan w:val="4"/>
            <w:noWrap w:val="0"/>
            <w:vAlign w:val="center"/>
          </w:tcPr>
          <w:p w14:paraId="798533C5">
            <w:pPr>
              <w:pStyle w:val="15"/>
              <w:spacing w:line="36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百分之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c>
      </w:tr>
      <w:tr w14:paraId="425B87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560" w:type="dxa"/>
            <w:noWrap w:val="0"/>
            <w:vAlign w:val="center"/>
          </w:tcPr>
          <w:p w14:paraId="5E731918">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下浮率报价</w:t>
            </w:r>
          </w:p>
          <w:p w14:paraId="12CE6BA4">
            <w:pPr>
              <w:pStyle w:val="1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7952" w:type="dxa"/>
            <w:gridSpan w:val="4"/>
            <w:noWrap w:val="0"/>
            <w:vAlign w:val="center"/>
          </w:tcPr>
          <w:p w14:paraId="7D31CBF9">
            <w:pPr>
              <w:pStyle w:val="15"/>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bl>
    <w:p w14:paraId="6D77666E">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73E601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1、投标人需按本表格式填写，不得自行更改，如无对应内容，则填写：“无或/”。</w:t>
      </w:r>
    </w:p>
    <w:p w14:paraId="0A635854">
      <w:pPr>
        <w:spacing w:line="360" w:lineRule="auto"/>
        <w:ind w:firstLine="480" w:firstLineChars="200"/>
        <w:rPr>
          <w:rFonts w:hint="eastAsia" w:ascii="仿宋" w:hAnsi="仿宋" w:eastAsia="仿宋" w:cs="仿宋"/>
          <w:strike/>
          <w:dstrike w:val="0"/>
          <w:color w:val="auto"/>
          <w:kern w:val="0"/>
          <w:sz w:val="24"/>
          <w:highlight w:val="none"/>
          <w:lang w:val="zh-CN"/>
        </w:rPr>
      </w:pPr>
      <w:r>
        <w:rPr>
          <w:rFonts w:hint="eastAsia" w:ascii="仿宋" w:hAnsi="仿宋" w:eastAsia="仿宋" w:cs="仿宋"/>
          <w:strike/>
          <w:dstrike w:val="0"/>
          <w:color w:val="auto"/>
          <w:kern w:val="0"/>
          <w:sz w:val="24"/>
          <w:highlight w:val="none"/>
        </w:rPr>
        <w:t>2</w:t>
      </w:r>
      <w:r>
        <w:rPr>
          <w:rFonts w:hint="eastAsia" w:ascii="仿宋" w:hAnsi="仿宋" w:eastAsia="仿宋" w:cs="仿宋"/>
          <w:strike/>
          <w:dstrike w:val="0"/>
          <w:color w:val="auto"/>
          <w:kern w:val="0"/>
          <w:sz w:val="24"/>
          <w:highlight w:val="none"/>
          <w:lang w:val="zh-CN"/>
        </w:rPr>
        <w:t>、有关本项目实施所涉及的一切费用（详见前附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DBD7A2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、特别提示：采购代理机构将对项目名称和项目编号，中标供应商名称、</w:t>
      </w:r>
      <w:r>
        <w:rPr>
          <w:rFonts w:hint="eastAsia" w:ascii="仿宋" w:hAnsi="仿宋" w:eastAsia="仿宋" w:cs="仿宋"/>
          <w:strike/>
          <w:dstrike w:val="0"/>
          <w:color w:val="auto"/>
          <w:kern w:val="0"/>
          <w:sz w:val="24"/>
          <w:highlight w:val="none"/>
          <w:lang w:val="zh-CN"/>
        </w:rPr>
        <w:t>地址和</w:t>
      </w:r>
      <w:r>
        <w:rPr>
          <w:rFonts w:hint="eastAsia" w:ascii="仿宋" w:hAnsi="仿宋" w:eastAsia="仿宋" w:cs="仿宋"/>
          <w:color w:val="auto"/>
          <w:kern w:val="0"/>
          <w:sz w:val="24"/>
          <w:highlight w:val="none"/>
          <w:lang w:val="zh-CN"/>
        </w:rPr>
        <w:t>中标金额，</w:t>
      </w:r>
      <w:r>
        <w:rPr>
          <w:rFonts w:hint="eastAsia" w:ascii="仿宋" w:hAnsi="仿宋" w:eastAsia="仿宋" w:cs="仿宋"/>
          <w:strike/>
          <w:dstrike w:val="0"/>
          <w:color w:val="auto"/>
          <w:kern w:val="0"/>
          <w:sz w:val="24"/>
          <w:highlight w:val="none"/>
          <w:lang w:val="zh-CN"/>
        </w:rPr>
        <w:t>主要中标标的的名称、数量、单价、服务要求等</w:t>
      </w:r>
      <w:r>
        <w:rPr>
          <w:rFonts w:hint="eastAsia" w:ascii="仿宋" w:hAnsi="仿宋" w:eastAsia="仿宋" w:cs="仿宋"/>
          <w:color w:val="auto"/>
          <w:kern w:val="0"/>
          <w:sz w:val="24"/>
          <w:highlight w:val="none"/>
          <w:lang w:val="zh-CN"/>
        </w:rPr>
        <w:t>予以公示。</w:t>
      </w:r>
    </w:p>
    <w:p w14:paraId="61185008">
      <w:pPr>
        <w:spacing w:line="360" w:lineRule="auto"/>
        <w:ind w:firstLine="480" w:firstLineChars="200"/>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szCs w:val="22"/>
          <w:highlight w:val="none"/>
        </w:rPr>
        <w:t>4</w:t>
      </w:r>
      <w:r>
        <w:rPr>
          <w:rFonts w:hint="eastAsia" w:ascii="仿宋" w:hAnsi="仿宋" w:eastAsia="仿宋" w:cs="仿宋"/>
          <w:strike/>
          <w:color w:val="auto"/>
          <w:kern w:val="0"/>
          <w:sz w:val="24"/>
          <w:szCs w:val="22"/>
          <w:highlight w:val="none"/>
          <w:lang w:val="zh-CN"/>
        </w:rPr>
        <w:t>、</w:t>
      </w:r>
      <w:r>
        <w:rPr>
          <w:rFonts w:hint="eastAsia" w:ascii="仿宋" w:hAnsi="仿宋" w:eastAsia="仿宋" w:cs="仿宋"/>
          <w:strike/>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w:t>
      </w:r>
      <w:r>
        <w:rPr>
          <w:rFonts w:hint="eastAsia" w:ascii="仿宋" w:hAnsi="仿宋" w:eastAsia="仿宋" w:cs="仿宋"/>
          <w:i w:val="0"/>
          <w:iCs w:val="0"/>
          <w:strike/>
          <w:color w:val="auto"/>
          <w:kern w:val="0"/>
          <w:sz w:val="24"/>
          <w:highlight w:val="none"/>
          <w:lang w:val="zh-CN"/>
        </w:rPr>
        <w:t>依照有关规定追究相应责任</w:t>
      </w:r>
      <w:r>
        <w:rPr>
          <w:rFonts w:hint="eastAsia" w:ascii="仿宋" w:hAnsi="仿宋" w:eastAsia="仿宋" w:cs="仿宋"/>
          <w:strike/>
          <w:color w:val="auto"/>
          <w:kern w:val="0"/>
          <w:sz w:val="24"/>
          <w:highlight w:val="none"/>
          <w:lang w:val="zh-CN"/>
        </w:rPr>
        <w:t>。</w:t>
      </w:r>
    </w:p>
    <w:bookmarkEnd w:id="49"/>
    <w:p w14:paraId="565D57EE">
      <w:pPr>
        <w:spacing w:line="360" w:lineRule="auto"/>
        <w:ind w:right="1680"/>
        <w:jc w:val="right"/>
        <w:rPr>
          <w:rFonts w:hint="eastAsia" w:ascii="仿宋" w:hAnsi="仿宋" w:eastAsia="仿宋" w:cs="仿宋"/>
          <w:color w:val="auto"/>
          <w:sz w:val="32"/>
          <w:szCs w:val="32"/>
          <w:highlight w:val="none"/>
        </w:rPr>
      </w:pPr>
      <w:r>
        <w:rPr>
          <w:rFonts w:hint="eastAsia" w:ascii="仿宋" w:hAnsi="仿宋" w:eastAsia="仿宋" w:cs="仿宋"/>
          <w:i w:val="0"/>
          <w:iCs w:val="0"/>
          <w:color w:val="auto"/>
          <w:sz w:val="24"/>
          <w:highlight w:val="none"/>
          <w:lang w:eastAsia="zh-CN"/>
        </w:rPr>
        <w:t>供应商</w:t>
      </w:r>
      <w:r>
        <w:rPr>
          <w:rFonts w:hint="eastAsia" w:ascii="仿宋" w:hAnsi="仿宋" w:eastAsia="仿宋" w:cs="仿宋"/>
          <w:color w:val="auto"/>
          <w:sz w:val="24"/>
          <w:highlight w:val="none"/>
        </w:rPr>
        <w:t>名称（电子</w:t>
      </w:r>
      <w:r>
        <w:rPr>
          <w:rFonts w:hint="eastAsia" w:ascii="仿宋" w:hAnsi="仿宋" w:eastAsia="仿宋" w:cs="仿宋"/>
          <w:color w:val="auto"/>
          <w:sz w:val="24"/>
          <w:highlight w:val="none"/>
          <w:lang w:val="en-US" w:eastAsia="zh-CN"/>
        </w:rPr>
        <w:t>印章</w:t>
      </w:r>
      <w:r>
        <w:rPr>
          <w:rFonts w:hint="eastAsia" w:ascii="仿宋" w:hAnsi="仿宋" w:eastAsia="仿宋" w:cs="仿宋"/>
          <w:color w:val="auto"/>
          <w:sz w:val="24"/>
          <w:highlight w:val="none"/>
        </w:rPr>
        <w:t>）：                                                                                   日期：  年   月   日</w:t>
      </w:r>
    </w:p>
    <w:p w14:paraId="779F5963">
      <w:pPr>
        <w:pStyle w:val="3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0" w:type="first"/>
          <w:headerReference r:id="rId19" w:type="default"/>
          <w:pgSz w:w="11906" w:h="16838"/>
          <w:pgMar w:top="1474" w:right="1814" w:bottom="1474" w:left="1814" w:header="1417" w:footer="992" w:gutter="0"/>
          <w:cols w:space="720" w:num="1"/>
          <w:titlePg/>
          <w:docGrid w:linePitch="312" w:charSpace="0"/>
        </w:sectPr>
      </w:pPr>
    </w:p>
    <w:p w14:paraId="6B5D4311">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0" w:name="_Toc465665161"/>
      <w:r>
        <w:rPr>
          <w:rFonts w:hint="eastAsia" w:ascii="仿宋" w:hAnsi="仿宋" w:eastAsia="仿宋" w:cs="仿宋"/>
          <w:color w:val="auto"/>
          <w:highlight w:val="none"/>
        </w:rPr>
        <w:t>附件</w:t>
      </w:r>
      <w:bookmarkEnd w:id="50"/>
    </w:p>
    <w:p w14:paraId="64972C4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EA930E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78031A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F9B97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7FA5AC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0327F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73D5FD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0F56D9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DCF0CD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6DFCDF9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5C901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7F3208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9A850F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73598A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获取日期：</w:t>
      </w:r>
    </w:p>
    <w:p w14:paraId="49359F5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8ABA82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478CEE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576398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EF3EB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845AC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75F18C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5DE58B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693F88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181F6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5E998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1DCC9C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83B41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4C1622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5E6FA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01CFA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B07A4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51CBDF">
      <w:pPr>
        <w:widowControl/>
        <w:spacing w:line="360" w:lineRule="auto"/>
        <w:ind w:firstLine="600" w:firstLineChars="200"/>
        <w:jc w:val="left"/>
        <w:rPr>
          <w:rFonts w:hint="eastAsia" w:ascii="仿宋" w:hAnsi="仿宋" w:eastAsia="仿宋" w:cs="仿宋"/>
          <w:color w:val="auto"/>
          <w:sz w:val="30"/>
          <w:szCs w:val="30"/>
          <w:highlight w:val="none"/>
        </w:rPr>
      </w:pPr>
    </w:p>
    <w:p w14:paraId="32A302A3">
      <w:pPr>
        <w:spacing w:line="360" w:lineRule="auto"/>
        <w:jc w:val="center"/>
        <w:rPr>
          <w:rFonts w:hint="eastAsia" w:ascii="仿宋" w:hAnsi="仿宋" w:eastAsia="仿宋" w:cs="仿宋"/>
          <w:b/>
          <w:color w:val="auto"/>
          <w:spacing w:val="6"/>
          <w:sz w:val="32"/>
          <w:szCs w:val="32"/>
          <w:highlight w:val="none"/>
        </w:rPr>
      </w:pPr>
    </w:p>
    <w:p w14:paraId="70BF324D">
      <w:pPr>
        <w:pStyle w:val="26"/>
        <w:rPr>
          <w:rFonts w:hint="eastAsia" w:ascii="仿宋" w:hAnsi="仿宋" w:eastAsia="仿宋" w:cs="仿宋"/>
          <w:color w:val="auto"/>
          <w:highlight w:val="none"/>
        </w:rPr>
      </w:pPr>
    </w:p>
    <w:p w14:paraId="29847FF0">
      <w:pPr>
        <w:pStyle w:val="27"/>
        <w:rPr>
          <w:rFonts w:hint="eastAsia" w:ascii="仿宋" w:hAnsi="仿宋" w:eastAsia="仿宋" w:cs="仿宋"/>
          <w:color w:val="auto"/>
          <w:highlight w:val="none"/>
        </w:rPr>
      </w:pPr>
    </w:p>
    <w:p w14:paraId="55018BF2">
      <w:pPr>
        <w:rPr>
          <w:rFonts w:hint="eastAsia" w:ascii="仿宋" w:hAnsi="仿宋" w:eastAsia="仿宋" w:cs="仿宋"/>
          <w:color w:val="auto"/>
          <w:highlight w:val="none"/>
        </w:rPr>
      </w:pPr>
    </w:p>
    <w:p w14:paraId="58F8E5CE">
      <w:pPr>
        <w:pStyle w:val="26"/>
        <w:rPr>
          <w:rFonts w:hint="eastAsia" w:ascii="仿宋" w:hAnsi="仿宋" w:eastAsia="仿宋" w:cs="仿宋"/>
          <w:color w:val="auto"/>
          <w:highlight w:val="none"/>
        </w:rPr>
      </w:pPr>
    </w:p>
    <w:p w14:paraId="202663FF">
      <w:pPr>
        <w:pStyle w:val="27"/>
        <w:rPr>
          <w:rFonts w:hint="eastAsia" w:ascii="仿宋" w:hAnsi="仿宋" w:eastAsia="仿宋" w:cs="仿宋"/>
          <w:color w:val="auto"/>
          <w:highlight w:val="none"/>
        </w:rPr>
      </w:pPr>
    </w:p>
    <w:p w14:paraId="50CC8026">
      <w:pPr>
        <w:rPr>
          <w:rFonts w:hint="eastAsia" w:ascii="仿宋" w:hAnsi="仿宋" w:eastAsia="仿宋" w:cs="仿宋"/>
          <w:color w:val="auto"/>
          <w:highlight w:val="none"/>
        </w:rPr>
      </w:pPr>
    </w:p>
    <w:p w14:paraId="21972C17">
      <w:pPr>
        <w:pStyle w:val="26"/>
        <w:rPr>
          <w:rFonts w:hint="eastAsia" w:ascii="仿宋" w:hAnsi="仿宋" w:eastAsia="仿宋" w:cs="仿宋"/>
          <w:color w:val="auto"/>
          <w:highlight w:val="none"/>
        </w:rPr>
      </w:pPr>
    </w:p>
    <w:p w14:paraId="5811D340">
      <w:pPr>
        <w:pStyle w:val="27"/>
        <w:rPr>
          <w:rFonts w:hint="eastAsia" w:ascii="仿宋" w:hAnsi="仿宋" w:eastAsia="仿宋" w:cs="仿宋"/>
          <w:color w:val="auto"/>
          <w:highlight w:val="none"/>
        </w:rPr>
      </w:pPr>
    </w:p>
    <w:p w14:paraId="1FF5B18D">
      <w:pPr>
        <w:rPr>
          <w:rFonts w:hint="eastAsia" w:ascii="仿宋" w:hAnsi="仿宋" w:eastAsia="仿宋" w:cs="仿宋"/>
          <w:color w:val="auto"/>
          <w:highlight w:val="none"/>
        </w:rPr>
      </w:pPr>
    </w:p>
    <w:p w14:paraId="2DD9564C">
      <w:pPr>
        <w:pStyle w:val="26"/>
        <w:rPr>
          <w:rFonts w:hint="eastAsia" w:ascii="仿宋" w:hAnsi="仿宋" w:eastAsia="仿宋" w:cs="仿宋"/>
          <w:color w:val="auto"/>
          <w:highlight w:val="none"/>
        </w:rPr>
      </w:pPr>
    </w:p>
    <w:p w14:paraId="1E44CB2C">
      <w:pPr>
        <w:pStyle w:val="27"/>
        <w:rPr>
          <w:rFonts w:hint="eastAsia" w:ascii="仿宋" w:hAnsi="仿宋" w:eastAsia="仿宋" w:cs="仿宋"/>
          <w:color w:val="auto"/>
          <w:highlight w:val="none"/>
        </w:rPr>
      </w:pPr>
    </w:p>
    <w:p w14:paraId="275868A8">
      <w:pPr>
        <w:rPr>
          <w:rFonts w:hint="eastAsia" w:ascii="仿宋" w:hAnsi="仿宋" w:eastAsia="仿宋" w:cs="仿宋"/>
          <w:color w:val="auto"/>
          <w:highlight w:val="none"/>
        </w:rPr>
      </w:pPr>
    </w:p>
    <w:p w14:paraId="6BFAEB6B">
      <w:pPr>
        <w:pStyle w:val="26"/>
        <w:rPr>
          <w:rFonts w:hint="eastAsia" w:ascii="仿宋" w:hAnsi="仿宋" w:eastAsia="仿宋" w:cs="仿宋"/>
          <w:color w:val="auto"/>
          <w:highlight w:val="none"/>
        </w:rPr>
      </w:pPr>
    </w:p>
    <w:p w14:paraId="7875D332">
      <w:pPr>
        <w:pStyle w:val="27"/>
        <w:rPr>
          <w:rFonts w:hint="eastAsia" w:ascii="仿宋" w:hAnsi="仿宋" w:eastAsia="仿宋" w:cs="仿宋"/>
          <w:color w:val="auto"/>
          <w:highlight w:val="none"/>
        </w:rPr>
      </w:pPr>
    </w:p>
    <w:p w14:paraId="5AC24640">
      <w:pPr>
        <w:rPr>
          <w:rFonts w:hint="eastAsia" w:ascii="仿宋" w:hAnsi="仿宋" w:eastAsia="仿宋" w:cs="仿宋"/>
          <w:color w:val="auto"/>
          <w:highlight w:val="none"/>
        </w:rPr>
      </w:pPr>
    </w:p>
    <w:p w14:paraId="481186ED">
      <w:pPr>
        <w:spacing w:line="360" w:lineRule="auto"/>
        <w:jc w:val="left"/>
        <w:rPr>
          <w:rFonts w:hint="eastAsia" w:ascii="仿宋" w:hAnsi="仿宋" w:eastAsia="仿宋" w:cs="仿宋"/>
          <w:b/>
          <w:color w:val="auto"/>
          <w:spacing w:val="6"/>
          <w:sz w:val="32"/>
          <w:szCs w:val="32"/>
          <w:highlight w:val="none"/>
        </w:rPr>
      </w:pPr>
    </w:p>
    <w:p w14:paraId="063365D1">
      <w:pPr>
        <w:spacing w:line="360" w:lineRule="auto"/>
        <w:jc w:val="left"/>
        <w:rPr>
          <w:rFonts w:hint="eastAsia" w:ascii="仿宋" w:hAnsi="仿宋" w:eastAsia="仿宋" w:cs="仿宋"/>
          <w:b/>
          <w:color w:val="auto"/>
          <w:spacing w:val="6"/>
          <w:sz w:val="32"/>
          <w:szCs w:val="32"/>
          <w:highlight w:val="none"/>
        </w:rPr>
      </w:pPr>
    </w:p>
    <w:p w14:paraId="25FAD99C">
      <w:pPr>
        <w:spacing w:line="360" w:lineRule="auto"/>
        <w:jc w:val="left"/>
        <w:rPr>
          <w:rFonts w:hint="eastAsia" w:ascii="仿宋" w:hAnsi="仿宋" w:eastAsia="仿宋" w:cs="仿宋"/>
          <w:b/>
          <w:color w:val="auto"/>
          <w:spacing w:val="6"/>
          <w:sz w:val="32"/>
          <w:szCs w:val="32"/>
          <w:highlight w:val="none"/>
        </w:rPr>
      </w:pPr>
    </w:p>
    <w:p w14:paraId="1CB6806A">
      <w:pPr>
        <w:spacing w:line="360" w:lineRule="auto"/>
        <w:jc w:val="left"/>
        <w:rPr>
          <w:rFonts w:hint="eastAsia" w:ascii="仿宋" w:hAnsi="仿宋" w:eastAsia="仿宋" w:cs="仿宋"/>
          <w:b/>
          <w:color w:val="auto"/>
          <w:spacing w:val="6"/>
          <w:sz w:val="32"/>
          <w:szCs w:val="32"/>
          <w:highlight w:val="none"/>
        </w:rPr>
      </w:pPr>
    </w:p>
    <w:p w14:paraId="169BC92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5301A91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2892A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7928AF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48EED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BE52FF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2226670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66F856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182FC3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313BD8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0BDB6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EDC5B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B106C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551C0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47ABE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7ACFCE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E8F2E9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7A29FE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AE72D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6E1DDEA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053C42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104CB8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3ECEF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公示:</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公示期限：</w:t>
      </w:r>
    </w:p>
    <w:p w14:paraId="31DD2F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采购结果公示:</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公示期限：</w:t>
      </w:r>
    </w:p>
    <w:p w14:paraId="782F4A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470B7B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    年   月  日,向       提出质疑，质疑事项为：</w:t>
      </w:r>
    </w:p>
    <w:p w14:paraId="3775A06C">
      <w:pPr>
        <w:spacing w:line="360" w:lineRule="auto"/>
        <w:rPr>
          <w:rFonts w:hint="eastAsia" w:ascii="仿宋" w:hAnsi="仿宋" w:eastAsia="仿宋" w:cs="仿宋"/>
          <w:color w:val="auto"/>
          <w:sz w:val="24"/>
          <w:highlight w:val="none"/>
          <w:u w:val="dotted"/>
        </w:rPr>
      </w:pPr>
    </w:p>
    <w:p w14:paraId="5114C86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   年  月  日,就质疑事项作出了答复/没有在法定期限内作出答复。</w:t>
      </w:r>
    </w:p>
    <w:p w14:paraId="57FE54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DB4ED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27F113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2920E0B6">
      <w:pPr>
        <w:spacing w:line="360" w:lineRule="auto"/>
        <w:rPr>
          <w:rFonts w:hint="eastAsia" w:ascii="仿宋" w:hAnsi="仿宋" w:eastAsia="仿宋" w:cs="仿宋"/>
          <w:color w:val="auto"/>
          <w:sz w:val="24"/>
          <w:highlight w:val="none"/>
          <w:u w:val="dotted"/>
        </w:rPr>
      </w:pPr>
    </w:p>
    <w:p w14:paraId="3C8753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DEF6D7B">
      <w:pPr>
        <w:spacing w:line="360" w:lineRule="auto"/>
        <w:rPr>
          <w:rFonts w:hint="eastAsia" w:ascii="仿宋" w:hAnsi="仿宋" w:eastAsia="仿宋" w:cs="仿宋"/>
          <w:color w:val="auto"/>
          <w:sz w:val="24"/>
          <w:highlight w:val="none"/>
          <w:u w:val="dotted"/>
        </w:rPr>
      </w:pPr>
    </w:p>
    <w:p w14:paraId="34A688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E9B4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3BCFD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9A321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00514FD9">
      <w:pPr>
        <w:spacing w:line="360" w:lineRule="auto"/>
        <w:rPr>
          <w:rFonts w:hint="eastAsia" w:ascii="仿宋" w:hAnsi="仿宋" w:eastAsia="仿宋" w:cs="仿宋"/>
          <w:color w:val="auto"/>
          <w:sz w:val="24"/>
          <w:highlight w:val="none"/>
          <w:u w:val="single"/>
        </w:rPr>
      </w:pPr>
    </w:p>
    <w:p w14:paraId="426577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4346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4C46475">
      <w:pPr>
        <w:spacing w:line="360" w:lineRule="auto"/>
        <w:rPr>
          <w:rFonts w:hint="eastAsia" w:ascii="仿宋" w:hAnsi="仿宋" w:eastAsia="仿宋" w:cs="仿宋"/>
          <w:b/>
          <w:color w:val="auto"/>
          <w:sz w:val="24"/>
          <w:highlight w:val="none"/>
        </w:rPr>
      </w:pPr>
    </w:p>
    <w:p w14:paraId="74F070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DBFFDD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8A2AC5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0CDE6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BAEFF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2313A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EF4EE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79FC90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7331B2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71FE0E6B">
      <w:pPr>
        <w:spacing w:line="360" w:lineRule="auto"/>
        <w:rPr>
          <w:rFonts w:hint="eastAsia" w:ascii="仿宋" w:hAnsi="仿宋" w:eastAsia="仿宋" w:cs="仿宋"/>
          <w:color w:val="auto"/>
          <w:sz w:val="24"/>
          <w:highlight w:val="none"/>
          <w:u w:val="single"/>
        </w:rPr>
      </w:pPr>
    </w:p>
    <w:p w14:paraId="388009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7B082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6BB24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A79278B">
      <w:pPr>
        <w:spacing w:line="360" w:lineRule="auto"/>
        <w:ind w:firstLine="494"/>
        <w:rPr>
          <w:rFonts w:hint="eastAsia" w:ascii="仿宋" w:hAnsi="仿宋" w:eastAsia="仿宋" w:cs="仿宋"/>
          <w:color w:val="auto"/>
          <w:sz w:val="24"/>
          <w:highlight w:val="none"/>
        </w:rPr>
      </w:pPr>
    </w:p>
    <w:p w14:paraId="54B3F893">
      <w:pPr>
        <w:spacing w:line="360" w:lineRule="auto"/>
        <w:ind w:firstLine="494"/>
        <w:rPr>
          <w:rFonts w:hint="eastAsia" w:ascii="仿宋" w:hAnsi="仿宋" w:eastAsia="仿宋" w:cs="仿宋"/>
          <w:color w:val="auto"/>
          <w:sz w:val="24"/>
          <w:highlight w:val="none"/>
        </w:rPr>
      </w:pPr>
    </w:p>
    <w:p w14:paraId="363C14D9">
      <w:pPr>
        <w:spacing w:line="360" w:lineRule="auto"/>
        <w:ind w:firstLine="494"/>
        <w:rPr>
          <w:rFonts w:hint="eastAsia" w:ascii="仿宋" w:hAnsi="仿宋" w:eastAsia="仿宋" w:cs="仿宋"/>
          <w:color w:val="auto"/>
          <w:sz w:val="24"/>
          <w:highlight w:val="none"/>
        </w:rPr>
      </w:pPr>
    </w:p>
    <w:p w14:paraId="6CF9D67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47433D7">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E3BA571">
      <w:pPr>
        <w:pStyle w:val="26"/>
        <w:rPr>
          <w:rFonts w:hint="eastAsia" w:ascii="仿宋" w:hAnsi="仿宋" w:eastAsia="仿宋" w:cs="仿宋"/>
          <w:color w:val="auto"/>
          <w:highlight w:val="none"/>
        </w:rPr>
      </w:pPr>
    </w:p>
    <w:p w14:paraId="1FBA743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B6603C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592714D">
      <w:pPr>
        <w:autoSpaceDE w:val="0"/>
        <w:autoSpaceDN w:val="0"/>
        <w:jc w:val="center"/>
        <w:rPr>
          <w:rFonts w:hint="eastAsia" w:ascii="仿宋" w:hAnsi="仿宋" w:eastAsia="仿宋" w:cs="仿宋"/>
          <w:b/>
          <w:color w:val="auto"/>
          <w:spacing w:val="6"/>
          <w:sz w:val="32"/>
          <w:szCs w:val="32"/>
          <w:highlight w:val="none"/>
        </w:rPr>
      </w:pPr>
    </w:p>
    <w:p w14:paraId="12A06698">
      <w:pPr>
        <w:autoSpaceDE w:val="0"/>
        <w:autoSpaceDN w:val="0"/>
        <w:jc w:val="center"/>
        <w:rPr>
          <w:rFonts w:hint="eastAsia" w:ascii="仿宋" w:hAnsi="仿宋" w:eastAsia="仿宋" w:cs="仿宋"/>
          <w:b/>
          <w:color w:val="auto"/>
          <w:spacing w:val="6"/>
          <w:sz w:val="32"/>
          <w:szCs w:val="32"/>
          <w:highlight w:val="none"/>
        </w:rPr>
      </w:pPr>
    </w:p>
    <w:p w14:paraId="709D8A1F">
      <w:pPr>
        <w:autoSpaceDE w:val="0"/>
        <w:autoSpaceDN w:val="0"/>
        <w:jc w:val="center"/>
        <w:rPr>
          <w:rFonts w:hint="eastAsia" w:ascii="仿宋" w:hAnsi="仿宋" w:eastAsia="仿宋" w:cs="仿宋"/>
          <w:b/>
          <w:color w:val="auto"/>
          <w:spacing w:val="6"/>
          <w:sz w:val="32"/>
          <w:szCs w:val="32"/>
          <w:highlight w:val="none"/>
        </w:rPr>
      </w:pPr>
    </w:p>
    <w:p w14:paraId="2A7D0BE1">
      <w:pPr>
        <w:autoSpaceDE w:val="0"/>
        <w:autoSpaceDN w:val="0"/>
        <w:jc w:val="center"/>
        <w:rPr>
          <w:rFonts w:hint="eastAsia" w:ascii="仿宋" w:hAnsi="仿宋" w:eastAsia="仿宋" w:cs="仿宋"/>
          <w:b/>
          <w:color w:val="auto"/>
          <w:spacing w:val="6"/>
          <w:sz w:val="32"/>
          <w:szCs w:val="32"/>
          <w:highlight w:val="none"/>
        </w:rPr>
      </w:pPr>
    </w:p>
    <w:p w14:paraId="1CD2EC5B">
      <w:pPr>
        <w:autoSpaceDE w:val="0"/>
        <w:autoSpaceDN w:val="0"/>
        <w:jc w:val="center"/>
        <w:rPr>
          <w:rFonts w:hint="eastAsia" w:ascii="仿宋" w:hAnsi="仿宋" w:eastAsia="仿宋" w:cs="仿宋"/>
          <w:b/>
          <w:color w:val="auto"/>
          <w:spacing w:val="6"/>
          <w:sz w:val="32"/>
          <w:szCs w:val="32"/>
          <w:highlight w:val="none"/>
        </w:rPr>
      </w:pPr>
    </w:p>
    <w:p w14:paraId="73FE266E">
      <w:pPr>
        <w:autoSpaceDE w:val="0"/>
        <w:autoSpaceDN w:val="0"/>
        <w:jc w:val="center"/>
        <w:rPr>
          <w:rFonts w:hint="eastAsia" w:ascii="仿宋" w:hAnsi="仿宋" w:eastAsia="仿宋" w:cs="仿宋"/>
          <w:b/>
          <w:color w:val="auto"/>
          <w:spacing w:val="6"/>
          <w:sz w:val="32"/>
          <w:szCs w:val="32"/>
          <w:highlight w:val="none"/>
        </w:rPr>
      </w:pPr>
    </w:p>
    <w:p w14:paraId="5436604C">
      <w:pPr>
        <w:autoSpaceDE w:val="0"/>
        <w:autoSpaceDN w:val="0"/>
        <w:jc w:val="center"/>
        <w:rPr>
          <w:rFonts w:hint="eastAsia" w:ascii="仿宋" w:hAnsi="仿宋" w:eastAsia="仿宋" w:cs="仿宋"/>
          <w:b/>
          <w:color w:val="auto"/>
          <w:spacing w:val="6"/>
          <w:sz w:val="32"/>
          <w:szCs w:val="32"/>
          <w:highlight w:val="none"/>
        </w:rPr>
      </w:pPr>
    </w:p>
    <w:p w14:paraId="42AA3BF9">
      <w:pPr>
        <w:autoSpaceDE w:val="0"/>
        <w:autoSpaceDN w:val="0"/>
        <w:jc w:val="center"/>
        <w:rPr>
          <w:rFonts w:hint="eastAsia" w:ascii="仿宋" w:hAnsi="仿宋" w:eastAsia="仿宋" w:cs="仿宋"/>
          <w:b/>
          <w:color w:val="auto"/>
          <w:spacing w:val="6"/>
          <w:sz w:val="32"/>
          <w:szCs w:val="32"/>
          <w:highlight w:val="none"/>
        </w:rPr>
      </w:pPr>
    </w:p>
    <w:p w14:paraId="56C59499">
      <w:pPr>
        <w:autoSpaceDE w:val="0"/>
        <w:autoSpaceDN w:val="0"/>
        <w:jc w:val="center"/>
        <w:rPr>
          <w:rFonts w:hint="eastAsia" w:ascii="仿宋" w:hAnsi="仿宋" w:eastAsia="仿宋" w:cs="仿宋"/>
          <w:b/>
          <w:color w:val="auto"/>
          <w:spacing w:val="6"/>
          <w:sz w:val="32"/>
          <w:szCs w:val="32"/>
          <w:highlight w:val="none"/>
        </w:rPr>
      </w:pPr>
    </w:p>
    <w:p w14:paraId="5E455C8F">
      <w:pPr>
        <w:autoSpaceDE w:val="0"/>
        <w:autoSpaceDN w:val="0"/>
        <w:jc w:val="center"/>
        <w:rPr>
          <w:rFonts w:hint="eastAsia" w:ascii="仿宋" w:hAnsi="仿宋" w:eastAsia="仿宋" w:cs="仿宋"/>
          <w:b/>
          <w:color w:val="auto"/>
          <w:spacing w:val="6"/>
          <w:sz w:val="32"/>
          <w:szCs w:val="32"/>
          <w:highlight w:val="none"/>
        </w:rPr>
      </w:pPr>
    </w:p>
    <w:p w14:paraId="111775A1">
      <w:pPr>
        <w:autoSpaceDE w:val="0"/>
        <w:autoSpaceDN w:val="0"/>
        <w:jc w:val="center"/>
        <w:rPr>
          <w:rFonts w:hint="eastAsia" w:ascii="仿宋" w:hAnsi="仿宋" w:eastAsia="仿宋" w:cs="仿宋"/>
          <w:b/>
          <w:color w:val="auto"/>
          <w:spacing w:val="6"/>
          <w:sz w:val="32"/>
          <w:szCs w:val="32"/>
          <w:highlight w:val="none"/>
        </w:rPr>
      </w:pPr>
    </w:p>
    <w:p w14:paraId="31B5EEB5">
      <w:pPr>
        <w:autoSpaceDE w:val="0"/>
        <w:autoSpaceDN w:val="0"/>
        <w:jc w:val="center"/>
        <w:rPr>
          <w:rFonts w:hint="eastAsia" w:ascii="仿宋" w:hAnsi="仿宋" w:eastAsia="仿宋" w:cs="仿宋"/>
          <w:b/>
          <w:color w:val="auto"/>
          <w:spacing w:val="6"/>
          <w:sz w:val="32"/>
          <w:szCs w:val="32"/>
          <w:highlight w:val="none"/>
        </w:rPr>
      </w:pPr>
    </w:p>
    <w:p w14:paraId="4749D6F0">
      <w:pPr>
        <w:autoSpaceDE w:val="0"/>
        <w:autoSpaceDN w:val="0"/>
        <w:jc w:val="center"/>
        <w:rPr>
          <w:rFonts w:hint="eastAsia" w:ascii="仿宋" w:hAnsi="仿宋" w:eastAsia="仿宋" w:cs="仿宋"/>
          <w:b/>
          <w:color w:val="auto"/>
          <w:spacing w:val="6"/>
          <w:sz w:val="32"/>
          <w:szCs w:val="32"/>
          <w:highlight w:val="none"/>
        </w:rPr>
      </w:pPr>
    </w:p>
    <w:p w14:paraId="5805A7BF">
      <w:pPr>
        <w:autoSpaceDE w:val="0"/>
        <w:autoSpaceDN w:val="0"/>
        <w:jc w:val="center"/>
        <w:rPr>
          <w:rFonts w:hint="eastAsia" w:ascii="仿宋" w:hAnsi="仿宋" w:eastAsia="仿宋" w:cs="仿宋"/>
          <w:b/>
          <w:color w:val="auto"/>
          <w:spacing w:val="6"/>
          <w:sz w:val="32"/>
          <w:szCs w:val="32"/>
          <w:highlight w:val="none"/>
        </w:rPr>
      </w:pPr>
    </w:p>
    <w:p w14:paraId="6021715E">
      <w:pPr>
        <w:autoSpaceDE w:val="0"/>
        <w:autoSpaceDN w:val="0"/>
        <w:jc w:val="center"/>
        <w:rPr>
          <w:rFonts w:hint="eastAsia" w:ascii="仿宋" w:hAnsi="仿宋" w:eastAsia="仿宋" w:cs="仿宋"/>
          <w:b/>
          <w:color w:val="auto"/>
          <w:spacing w:val="6"/>
          <w:sz w:val="32"/>
          <w:szCs w:val="32"/>
          <w:highlight w:val="none"/>
        </w:rPr>
      </w:pPr>
    </w:p>
    <w:p w14:paraId="68305544">
      <w:pPr>
        <w:snapToGrid w:val="0"/>
        <w:spacing w:line="360" w:lineRule="auto"/>
        <w:jc w:val="center"/>
        <w:outlineLvl w:val="0"/>
        <w:rPr>
          <w:rFonts w:hint="eastAsia" w:ascii="仿宋" w:hAnsi="仿宋" w:eastAsia="仿宋" w:cs="仿宋"/>
          <w:b/>
          <w:strike/>
          <w:color w:val="auto"/>
          <w:kern w:val="0"/>
          <w:sz w:val="32"/>
          <w:szCs w:val="32"/>
          <w:highlight w:val="none"/>
        </w:rPr>
      </w:pPr>
      <w:r>
        <w:rPr>
          <w:rFonts w:hint="eastAsia" w:ascii="仿宋" w:hAnsi="仿宋" w:eastAsia="仿宋" w:cs="仿宋"/>
          <w:b/>
          <w:strike/>
          <w:color w:val="auto"/>
          <w:kern w:val="0"/>
          <w:sz w:val="32"/>
          <w:szCs w:val="32"/>
          <w:highlight w:val="none"/>
        </w:rPr>
        <w:t>附件4：联合协议</w:t>
      </w:r>
    </w:p>
    <w:p w14:paraId="1962A00C">
      <w:pPr>
        <w:widowControl/>
        <w:spacing w:line="360" w:lineRule="auto"/>
        <w:ind w:firstLine="482" w:firstLineChars="200"/>
        <w:jc w:val="left"/>
        <w:rPr>
          <w:rFonts w:hint="eastAsia" w:ascii="仿宋" w:hAnsi="仿宋" w:eastAsia="仿宋" w:cs="仿宋"/>
          <w:b/>
          <w:strike/>
          <w:color w:val="auto"/>
          <w:sz w:val="24"/>
          <w:highlight w:val="none"/>
        </w:rPr>
      </w:pPr>
      <w:r>
        <w:rPr>
          <w:rFonts w:hint="eastAsia" w:ascii="仿宋" w:hAnsi="仿宋" w:eastAsia="仿宋" w:cs="仿宋"/>
          <w:b/>
          <w:strike/>
          <w:color w:val="auto"/>
          <w:sz w:val="24"/>
          <w:highlight w:val="none"/>
        </w:rPr>
        <w:t>（以联合体形式投标的，提供联合协议；本项目不接受联合体投标或者供应商不以联合体形式投标的，则不需要提供）</w:t>
      </w:r>
    </w:p>
    <w:p w14:paraId="63C975B3">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u w:val="single"/>
        </w:rPr>
        <w:t>（联合体所有成员名称）</w:t>
      </w:r>
      <w:r>
        <w:rPr>
          <w:rFonts w:hint="eastAsia" w:ascii="仿宋" w:hAnsi="仿宋" w:eastAsia="仿宋" w:cs="仿宋"/>
          <w:strike/>
          <w:color w:val="auto"/>
          <w:kern w:val="0"/>
          <w:sz w:val="24"/>
          <w:highlight w:val="none"/>
        </w:rPr>
        <w:t>自愿</w:t>
      </w:r>
      <w:r>
        <w:rPr>
          <w:rFonts w:hint="eastAsia" w:ascii="仿宋" w:hAnsi="仿宋" w:eastAsia="仿宋" w:cs="仿宋"/>
          <w:strike/>
          <w:color w:val="auto"/>
          <w:kern w:val="0"/>
          <w:sz w:val="24"/>
          <w:highlight w:val="none"/>
          <w:lang w:val="zh-CN"/>
        </w:rPr>
        <w:t>组成一个联合体，以一个供应商的身份</w:t>
      </w:r>
      <w:r>
        <w:rPr>
          <w:rFonts w:hint="eastAsia" w:ascii="仿宋" w:hAnsi="仿宋" w:eastAsia="仿宋" w:cs="仿宋"/>
          <w:strike/>
          <w:color w:val="auto"/>
          <w:kern w:val="0"/>
          <w:sz w:val="24"/>
          <w:highlight w:val="none"/>
        </w:rPr>
        <w:t>参加</w:t>
      </w:r>
      <w:r>
        <w:rPr>
          <w:rFonts w:hint="eastAsia" w:ascii="仿宋" w:hAnsi="仿宋" w:eastAsia="仿宋" w:cs="仿宋"/>
          <w:strike/>
          <w:color w:val="auto"/>
          <w:sz w:val="24"/>
          <w:highlight w:val="none"/>
        </w:rPr>
        <w:t>（项目名称）【招标编号：（采购编号）】</w:t>
      </w:r>
      <w:r>
        <w:rPr>
          <w:rFonts w:hint="eastAsia" w:ascii="仿宋" w:hAnsi="仿宋" w:eastAsia="仿宋" w:cs="仿宋"/>
          <w:strike/>
          <w:color w:val="auto"/>
          <w:kern w:val="0"/>
          <w:sz w:val="24"/>
          <w:highlight w:val="none"/>
          <w:lang w:val="zh-CN"/>
        </w:rPr>
        <w:t xml:space="preserve">投标。 </w:t>
      </w:r>
    </w:p>
    <w:p w14:paraId="10F3317E">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一、各方一致决定，</w:t>
      </w:r>
      <w:r>
        <w:rPr>
          <w:rFonts w:hint="eastAsia" w:ascii="仿宋" w:hAnsi="仿宋" w:eastAsia="仿宋" w:cs="仿宋"/>
          <w:strike/>
          <w:color w:val="auto"/>
          <w:kern w:val="0"/>
          <w:sz w:val="24"/>
          <w:highlight w:val="none"/>
          <w:u w:val="single"/>
        </w:rPr>
        <w:t>（某联合体成员名称）</w:t>
      </w:r>
      <w:r>
        <w:rPr>
          <w:rFonts w:hint="eastAsia" w:ascii="仿宋" w:hAnsi="仿宋" w:eastAsia="仿宋" w:cs="仿宋"/>
          <w:strike/>
          <w:color w:val="auto"/>
          <w:kern w:val="0"/>
          <w:sz w:val="24"/>
          <w:highlight w:val="none"/>
        </w:rPr>
        <w:t>为联合体</w:t>
      </w:r>
      <w:r>
        <w:rPr>
          <w:rFonts w:hint="eastAsia" w:ascii="仿宋" w:hAnsi="仿宋" w:eastAsia="仿宋" w:cs="仿宋"/>
          <w:strike/>
          <w:color w:val="auto"/>
          <w:kern w:val="0"/>
          <w:sz w:val="24"/>
          <w:highlight w:val="none"/>
          <w:lang w:val="zh-CN"/>
        </w:rPr>
        <w:t>牵头人</w:t>
      </w:r>
      <w:r>
        <w:rPr>
          <w:rFonts w:hint="eastAsia" w:ascii="仿宋" w:hAnsi="仿宋" w:eastAsia="仿宋" w:cs="仿宋"/>
          <w:strike/>
          <w:color w:val="auto"/>
          <w:sz w:val="24"/>
          <w:highlight w:val="none"/>
        </w:rPr>
        <w:t>，代表所有联合体成员负责投标和合同实施阶段的主办、协调工作</w:t>
      </w:r>
      <w:r>
        <w:rPr>
          <w:rFonts w:hint="eastAsia" w:ascii="仿宋" w:hAnsi="仿宋" w:eastAsia="仿宋" w:cs="仿宋"/>
          <w:strike/>
          <w:color w:val="auto"/>
          <w:kern w:val="0"/>
          <w:sz w:val="24"/>
          <w:highlight w:val="none"/>
          <w:lang w:val="zh-CN"/>
        </w:rPr>
        <w:t>。</w:t>
      </w:r>
    </w:p>
    <w:p w14:paraId="1E711AD8">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二、</w:t>
      </w:r>
      <w:r>
        <w:rPr>
          <w:rFonts w:hint="eastAsia" w:ascii="仿宋" w:hAnsi="仿宋" w:eastAsia="仿宋" w:cs="仿宋"/>
          <w:strike/>
          <w:color w:val="auto"/>
          <w:sz w:val="24"/>
          <w:highlight w:val="none"/>
        </w:rPr>
        <w:t>所有联合体成员各方签署授权书，授权书载明的</w:t>
      </w:r>
      <w:r>
        <w:rPr>
          <w:rFonts w:hint="eastAsia" w:ascii="仿宋" w:hAnsi="仿宋" w:eastAsia="仿宋" w:cs="仿宋"/>
          <w:strike/>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E1A081A">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三、本次联合投标中，分工如下：</w:t>
      </w:r>
    </w:p>
    <w:p w14:paraId="7B47EC56">
      <w:pPr>
        <w:snapToGrid w:val="0"/>
        <w:spacing w:line="360" w:lineRule="auto"/>
        <w:ind w:firstLine="576"/>
        <w:rPr>
          <w:rFonts w:hint="eastAsia" w:ascii="仿宋" w:hAnsi="仿宋" w:eastAsia="仿宋" w:cs="仿宋"/>
          <w:strike/>
          <w:color w:val="auto"/>
          <w:kern w:val="0"/>
          <w:sz w:val="24"/>
          <w:highlight w:val="none"/>
          <w:lang w:val="zh-CN"/>
        </w:rPr>
      </w:pPr>
      <w:bookmarkStart w:id="51" w:name="_Hlk101134295"/>
      <w:r>
        <w:rPr>
          <w:rFonts w:hint="eastAsia" w:ascii="仿宋" w:hAnsi="仿宋" w:eastAsia="仿宋" w:cs="仿宋"/>
          <w:strike/>
          <w:color w:val="auto"/>
          <w:kern w:val="0"/>
          <w:sz w:val="24"/>
          <w:highlight w:val="none"/>
          <w:u w:val="single"/>
        </w:rPr>
        <w:t>（联合体成员1）</w:t>
      </w:r>
      <w:r>
        <w:rPr>
          <w:rFonts w:hint="eastAsia" w:ascii="仿宋" w:hAnsi="仿宋" w:eastAsia="仿宋" w:cs="仿宋"/>
          <w:strike/>
          <w:color w:val="auto"/>
          <w:kern w:val="0"/>
          <w:sz w:val="24"/>
          <w:highlight w:val="none"/>
          <w:lang w:val="zh-CN"/>
        </w:rPr>
        <w:t>承担的工作和义务为：；</w:t>
      </w:r>
    </w:p>
    <w:p w14:paraId="19A9E4C0">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u w:val="single"/>
        </w:rPr>
        <w:t>（联合体成员2）</w:t>
      </w:r>
      <w:r>
        <w:rPr>
          <w:rFonts w:hint="eastAsia" w:ascii="仿宋" w:hAnsi="仿宋" w:eastAsia="仿宋" w:cs="仿宋"/>
          <w:strike/>
          <w:color w:val="auto"/>
          <w:kern w:val="0"/>
          <w:sz w:val="24"/>
          <w:highlight w:val="none"/>
          <w:lang w:val="zh-CN"/>
        </w:rPr>
        <w:t>承担的工作和义务为：；</w:t>
      </w:r>
    </w:p>
    <w:p w14:paraId="0DCD441A">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w:t>
      </w:r>
    </w:p>
    <w:bookmarkEnd w:id="51"/>
    <w:p w14:paraId="63C486F4">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四、如果中标，</w:t>
      </w:r>
      <w:r>
        <w:rPr>
          <w:rFonts w:hint="eastAsia" w:ascii="仿宋" w:hAnsi="仿宋" w:eastAsia="仿宋" w:cs="仿宋"/>
          <w:strike/>
          <w:color w:val="auto"/>
          <w:sz w:val="24"/>
          <w:highlight w:val="none"/>
        </w:rPr>
        <w:t>联合体各成员方共同与采购人签订合同，并就采购合同约定的事项对采购人承担连带责任。</w:t>
      </w:r>
    </w:p>
    <w:p w14:paraId="1739DD12">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rPr>
        <w:t>五</w:t>
      </w:r>
      <w:r>
        <w:rPr>
          <w:rFonts w:hint="eastAsia" w:ascii="仿宋" w:hAnsi="仿宋" w:eastAsia="仿宋" w:cs="仿宋"/>
          <w:strike/>
          <w:color w:val="auto"/>
          <w:kern w:val="0"/>
          <w:sz w:val="24"/>
          <w:highlight w:val="none"/>
          <w:lang w:val="zh-CN"/>
        </w:rPr>
        <w:t>、有关本次联合投标的其他事宜：</w:t>
      </w:r>
    </w:p>
    <w:p w14:paraId="7751C6AA">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1、联合体各方不再单独参加或者与其他供应商另外组成联合体参加同一合同项下的采购活动。</w:t>
      </w:r>
    </w:p>
    <w:p w14:paraId="3250EA2F">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2、联合体中有同类资质的各方按照联合体分工承担相同工作的，按照资质等级较低的供应商确定资质等级。</w:t>
      </w:r>
    </w:p>
    <w:p w14:paraId="42C925E8">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3、本协议提交采购人、采购代理机构后，联合体各方不得以任何形式对上述内容进行修改或撤销。</w:t>
      </w:r>
    </w:p>
    <w:p w14:paraId="0DD90898">
      <w:pPr>
        <w:snapToGrid w:val="0"/>
        <w:spacing w:line="360" w:lineRule="auto"/>
        <w:ind w:firstLine="5040" w:firstLineChars="2100"/>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联合体成员名称(电子印章</w:t>
      </w:r>
      <w:r>
        <w:rPr>
          <w:rFonts w:hint="eastAsia" w:ascii="仿宋" w:hAnsi="仿宋" w:eastAsia="仿宋" w:cs="仿宋"/>
          <w:strike/>
          <w:color w:val="auto"/>
          <w:kern w:val="0"/>
          <w:sz w:val="24"/>
          <w:highlight w:val="none"/>
        </w:rPr>
        <w:t>或</w:t>
      </w:r>
      <w:r>
        <w:rPr>
          <w:rFonts w:hint="eastAsia" w:ascii="仿宋" w:hAnsi="仿宋" w:eastAsia="仿宋" w:cs="仿宋"/>
          <w:strike/>
          <w:color w:val="auto"/>
          <w:kern w:val="0"/>
          <w:sz w:val="24"/>
          <w:highlight w:val="none"/>
          <w:lang w:val="zh-CN"/>
        </w:rPr>
        <w:t>公章)：</w:t>
      </w:r>
    </w:p>
    <w:p w14:paraId="20190ACE">
      <w:pPr>
        <w:snapToGrid w:val="0"/>
        <w:spacing w:line="360" w:lineRule="auto"/>
        <w:ind w:firstLine="5040" w:firstLineChars="2100"/>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联合体成员名称(电子印章</w:t>
      </w:r>
      <w:r>
        <w:rPr>
          <w:rFonts w:hint="eastAsia" w:ascii="仿宋" w:hAnsi="仿宋" w:eastAsia="仿宋" w:cs="仿宋"/>
          <w:strike/>
          <w:color w:val="auto"/>
          <w:kern w:val="0"/>
          <w:sz w:val="24"/>
          <w:highlight w:val="none"/>
        </w:rPr>
        <w:t>或</w:t>
      </w:r>
      <w:r>
        <w:rPr>
          <w:rFonts w:hint="eastAsia" w:ascii="仿宋" w:hAnsi="仿宋" w:eastAsia="仿宋" w:cs="仿宋"/>
          <w:strike/>
          <w:color w:val="auto"/>
          <w:kern w:val="0"/>
          <w:sz w:val="24"/>
          <w:highlight w:val="none"/>
          <w:lang w:val="zh-CN"/>
        </w:rPr>
        <w:t>公章)：</w:t>
      </w:r>
    </w:p>
    <w:p w14:paraId="1899AB2C">
      <w:pPr>
        <w:snapToGrid w:val="0"/>
        <w:spacing w:line="360" w:lineRule="auto"/>
        <w:ind w:right="960"/>
        <w:jc w:val="center"/>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 xml:space="preserve">                   ……</w:t>
      </w:r>
    </w:p>
    <w:p w14:paraId="3CA56C54">
      <w:pPr>
        <w:snapToGrid w:val="0"/>
        <w:spacing w:line="360" w:lineRule="auto"/>
        <w:jc w:val="right"/>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日期：  年  月   日</w:t>
      </w:r>
    </w:p>
    <w:p w14:paraId="6648A8DB">
      <w:pPr>
        <w:spacing w:line="360" w:lineRule="auto"/>
        <w:ind w:right="420"/>
        <w:rPr>
          <w:rFonts w:hint="eastAsia" w:ascii="仿宋" w:hAnsi="仿宋" w:eastAsia="仿宋" w:cs="仿宋"/>
          <w:strike/>
          <w:color w:val="auto"/>
          <w:sz w:val="24"/>
          <w:highlight w:val="none"/>
        </w:rPr>
      </w:pPr>
      <w:r>
        <w:rPr>
          <w:rFonts w:hint="eastAsia" w:ascii="仿宋" w:hAnsi="仿宋" w:eastAsia="仿宋" w:cs="仿宋"/>
          <w:strike/>
          <w:color w:val="auto"/>
          <w:sz w:val="24"/>
          <w:highlight w:val="none"/>
        </w:rPr>
        <w:t>注：按本格式和要求提供。</w:t>
      </w:r>
    </w:p>
    <w:p w14:paraId="38F7C2CA">
      <w:pPr>
        <w:snapToGrid w:val="0"/>
        <w:spacing w:line="360" w:lineRule="auto"/>
        <w:jc w:val="center"/>
        <w:outlineLvl w:val="0"/>
        <w:rPr>
          <w:rFonts w:hint="eastAsia" w:ascii="仿宋" w:hAnsi="仿宋" w:eastAsia="仿宋" w:cs="仿宋"/>
          <w:b/>
          <w:strike/>
          <w:color w:val="auto"/>
          <w:kern w:val="0"/>
          <w:sz w:val="32"/>
          <w:szCs w:val="32"/>
          <w:highlight w:val="none"/>
        </w:rPr>
      </w:pPr>
      <w:r>
        <w:rPr>
          <w:rFonts w:hint="eastAsia" w:ascii="仿宋" w:hAnsi="仿宋" w:eastAsia="仿宋" w:cs="仿宋"/>
          <w:b/>
          <w:strike/>
          <w:color w:val="auto"/>
          <w:kern w:val="0"/>
          <w:sz w:val="32"/>
          <w:szCs w:val="32"/>
          <w:highlight w:val="none"/>
        </w:rPr>
        <w:t>附件5：分包意向协议</w:t>
      </w:r>
    </w:p>
    <w:p w14:paraId="0C05FFE4">
      <w:pPr>
        <w:widowControl/>
        <w:spacing w:line="360" w:lineRule="auto"/>
        <w:ind w:firstLine="120" w:firstLineChars="50"/>
        <w:jc w:val="left"/>
        <w:rPr>
          <w:rFonts w:hint="eastAsia" w:ascii="仿宋" w:hAnsi="仿宋" w:eastAsia="仿宋" w:cs="仿宋"/>
          <w:strike/>
          <w:color w:val="auto"/>
          <w:sz w:val="24"/>
          <w:highlight w:val="none"/>
        </w:rPr>
      </w:pPr>
      <w:r>
        <w:rPr>
          <w:rFonts w:hint="eastAsia" w:ascii="仿宋" w:hAnsi="仿宋" w:eastAsia="仿宋" w:cs="仿宋"/>
          <w:strike/>
          <w:color w:val="auto"/>
          <w:sz w:val="24"/>
          <w:highlight w:val="none"/>
        </w:rPr>
        <w:t>（</w:t>
      </w:r>
      <w:r>
        <w:rPr>
          <w:rFonts w:hint="eastAsia" w:ascii="仿宋" w:hAnsi="仿宋" w:eastAsia="仿宋" w:cs="仿宋"/>
          <w:b/>
          <w:strike/>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
          <w:strike/>
          <w:color w:val="auto"/>
          <w:sz w:val="24"/>
          <w:highlight w:val="none"/>
        </w:rPr>
        <w:t>）</w:t>
      </w:r>
    </w:p>
    <w:p w14:paraId="4D76D7C0">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u w:val="single"/>
        </w:rPr>
        <w:t>（供应商名称）</w:t>
      </w:r>
      <w:r>
        <w:rPr>
          <w:rFonts w:hint="eastAsia" w:ascii="仿宋" w:hAnsi="仿宋" w:eastAsia="仿宋" w:cs="仿宋"/>
          <w:strike/>
          <w:color w:val="auto"/>
          <w:kern w:val="0"/>
          <w:sz w:val="24"/>
          <w:highlight w:val="none"/>
          <w:lang w:val="zh-CN"/>
        </w:rPr>
        <w:t>若成为</w:t>
      </w:r>
      <w:r>
        <w:rPr>
          <w:rFonts w:hint="eastAsia" w:ascii="仿宋" w:hAnsi="仿宋" w:eastAsia="仿宋" w:cs="仿宋"/>
          <w:strike/>
          <w:color w:val="auto"/>
          <w:sz w:val="24"/>
          <w:highlight w:val="none"/>
        </w:rPr>
        <w:t>（项目名称）【招标编号：（采购编号）】</w:t>
      </w:r>
      <w:r>
        <w:rPr>
          <w:rFonts w:hint="eastAsia" w:ascii="仿宋" w:hAnsi="仿宋" w:eastAsia="仿宋" w:cs="仿宋"/>
          <w:strike/>
          <w:color w:val="auto"/>
          <w:kern w:val="0"/>
          <w:sz w:val="24"/>
          <w:highlight w:val="none"/>
          <w:lang w:val="zh-CN"/>
        </w:rPr>
        <w:t>的中标供应商，将依法采取分包方式履行合同。</w:t>
      </w:r>
      <w:r>
        <w:rPr>
          <w:rFonts w:hint="eastAsia" w:ascii="仿宋" w:hAnsi="仿宋" w:eastAsia="仿宋" w:cs="仿宋"/>
          <w:strike/>
          <w:color w:val="auto"/>
          <w:kern w:val="0"/>
          <w:sz w:val="24"/>
          <w:highlight w:val="none"/>
          <w:u w:val="single"/>
        </w:rPr>
        <w:t>（供应商名称）</w:t>
      </w:r>
      <w:r>
        <w:rPr>
          <w:rFonts w:hint="eastAsia" w:ascii="仿宋" w:hAnsi="仿宋" w:eastAsia="仿宋" w:cs="仿宋"/>
          <w:strike/>
          <w:color w:val="auto"/>
          <w:kern w:val="0"/>
          <w:sz w:val="24"/>
          <w:highlight w:val="none"/>
        </w:rPr>
        <w:t>与</w:t>
      </w:r>
      <w:r>
        <w:rPr>
          <w:rFonts w:hint="eastAsia" w:ascii="仿宋" w:hAnsi="仿宋" w:eastAsia="仿宋" w:cs="仿宋"/>
          <w:strike/>
          <w:color w:val="auto"/>
          <w:kern w:val="0"/>
          <w:sz w:val="24"/>
          <w:highlight w:val="none"/>
          <w:u w:val="single"/>
        </w:rPr>
        <w:t>（所有分包供应商名称）</w:t>
      </w:r>
      <w:r>
        <w:rPr>
          <w:rFonts w:hint="eastAsia" w:ascii="仿宋" w:hAnsi="仿宋" w:eastAsia="仿宋" w:cs="仿宋"/>
          <w:strike/>
          <w:color w:val="auto"/>
          <w:kern w:val="0"/>
          <w:sz w:val="24"/>
          <w:highlight w:val="none"/>
        </w:rPr>
        <w:t>达成分包意向协议</w:t>
      </w:r>
      <w:r>
        <w:rPr>
          <w:rFonts w:hint="eastAsia" w:ascii="仿宋" w:hAnsi="仿宋" w:eastAsia="仿宋" w:cs="仿宋"/>
          <w:strike/>
          <w:color w:val="auto"/>
          <w:kern w:val="0"/>
          <w:sz w:val="24"/>
          <w:highlight w:val="none"/>
          <w:lang w:val="zh-CN"/>
        </w:rPr>
        <w:t xml:space="preserve">。 </w:t>
      </w:r>
    </w:p>
    <w:p w14:paraId="1DC586EE">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一、分包标的及数量</w:t>
      </w:r>
    </w:p>
    <w:p w14:paraId="3E629A53">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u w:val="single"/>
        </w:rPr>
        <w:t>（供应商名称）</w:t>
      </w:r>
      <w:r>
        <w:rPr>
          <w:rFonts w:hint="eastAsia" w:ascii="仿宋" w:hAnsi="仿宋" w:eastAsia="仿宋" w:cs="仿宋"/>
          <w:strike/>
          <w:color w:val="auto"/>
          <w:kern w:val="0"/>
          <w:sz w:val="24"/>
          <w:highlight w:val="none"/>
          <w:lang w:val="zh-CN"/>
        </w:rPr>
        <w:t>将</w:t>
      </w:r>
      <w:r>
        <w:rPr>
          <w:rFonts w:hint="eastAsia" w:ascii="仿宋" w:hAnsi="仿宋" w:eastAsia="仿宋" w:cs="仿宋"/>
          <w:strike/>
          <w:color w:val="auto"/>
          <w:kern w:val="0"/>
          <w:sz w:val="24"/>
          <w:highlight w:val="none"/>
          <w:u w:val="single"/>
        </w:rPr>
        <w:t xml:space="preserve">  XX工作内容   </w:t>
      </w:r>
      <w:r>
        <w:rPr>
          <w:rFonts w:hint="eastAsia" w:ascii="仿宋" w:hAnsi="仿宋" w:eastAsia="仿宋" w:cs="仿宋"/>
          <w:strike/>
          <w:color w:val="auto"/>
          <w:sz w:val="24"/>
          <w:highlight w:val="none"/>
        </w:rPr>
        <w:t>分包给</w:t>
      </w:r>
      <w:r>
        <w:rPr>
          <w:rFonts w:hint="eastAsia" w:ascii="仿宋" w:hAnsi="仿宋" w:eastAsia="仿宋" w:cs="仿宋"/>
          <w:strike/>
          <w:color w:val="auto"/>
          <w:kern w:val="0"/>
          <w:sz w:val="24"/>
          <w:highlight w:val="none"/>
          <w:u w:val="single"/>
        </w:rPr>
        <w:t>（分包供应商1名称）</w:t>
      </w:r>
      <w:r>
        <w:rPr>
          <w:rFonts w:hint="eastAsia" w:ascii="仿宋" w:hAnsi="仿宋" w:eastAsia="仿宋" w:cs="仿宋"/>
          <w:strike/>
          <w:color w:val="auto"/>
          <w:kern w:val="0"/>
          <w:sz w:val="24"/>
          <w:highlight w:val="none"/>
          <w:lang w:val="zh-CN"/>
        </w:rPr>
        <w:t>，</w:t>
      </w:r>
      <w:r>
        <w:rPr>
          <w:rFonts w:hint="eastAsia" w:ascii="仿宋" w:hAnsi="仿宋" w:eastAsia="仿宋" w:cs="仿宋"/>
          <w:strike/>
          <w:color w:val="auto"/>
          <w:kern w:val="0"/>
          <w:sz w:val="24"/>
          <w:highlight w:val="none"/>
          <w:u w:val="single"/>
        </w:rPr>
        <w:t>（分包供应商1名称），</w:t>
      </w:r>
      <w:r>
        <w:rPr>
          <w:rFonts w:hint="eastAsia" w:ascii="仿宋" w:hAnsi="仿宋" w:eastAsia="仿宋" w:cs="仿宋"/>
          <w:strike/>
          <w:color w:val="auto"/>
          <w:kern w:val="0"/>
          <w:sz w:val="24"/>
          <w:highlight w:val="none"/>
          <w:lang w:val="zh-CN"/>
        </w:rPr>
        <w:t>具备承</w:t>
      </w:r>
      <w:r>
        <w:rPr>
          <w:rFonts w:hint="eastAsia" w:ascii="仿宋" w:hAnsi="仿宋" w:eastAsia="仿宋" w:cs="仿宋"/>
          <w:strike/>
          <w:color w:val="auto"/>
          <w:kern w:val="0"/>
          <w:sz w:val="24"/>
          <w:highlight w:val="none"/>
        </w:rPr>
        <w:t>担</w:t>
      </w:r>
      <w:r>
        <w:rPr>
          <w:rFonts w:hint="eastAsia" w:ascii="仿宋" w:hAnsi="仿宋" w:eastAsia="仿宋" w:cs="仿宋"/>
          <w:strike/>
          <w:color w:val="auto"/>
          <w:kern w:val="0"/>
          <w:sz w:val="24"/>
          <w:highlight w:val="none"/>
          <w:u w:val="single"/>
          <w:lang w:val="zh-CN"/>
        </w:rPr>
        <w:t>XX工作内容</w:t>
      </w:r>
      <w:r>
        <w:rPr>
          <w:rFonts w:hint="eastAsia" w:ascii="仿宋" w:hAnsi="仿宋" w:eastAsia="仿宋" w:cs="仿宋"/>
          <w:strike/>
          <w:color w:val="auto"/>
          <w:kern w:val="0"/>
          <w:sz w:val="24"/>
          <w:highlight w:val="none"/>
          <w:lang w:val="zh-CN"/>
        </w:rPr>
        <w:t>相应资质条件且不得再次分包；</w:t>
      </w:r>
    </w:p>
    <w:p w14:paraId="77ECE5EE">
      <w:pPr>
        <w:pStyle w:val="3"/>
        <w:ind w:left="664" w:leftChars="316" w:firstLine="229" w:firstLineChars="95"/>
        <w:rPr>
          <w:rFonts w:hint="eastAsia" w:ascii="仿宋" w:hAnsi="仿宋" w:eastAsia="仿宋" w:cs="仿宋"/>
          <w:strike/>
          <w:color w:val="auto"/>
          <w:kern w:val="0"/>
          <w:sz w:val="24"/>
          <w:szCs w:val="24"/>
          <w:highlight w:val="none"/>
        </w:rPr>
      </w:pPr>
      <w:r>
        <w:rPr>
          <w:rFonts w:hint="eastAsia" w:ascii="仿宋" w:hAnsi="仿宋" w:eastAsia="仿宋" w:cs="仿宋"/>
          <w:strike/>
          <w:color w:val="auto"/>
          <w:kern w:val="0"/>
          <w:sz w:val="24"/>
          <w:szCs w:val="24"/>
          <w:highlight w:val="none"/>
        </w:rPr>
        <w:t>……</w:t>
      </w:r>
    </w:p>
    <w:p w14:paraId="475C878D">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二、分包工作履行期限、地点、方式</w:t>
      </w:r>
    </w:p>
    <w:p w14:paraId="58AD57DB">
      <w:pPr>
        <w:snapToGrid w:val="0"/>
        <w:spacing w:line="360" w:lineRule="auto"/>
        <w:ind w:firstLine="576"/>
        <w:rPr>
          <w:rFonts w:hint="eastAsia" w:ascii="仿宋" w:hAnsi="仿宋" w:eastAsia="仿宋" w:cs="仿宋"/>
          <w:strike/>
          <w:color w:val="auto"/>
          <w:highlight w:val="none"/>
          <w:u w:val="single"/>
        </w:rPr>
      </w:pPr>
    </w:p>
    <w:p w14:paraId="3E55DF1E">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rPr>
        <w:t>三</w:t>
      </w:r>
      <w:r>
        <w:rPr>
          <w:rFonts w:hint="eastAsia" w:ascii="仿宋" w:hAnsi="仿宋" w:eastAsia="仿宋" w:cs="仿宋"/>
          <w:strike/>
          <w:color w:val="auto"/>
          <w:kern w:val="0"/>
          <w:sz w:val="24"/>
          <w:highlight w:val="none"/>
          <w:lang w:val="zh-CN"/>
        </w:rPr>
        <w:t>、质量</w:t>
      </w:r>
    </w:p>
    <w:p w14:paraId="4AE29533">
      <w:pPr>
        <w:snapToGrid w:val="0"/>
        <w:spacing w:line="360" w:lineRule="auto"/>
        <w:ind w:firstLine="576"/>
        <w:rPr>
          <w:rFonts w:hint="eastAsia" w:ascii="仿宋" w:hAnsi="仿宋" w:eastAsia="仿宋" w:cs="仿宋"/>
          <w:strike/>
          <w:color w:val="auto"/>
          <w:kern w:val="0"/>
          <w:sz w:val="24"/>
          <w:highlight w:val="none"/>
          <w:lang w:val="zh-CN"/>
        </w:rPr>
      </w:pPr>
    </w:p>
    <w:p w14:paraId="7C25BEB7">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rPr>
        <w:t>四</w:t>
      </w:r>
      <w:r>
        <w:rPr>
          <w:rFonts w:hint="eastAsia" w:ascii="仿宋" w:hAnsi="仿宋" w:eastAsia="仿宋" w:cs="仿宋"/>
          <w:strike/>
          <w:color w:val="auto"/>
          <w:kern w:val="0"/>
          <w:sz w:val="24"/>
          <w:highlight w:val="none"/>
          <w:lang w:val="zh-CN"/>
        </w:rPr>
        <w:t>、价款或者报酬</w:t>
      </w:r>
    </w:p>
    <w:p w14:paraId="75695E21">
      <w:pPr>
        <w:snapToGrid w:val="0"/>
        <w:spacing w:line="360" w:lineRule="auto"/>
        <w:ind w:left="573" w:leftChars="273"/>
        <w:rPr>
          <w:rFonts w:hint="eastAsia" w:ascii="仿宋" w:hAnsi="仿宋" w:eastAsia="仿宋" w:cs="仿宋"/>
          <w:strike/>
          <w:color w:val="auto"/>
          <w:kern w:val="0"/>
          <w:sz w:val="24"/>
          <w:highlight w:val="none"/>
          <w:lang w:val="zh-CN"/>
        </w:rPr>
      </w:pPr>
    </w:p>
    <w:p w14:paraId="21B3D2F6">
      <w:pPr>
        <w:snapToGrid w:val="0"/>
        <w:spacing w:line="360" w:lineRule="auto"/>
        <w:ind w:left="573" w:leftChars="273"/>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rPr>
        <w:t>五</w:t>
      </w:r>
      <w:r>
        <w:rPr>
          <w:rFonts w:hint="eastAsia" w:ascii="仿宋" w:hAnsi="仿宋" w:eastAsia="仿宋" w:cs="仿宋"/>
          <w:strike/>
          <w:color w:val="auto"/>
          <w:kern w:val="0"/>
          <w:sz w:val="24"/>
          <w:highlight w:val="none"/>
          <w:lang w:val="zh-CN"/>
        </w:rPr>
        <w:t>、违约责任</w:t>
      </w:r>
    </w:p>
    <w:p w14:paraId="6D88F044">
      <w:pPr>
        <w:snapToGrid w:val="0"/>
        <w:spacing w:line="360" w:lineRule="auto"/>
        <w:ind w:firstLine="576"/>
        <w:rPr>
          <w:rFonts w:hint="eastAsia" w:ascii="仿宋" w:hAnsi="仿宋" w:eastAsia="仿宋" w:cs="仿宋"/>
          <w:strike/>
          <w:color w:val="auto"/>
          <w:kern w:val="0"/>
          <w:sz w:val="24"/>
          <w:highlight w:val="none"/>
          <w:lang w:val="zh-CN"/>
        </w:rPr>
      </w:pPr>
    </w:p>
    <w:p w14:paraId="425B5103">
      <w:pPr>
        <w:snapToGrid w:val="0"/>
        <w:spacing w:line="360" w:lineRule="auto"/>
        <w:ind w:firstLine="576"/>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rPr>
        <w:t>六</w:t>
      </w:r>
      <w:r>
        <w:rPr>
          <w:rFonts w:hint="eastAsia" w:ascii="仿宋" w:hAnsi="仿宋" w:eastAsia="仿宋" w:cs="仿宋"/>
          <w:strike/>
          <w:color w:val="auto"/>
          <w:kern w:val="0"/>
          <w:sz w:val="24"/>
          <w:highlight w:val="none"/>
          <w:lang w:val="zh-CN"/>
        </w:rPr>
        <w:t>、争议解决的办法</w:t>
      </w:r>
    </w:p>
    <w:p w14:paraId="751A0141">
      <w:pPr>
        <w:snapToGrid w:val="0"/>
        <w:spacing w:line="360" w:lineRule="auto"/>
        <w:ind w:firstLine="576"/>
        <w:rPr>
          <w:rFonts w:hint="eastAsia" w:ascii="仿宋" w:hAnsi="仿宋" w:eastAsia="仿宋" w:cs="仿宋"/>
          <w:strike/>
          <w:color w:val="auto"/>
          <w:kern w:val="0"/>
          <w:sz w:val="24"/>
          <w:highlight w:val="none"/>
          <w:lang w:val="zh-CN"/>
        </w:rPr>
      </w:pPr>
    </w:p>
    <w:p w14:paraId="2166E65C">
      <w:pPr>
        <w:snapToGrid w:val="0"/>
        <w:spacing w:line="360" w:lineRule="auto"/>
        <w:ind w:left="5758" w:leftChars="342" w:hanging="5040" w:hangingChars="2100"/>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 xml:space="preserve">                                          供应商名称(电子印章)：</w:t>
      </w:r>
    </w:p>
    <w:p w14:paraId="05A8E108">
      <w:pPr>
        <w:snapToGrid w:val="0"/>
        <w:spacing w:line="360" w:lineRule="auto"/>
        <w:jc w:val="right"/>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分包供应商名称(电子印章</w:t>
      </w:r>
      <w:r>
        <w:rPr>
          <w:rFonts w:hint="eastAsia" w:ascii="仿宋" w:hAnsi="仿宋" w:eastAsia="仿宋" w:cs="仿宋"/>
          <w:strike/>
          <w:color w:val="auto"/>
          <w:kern w:val="0"/>
          <w:sz w:val="24"/>
          <w:highlight w:val="none"/>
        </w:rPr>
        <w:t>或</w:t>
      </w:r>
      <w:r>
        <w:rPr>
          <w:rFonts w:hint="eastAsia" w:ascii="仿宋" w:hAnsi="仿宋" w:eastAsia="仿宋" w:cs="仿宋"/>
          <w:strike/>
          <w:color w:val="auto"/>
          <w:kern w:val="0"/>
          <w:sz w:val="24"/>
          <w:highlight w:val="none"/>
          <w:lang w:val="zh-CN"/>
        </w:rPr>
        <w:t>公章)：</w:t>
      </w:r>
    </w:p>
    <w:p w14:paraId="028475EE">
      <w:pPr>
        <w:snapToGrid w:val="0"/>
        <w:spacing w:line="360" w:lineRule="auto"/>
        <w:ind w:firstLine="5760" w:firstLineChars="2400"/>
        <w:rPr>
          <w:rFonts w:hint="eastAsia" w:ascii="仿宋" w:hAnsi="仿宋" w:eastAsia="仿宋" w:cs="仿宋"/>
          <w:strike/>
          <w:color w:val="auto"/>
          <w:highlight w:val="none"/>
        </w:rPr>
      </w:pPr>
      <w:r>
        <w:rPr>
          <w:rFonts w:hint="eastAsia" w:ascii="仿宋" w:hAnsi="仿宋" w:eastAsia="仿宋" w:cs="仿宋"/>
          <w:strike/>
          <w:color w:val="auto"/>
          <w:kern w:val="0"/>
          <w:sz w:val="24"/>
          <w:highlight w:val="none"/>
          <w:lang w:val="zh-CN"/>
        </w:rPr>
        <w:t>……</w:t>
      </w:r>
    </w:p>
    <w:p w14:paraId="4B476442">
      <w:pPr>
        <w:spacing w:line="360" w:lineRule="auto"/>
        <w:jc w:val="center"/>
        <w:rPr>
          <w:rFonts w:hint="eastAsia" w:ascii="仿宋" w:hAnsi="仿宋" w:eastAsia="仿宋" w:cs="仿宋"/>
          <w:strike/>
          <w:color w:val="auto"/>
          <w:kern w:val="0"/>
          <w:sz w:val="24"/>
          <w:highlight w:val="none"/>
          <w:lang w:val="zh-CN"/>
        </w:rPr>
      </w:pPr>
      <w:r>
        <w:rPr>
          <w:rFonts w:hint="eastAsia" w:ascii="仿宋" w:hAnsi="仿宋" w:eastAsia="仿宋" w:cs="仿宋"/>
          <w:strike/>
          <w:color w:val="auto"/>
          <w:kern w:val="0"/>
          <w:sz w:val="24"/>
          <w:highlight w:val="none"/>
          <w:lang w:val="zh-CN"/>
        </w:rPr>
        <w:t xml:space="preserve">                                        日期：  年  月   日</w:t>
      </w:r>
    </w:p>
    <w:p w14:paraId="7B643730">
      <w:pPr>
        <w:spacing w:line="360" w:lineRule="auto"/>
        <w:ind w:right="420"/>
        <w:jc w:val="left"/>
        <w:rPr>
          <w:rFonts w:hint="eastAsia" w:ascii="仿宋" w:hAnsi="仿宋" w:eastAsia="仿宋" w:cs="仿宋"/>
          <w:b/>
          <w:strike/>
          <w:color w:val="auto"/>
          <w:spacing w:val="6"/>
          <w:sz w:val="32"/>
          <w:szCs w:val="32"/>
          <w:highlight w:val="none"/>
        </w:rPr>
      </w:pPr>
      <w:r>
        <w:rPr>
          <w:rFonts w:hint="eastAsia" w:ascii="仿宋" w:hAnsi="仿宋" w:eastAsia="仿宋" w:cs="仿宋"/>
          <w:strike/>
          <w:color w:val="auto"/>
          <w:sz w:val="24"/>
          <w:highlight w:val="none"/>
        </w:rPr>
        <w:t>注：按本格式和要求提供。</w:t>
      </w:r>
    </w:p>
    <w:p w14:paraId="05E2D11D">
      <w:pPr>
        <w:autoSpaceDE w:val="0"/>
        <w:autoSpaceDN w:val="0"/>
        <w:jc w:val="center"/>
        <w:rPr>
          <w:rFonts w:hint="eastAsia" w:ascii="仿宋" w:hAnsi="仿宋" w:eastAsia="仿宋" w:cs="仿宋"/>
          <w:b/>
          <w:color w:val="auto"/>
          <w:spacing w:val="6"/>
          <w:sz w:val="32"/>
          <w:szCs w:val="32"/>
          <w:highlight w:val="none"/>
        </w:rPr>
      </w:pPr>
    </w:p>
    <w:p w14:paraId="45D247DE">
      <w:pPr>
        <w:rPr>
          <w:rFonts w:hint="eastAsia" w:ascii="仿宋" w:hAnsi="仿宋" w:eastAsia="仿宋" w:cs="仿宋"/>
          <w:color w:val="auto"/>
          <w:highlight w:val="none"/>
        </w:rPr>
      </w:pPr>
    </w:p>
    <w:sectPr>
      <w:headerReference r:id="rId21" w:type="first"/>
      <w:footerReference r:id="rId24" w:type="first"/>
      <w:footerReference r:id="rId22" w:type="default"/>
      <w:footerReference r:id="rId23" w:type="even"/>
      <w:pgSz w:w="11906" w:h="16838"/>
      <w:pgMar w:top="1814" w:right="1474" w:bottom="1814" w:left="1474" w:header="1417"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F53E">
    <w:pPr>
      <w:pStyle w:val="17"/>
      <w:framePr w:wrap="around" w:vAnchor="text" w:hAnchor="margin" w:xAlign="right" w:y="1"/>
      <w:rPr>
        <w:rStyle w:val="24"/>
      </w:rPr>
    </w:pPr>
    <w:r>
      <w:fldChar w:fldCharType="begin"/>
    </w:r>
    <w:r>
      <w:rPr>
        <w:rStyle w:val="24"/>
      </w:rPr>
      <w:instrText xml:space="preserve">PAGE  </w:instrText>
    </w:r>
    <w:r>
      <w:fldChar w:fldCharType="end"/>
    </w:r>
  </w:p>
  <w:p w14:paraId="597B7049">
    <w:pPr>
      <w:pStyle w:val="1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278D">
    <w:pPr>
      <w:pStyle w:val="17"/>
      <w:jc w:val="center"/>
    </w:pPr>
    <w:r>
      <w:fldChar w:fldCharType="begin"/>
    </w:r>
    <w:r>
      <w:instrText xml:space="preserve"> PAGE   \* MERGEFORMAT </w:instrText>
    </w:r>
    <w:r>
      <w:fldChar w:fldCharType="separate"/>
    </w:r>
    <w:r>
      <w:rPr>
        <w:lang w:val="zh-CN"/>
      </w:rPr>
      <w:t>63</w:t>
    </w:r>
    <w:r>
      <w:fldChar w:fldCharType="end"/>
    </w:r>
  </w:p>
  <w:p w14:paraId="11E434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6667E">
    <w:pPr>
      <w:pStyle w:val="17"/>
      <w:jc w:val="center"/>
    </w:pPr>
    <w:r>
      <w:fldChar w:fldCharType="begin"/>
    </w:r>
    <w:r>
      <w:instrText xml:space="preserve"> PAGE   \* MERGEFORMAT </w:instrText>
    </w:r>
    <w:r>
      <w:fldChar w:fldCharType="separate"/>
    </w:r>
    <w:r>
      <w:rPr>
        <w:lang w:val="zh-CN"/>
      </w:rPr>
      <w:t>39</w:t>
    </w:r>
    <w:r>
      <w:fldChar w:fldCharType="end"/>
    </w:r>
  </w:p>
  <w:p w14:paraId="254C604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7584">
    <w:pPr>
      <w:pStyle w:val="17"/>
      <w:jc w:val="center"/>
    </w:pPr>
    <w:r>
      <w:fldChar w:fldCharType="begin"/>
    </w:r>
    <w:r>
      <w:instrText xml:space="preserve"> PAGE   \* MERGEFORMAT </w:instrText>
    </w:r>
    <w:r>
      <w:fldChar w:fldCharType="separate"/>
    </w:r>
    <w:r>
      <w:rPr>
        <w:lang w:val="zh-CN"/>
      </w:rPr>
      <w:t>46</w:t>
    </w:r>
    <w:r>
      <w:fldChar w:fldCharType="end"/>
    </w:r>
  </w:p>
  <w:p w14:paraId="464946F3">
    <w:pPr>
      <w:pStyle w:val="17"/>
      <w:jc w:val="center"/>
      <w:rPr>
        <w:rFonts w:ascii="仿宋_GB2312" w:eastAsia="仿宋_GB2312"/>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EA8E">
    <w:pPr>
      <w:pStyle w:val="17"/>
      <w:framePr w:wrap="around" w:vAnchor="text" w:hAnchor="margin" w:xAlign="right" w:y="1"/>
      <w:rPr>
        <w:rStyle w:val="24"/>
      </w:rPr>
    </w:pPr>
    <w:r>
      <w:fldChar w:fldCharType="begin"/>
    </w:r>
    <w:r>
      <w:rPr>
        <w:rStyle w:val="24"/>
      </w:rPr>
      <w:instrText xml:space="preserve">PAGE  </w:instrText>
    </w:r>
    <w:r>
      <w:fldChar w:fldCharType="end"/>
    </w:r>
  </w:p>
  <w:p w14:paraId="1EAA2997">
    <w:pPr>
      <w:pStyle w:val="17"/>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BBEC">
    <w:pPr>
      <w:pStyle w:val="17"/>
      <w:jc w:val="center"/>
    </w:pPr>
    <w:r>
      <w:fldChar w:fldCharType="begin"/>
    </w:r>
    <w:r>
      <w:instrText xml:space="preserve"> PAGE   \* MERGEFORMAT </w:instrText>
    </w:r>
    <w:r>
      <w:fldChar w:fldCharType="separate"/>
    </w:r>
    <w:r>
      <w:rPr>
        <w:lang w:val="zh-CN"/>
      </w:rPr>
      <w:t>40</w:t>
    </w:r>
    <w:r>
      <w:fldChar w:fldCharType="end"/>
    </w:r>
  </w:p>
  <w:p w14:paraId="2AD85804">
    <w:pPr>
      <w:pStyle w:val="17"/>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B8B9">
    <w:pPr>
      <w:pStyle w:val="17"/>
      <w:jc w:val="center"/>
    </w:pPr>
    <w:r>
      <w:fldChar w:fldCharType="begin"/>
    </w:r>
    <w:r>
      <w:instrText xml:space="preserve"> PAGE   \* MERGEFORMAT </w:instrText>
    </w:r>
    <w:r>
      <w:fldChar w:fldCharType="separate"/>
    </w:r>
    <w:r>
      <w:rPr>
        <w:lang w:val="zh-CN"/>
      </w:rPr>
      <w:t>1</w:t>
    </w:r>
    <w:r>
      <w:fldChar w:fldCharType="end"/>
    </w:r>
  </w:p>
  <w:p w14:paraId="109BCDE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BEB4">
    <w:pPr>
      <w:pStyle w:val="17"/>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25A2">
    <w:pPr>
      <w:pStyle w:val="17"/>
      <w:framePr w:wrap="around" w:vAnchor="text" w:hAnchor="margin" w:xAlign="right" w:y="1"/>
      <w:rPr>
        <w:rStyle w:val="24"/>
      </w:rPr>
    </w:pPr>
    <w:r>
      <w:fldChar w:fldCharType="begin"/>
    </w:r>
    <w:r>
      <w:rPr>
        <w:rStyle w:val="24"/>
      </w:rPr>
      <w:instrText xml:space="preserve">PAGE  </w:instrText>
    </w:r>
    <w:r>
      <w:fldChar w:fldCharType="end"/>
    </w:r>
  </w:p>
  <w:p w14:paraId="6504EF4C">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5DBA">
    <w:pPr>
      <w:pStyle w:val="17"/>
      <w:jc w:val="center"/>
    </w:pPr>
    <w:r>
      <w:fldChar w:fldCharType="begin"/>
    </w:r>
    <w:r>
      <w:instrText xml:space="preserve"> PAGE   \* MERGEFORMAT </w:instrText>
    </w:r>
    <w:r>
      <w:fldChar w:fldCharType="separate"/>
    </w:r>
    <w:r>
      <w:rPr>
        <w:lang w:val="zh-CN"/>
      </w:rPr>
      <w:t>2</w:t>
    </w:r>
    <w:r>
      <w:fldChar w:fldCharType="end"/>
    </w:r>
  </w:p>
  <w:p w14:paraId="511DD1E1">
    <w:pPr>
      <w:pStyle w:val="17"/>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BD14">
    <w:pPr>
      <w:pStyle w:val="17"/>
      <w:jc w:val="center"/>
    </w:pPr>
    <w:r>
      <w:fldChar w:fldCharType="begin"/>
    </w:r>
    <w:r>
      <w:instrText xml:space="preserve"> PAGE   \* MERGEFORMAT </w:instrText>
    </w:r>
    <w:r>
      <w:fldChar w:fldCharType="separate"/>
    </w:r>
    <w:r>
      <w:rPr>
        <w:lang w:val="zh-CN"/>
      </w:rPr>
      <w:t>18</w:t>
    </w:r>
    <w:r>
      <w:fldChar w:fldCharType="end"/>
    </w:r>
  </w:p>
  <w:p w14:paraId="1FA67FCF">
    <w:pPr>
      <w:pStyle w:val="17"/>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4710">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3FA7">
    <w:pPr>
      <w:pStyle w:val="17"/>
      <w:jc w:val="center"/>
    </w:pPr>
    <w:r>
      <w:fldChar w:fldCharType="begin"/>
    </w:r>
    <w:r>
      <w:instrText xml:space="preserve"> PAGE   \* MERGEFORMAT </w:instrText>
    </w:r>
    <w:r>
      <w:fldChar w:fldCharType="separate"/>
    </w:r>
    <w:r>
      <w:rPr>
        <w:lang w:val="zh-CN"/>
      </w:rPr>
      <w:t>60</w:t>
    </w:r>
    <w:r>
      <w:fldChar w:fldCharType="end"/>
    </w:r>
  </w:p>
  <w:p w14:paraId="50E933D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9745">
    <w:pPr>
      <w:pStyle w:val="17"/>
      <w:jc w:val="center"/>
    </w:pPr>
    <w:r>
      <w:fldChar w:fldCharType="begin"/>
    </w:r>
    <w:r>
      <w:instrText xml:space="preserve"> PAGE   \* MERGEFORMAT </w:instrText>
    </w:r>
    <w:r>
      <w:fldChar w:fldCharType="separate"/>
    </w:r>
    <w:r>
      <w:rPr>
        <w:lang w:val="zh-CN"/>
      </w:rPr>
      <w:t>37</w:t>
    </w:r>
    <w:r>
      <w:fldChar w:fldCharType="end"/>
    </w:r>
  </w:p>
  <w:p w14:paraId="381F99D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94CF">
    <w:pPr>
      <w:pStyle w:val="2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38A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C71F">
    <w:pPr>
      <w:pStyle w:val="18"/>
      <w:jc w:val="both"/>
      <w:rPr>
        <w:rFonts w:hint="eastAsia"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8446">
    <w:pPr>
      <w:pStyle w:val="18"/>
      <w:jc w:val="right"/>
    </w:pP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AC8B">
    <w:pPr>
      <w:pStyle w:val="18"/>
      <w:jc w:val="both"/>
      <w:rPr>
        <w:rFonts w:ascii="仿宋_GB2312" w:eastAsia="仿宋_GB2312"/>
        <w:b/>
        <w:i/>
        <w:u w:val="single"/>
      </w:rPr>
    </w:pPr>
    <w:r>
      <w:rPr>
        <w:rFonts w:hint="eastAsia" w:ascii="仿宋" w:hAnsi="仿宋" w:eastAsia="仿宋" w:cs="仿宋"/>
        <w:b/>
        <w:bCs/>
        <w:highlight w:val="yellow"/>
      </w:rPr>
      <w:t>泰宇建筑工程技术咨询有限公司                                             文件编号:ZJHYGY-2024-02010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B258">
    <w:pPr>
      <w:pStyle w:val="18"/>
      <w:rPr>
        <w:rFonts w:ascii="仿宋_GB2312" w:eastAsia="仿宋_GB2312"/>
        <w:b/>
        <w:i/>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BC69">
    <w:pPr>
      <w:pStyle w:val="18"/>
      <w:jc w:val="both"/>
      <w:rPr>
        <w:b/>
        <w:bC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3E94">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9B8F"/>
    <w:multiLevelType w:val="singleLevel"/>
    <w:tmpl w:val="84CA9B8F"/>
    <w:lvl w:ilvl="0" w:tentative="0">
      <w:start w:val="1"/>
      <w:numFmt w:val="decimal"/>
      <w:suff w:val="nothing"/>
      <w:lvlText w:val="（%1）"/>
      <w:lvlJc w:val="left"/>
    </w:lvl>
  </w:abstractNum>
  <w:abstractNum w:abstractNumId="1">
    <w:nsid w:val="9B66477E"/>
    <w:multiLevelType w:val="singleLevel"/>
    <w:tmpl w:val="9B66477E"/>
    <w:lvl w:ilvl="0" w:tentative="0">
      <w:start w:val="1"/>
      <w:numFmt w:val="decimal"/>
      <w:suff w:val="nothing"/>
      <w:lvlText w:val="（%1）"/>
      <w:lvlJc w:val="left"/>
    </w:lvl>
  </w:abstractNum>
  <w:abstractNum w:abstractNumId="2">
    <w:nsid w:val="AFC01267"/>
    <w:multiLevelType w:val="singleLevel"/>
    <w:tmpl w:val="AFC01267"/>
    <w:lvl w:ilvl="0" w:tentative="0">
      <w:start w:val="1"/>
      <w:numFmt w:val="decimal"/>
      <w:suff w:val="nothing"/>
      <w:lvlText w:val="（%1）"/>
      <w:lvlJc w:val="left"/>
    </w:lvl>
  </w:abstractNum>
  <w:abstractNum w:abstractNumId="3">
    <w:nsid w:val="B2C99E13"/>
    <w:multiLevelType w:val="singleLevel"/>
    <w:tmpl w:val="B2C99E13"/>
    <w:lvl w:ilvl="0" w:tentative="0">
      <w:start w:val="2"/>
      <w:numFmt w:val="decimal"/>
      <w:suff w:val="nothing"/>
      <w:lvlText w:val="（%1）"/>
      <w:lvlJc w:val="left"/>
    </w:lvl>
  </w:abstractNum>
  <w:abstractNum w:abstractNumId="4">
    <w:nsid w:val="EA5A65F9"/>
    <w:multiLevelType w:val="singleLevel"/>
    <w:tmpl w:val="EA5A65F9"/>
    <w:lvl w:ilvl="0" w:tentative="0">
      <w:start w:val="1"/>
      <w:numFmt w:val="decimal"/>
      <w:pStyle w:val="7"/>
      <w:lvlText w:val="%1."/>
      <w:lvlJc w:val="left"/>
      <w:pPr>
        <w:tabs>
          <w:tab w:val="left" w:pos="360"/>
        </w:tabs>
        <w:ind w:left="360" w:hanging="360"/>
      </w:pPr>
    </w:lvl>
  </w:abstractNum>
  <w:abstractNum w:abstractNumId="5">
    <w:nsid w:val="FC8D87DE"/>
    <w:multiLevelType w:val="singleLevel"/>
    <w:tmpl w:val="FC8D87DE"/>
    <w:lvl w:ilvl="0" w:tentative="0">
      <w:start w:val="2"/>
      <w:numFmt w:val="decimal"/>
      <w:lvlText w:val="%1."/>
      <w:lvlJc w:val="left"/>
      <w:pPr>
        <w:tabs>
          <w:tab w:val="left" w:pos="312"/>
        </w:tabs>
      </w:pPr>
    </w:lvl>
  </w:abstractNum>
  <w:abstractNum w:abstractNumId="6">
    <w:nsid w:val="FF22DCB3"/>
    <w:multiLevelType w:val="singleLevel"/>
    <w:tmpl w:val="FF22DCB3"/>
    <w:lvl w:ilvl="0" w:tentative="0">
      <w:start w:val="3"/>
      <w:numFmt w:val="decimal"/>
      <w:lvlText w:val="%1."/>
      <w:lvlJc w:val="left"/>
      <w:pPr>
        <w:tabs>
          <w:tab w:val="left" w:pos="312"/>
        </w:tabs>
      </w:pPr>
    </w:lvl>
  </w:abstractNum>
  <w:abstractNum w:abstractNumId="7">
    <w:nsid w:val="484C2196"/>
    <w:multiLevelType w:val="singleLevel"/>
    <w:tmpl w:val="484C2196"/>
    <w:lvl w:ilvl="0" w:tentative="0">
      <w:start w:val="6"/>
      <w:numFmt w:val="chineseCounting"/>
      <w:suff w:val="nothing"/>
      <w:lvlText w:val="（%1）"/>
      <w:lvlJc w:val="left"/>
      <w:rPr>
        <w:rFonts w:hint="eastAsia"/>
      </w:rPr>
    </w:lvl>
  </w:abstractNum>
  <w:abstractNum w:abstractNumId="8">
    <w:nsid w:val="6833BF9D"/>
    <w:multiLevelType w:val="singleLevel"/>
    <w:tmpl w:val="6833BF9D"/>
    <w:lvl w:ilvl="0" w:tentative="0">
      <w:start w:val="1"/>
      <w:numFmt w:val="decimal"/>
      <w:pStyle w:val="6"/>
      <w:lvlText w:val="%1."/>
      <w:lvlJc w:val="left"/>
      <w:pPr>
        <w:tabs>
          <w:tab w:val="left" w:pos="780"/>
        </w:tabs>
        <w:ind w:left="780" w:hanging="360"/>
      </w:pPr>
    </w:lvl>
  </w:abstractNum>
  <w:num w:numId="1">
    <w:abstractNumId w:val="8"/>
  </w:num>
  <w:num w:numId="2">
    <w:abstractNumId w:val="4"/>
  </w:num>
  <w:num w:numId="3">
    <w:abstractNumId w:val="7"/>
  </w:num>
  <w:num w:numId="4">
    <w:abstractNumId w:val="6"/>
  </w:num>
  <w:num w:numId="5">
    <w:abstractNumId w:val="5"/>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mQ1OWNlZGYwNDU5ZThiYmEwYzA0ZTIxMzEwNWQifQ=="/>
    <w:docVar w:name="KSO_WPS_MARK_KEY" w:val="83035201-99d9-4145-8651-80acf16177bb"/>
  </w:docVars>
  <w:rsids>
    <w:rsidRoot w:val="00F73035"/>
    <w:rsid w:val="0007525F"/>
    <w:rsid w:val="005A3B1C"/>
    <w:rsid w:val="00A468BC"/>
    <w:rsid w:val="00AD558A"/>
    <w:rsid w:val="00F73035"/>
    <w:rsid w:val="010B26F5"/>
    <w:rsid w:val="01A67B49"/>
    <w:rsid w:val="01D74CF5"/>
    <w:rsid w:val="02694F6F"/>
    <w:rsid w:val="038F23E5"/>
    <w:rsid w:val="03F55F9D"/>
    <w:rsid w:val="051756C8"/>
    <w:rsid w:val="05356F2E"/>
    <w:rsid w:val="06027666"/>
    <w:rsid w:val="06D870D9"/>
    <w:rsid w:val="070702D2"/>
    <w:rsid w:val="0716711D"/>
    <w:rsid w:val="073D0CEA"/>
    <w:rsid w:val="075C73C2"/>
    <w:rsid w:val="09B07E99"/>
    <w:rsid w:val="0A0855DF"/>
    <w:rsid w:val="0B0D2C03"/>
    <w:rsid w:val="0B4C786E"/>
    <w:rsid w:val="0C8C3911"/>
    <w:rsid w:val="0CF57279"/>
    <w:rsid w:val="0D7A03D7"/>
    <w:rsid w:val="0E172295"/>
    <w:rsid w:val="0E2778DF"/>
    <w:rsid w:val="0E4942D2"/>
    <w:rsid w:val="0EDF6C14"/>
    <w:rsid w:val="10D60803"/>
    <w:rsid w:val="12D60970"/>
    <w:rsid w:val="139B5A14"/>
    <w:rsid w:val="144E5F3F"/>
    <w:rsid w:val="15154D22"/>
    <w:rsid w:val="15545A89"/>
    <w:rsid w:val="16C21602"/>
    <w:rsid w:val="175B4CBB"/>
    <w:rsid w:val="187B3F15"/>
    <w:rsid w:val="19927367"/>
    <w:rsid w:val="19CB10DD"/>
    <w:rsid w:val="1A8C489B"/>
    <w:rsid w:val="1AFB7BBA"/>
    <w:rsid w:val="1CF76D20"/>
    <w:rsid w:val="1E2052C2"/>
    <w:rsid w:val="1EA73CA6"/>
    <w:rsid w:val="1FA6682A"/>
    <w:rsid w:val="201B7511"/>
    <w:rsid w:val="20F63F8C"/>
    <w:rsid w:val="21505D92"/>
    <w:rsid w:val="219F2078"/>
    <w:rsid w:val="21B307C9"/>
    <w:rsid w:val="24E75B00"/>
    <w:rsid w:val="2519490A"/>
    <w:rsid w:val="259822A0"/>
    <w:rsid w:val="25AD7F82"/>
    <w:rsid w:val="26E054C2"/>
    <w:rsid w:val="27716A62"/>
    <w:rsid w:val="2786250D"/>
    <w:rsid w:val="27B44774"/>
    <w:rsid w:val="28132768"/>
    <w:rsid w:val="29C71651"/>
    <w:rsid w:val="2A756869"/>
    <w:rsid w:val="2B2B30A9"/>
    <w:rsid w:val="2D152395"/>
    <w:rsid w:val="2D4D130A"/>
    <w:rsid w:val="2D695BBE"/>
    <w:rsid w:val="2E6F94D3"/>
    <w:rsid w:val="2E852DAE"/>
    <w:rsid w:val="2F076618"/>
    <w:rsid w:val="30912D04"/>
    <w:rsid w:val="31662A68"/>
    <w:rsid w:val="342F7C82"/>
    <w:rsid w:val="34C66A12"/>
    <w:rsid w:val="3623361D"/>
    <w:rsid w:val="36367EA9"/>
    <w:rsid w:val="3661014D"/>
    <w:rsid w:val="372968E1"/>
    <w:rsid w:val="37811ADE"/>
    <w:rsid w:val="38A76F8E"/>
    <w:rsid w:val="3A5164D4"/>
    <w:rsid w:val="3A661D2A"/>
    <w:rsid w:val="3C9E1C4F"/>
    <w:rsid w:val="3CBD0327"/>
    <w:rsid w:val="3D1612C7"/>
    <w:rsid w:val="3DF61B0A"/>
    <w:rsid w:val="3E0B0C1F"/>
    <w:rsid w:val="3E153802"/>
    <w:rsid w:val="3EB5656E"/>
    <w:rsid w:val="3ECF7E9E"/>
    <w:rsid w:val="3F740704"/>
    <w:rsid w:val="3FFF28CF"/>
    <w:rsid w:val="409E0CA6"/>
    <w:rsid w:val="40D31815"/>
    <w:rsid w:val="41215243"/>
    <w:rsid w:val="44467090"/>
    <w:rsid w:val="45877649"/>
    <w:rsid w:val="468877EC"/>
    <w:rsid w:val="46C202E8"/>
    <w:rsid w:val="47B074E6"/>
    <w:rsid w:val="47C14A44"/>
    <w:rsid w:val="484D7CE3"/>
    <w:rsid w:val="4BA26112"/>
    <w:rsid w:val="4C121F3E"/>
    <w:rsid w:val="4D6A2854"/>
    <w:rsid w:val="4D886D84"/>
    <w:rsid w:val="4E0A69D1"/>
    <w:rsid w:val="50B12C05"/>
    <w:rsid w:val="50CC3846"/>
    <w:rsid w:val="511D5E24"/>
    <w:rsid w:val="516B614C"/>
    <w:rsid w:val="51712FCE"/>
    <w:rsid w:val="52893990"/>
    <w:rsid w:val="53980D4F"/>
    <w:rsid w:val="54514BF1"/>
    <w:rsid w:val="566D0271"/>
    <w:rsid w:val="57D21E2D"/>
    <w:rsid w:val="589735EC"/>
    <w:rsid w:val="5903310E"/>
    <w:rsid w:val="59166B50"/>
    <w:rsid w:val="59613991"/>
    <w:rsid w:val="59C06214"/>
    <w:rsid w:val="5A155805"/>
    <w:rsid w:val="5AF3A735"/>
    <w:rsid w:val="5B1E3EA3"/>
    <w:rsid w:val="5BDB2803"/>
    <w:rsid w:val="5BDD7C46"/>
    <w:rsid w:val="5BEF25E3"/>
    <w:rsid w:val="5C043425"/>
    <w:rsid w:val="5C697507"/>
    <w:rsid w:val="5C6E5B4F"/>
    <w:rsid w:val="5CBC3D00"/>
    <w:rsid w:val="5DF022A2"/>
    <w:rsid w:val="5E960581"/>
    <w:rsid w:val="5F1805CB"/>
    <w:rsid w:val="5F39362D"/>
    <w:rsid w:val="5F6B37BB"/>
    <w:rsid w:val="5F8E335F"/>
    <w:rsid w:val="60180EB6"/>
    <w:rsid w:val="6062071A"/>
    <w:rsid w:val="612D6C73"/>
    <w:rsid w:val="618607FC"/>
    <w:rsid w:val="61A40C4F"/>
    <w:rsid w:val="621E2D67"/>
    <w:rsid w:val="63057A83"/>
    <w:rsid w:val="644119B9"/>
    <w:rsid w:val="66430A3A"/>
    <w:rsid w:val="6A121839"/>
    <w:rsid w:val="6ADE7483"/>
    <w:rsid w:val="6AFE88B9"/>
    <w:rsid w:val="6B5C3E54"/>
    <w:rsid w:val="6BB940A6"/>
    <w:rsid w:val="6CBE3623"/>
    <w:rsid w:val="6DB14A8F"/>
    <w:rsid w:val="6F3836D5"/>
    <w:rsid w:val="71440795"/>
    <w:rsid w:val="716A1F66"/>
    <w:rsid w:val="726447C6"/>
    <w:rsid w:val="733817AF"/>
    <w:rsid w:val="73E74D58"/>
    <w:rsid w:val="73F15BC3"/>
    <w:rsid w:val="74914585"/>
    <w:rsid w:val="753374D4"/>
    <w:rsid w:val="75357A1D"/>
    <w:rsid w:val="75360459"/>
    <w:rsid w:val="77620110"/>
    <w:rsid w:val="79714A2D"/>
    <w:rsid w:val="79E4344C"/>
    <w:rsid w:val="79FF4DD4"/>
    <w:rsid w:val="7B093435"/>
    <w:rsid w:val="7B3B3410"/>
    <w:rsid w:val="7C4B2553"/>
    <w:rsid w:val="7D9615AC"/>
    <w:rsid w:val="7DA6487E"/>
    <w:rsid w:val="7DF61F87"/>
    <w:rsid w:val="7F5C0A1A"/>
    <w:rsid w:val="7FE45E52"/>
    <w:rsid w:val="7FF7638F"/>
    <w:rsid w:val="7FFF7F9E"/>
    <w:rsid w:val="D7BDC9B5"/>
    <w:rsid w:val="DDEDA01E"/>
    <w:rsid w:val="EF77AA71"/>
    <w:rsid w:val="F9FB8326"/>
    <w:rsid w:val="FBFD4D5B"/>
    <w:rsid w:val="FFD74D4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ind w:firstLine="0" w:firstLineChars="0"/>
      <w:jc w:val="left"/>
      <w:outlineLvl w:val="3"/>
    </w:pPr>
    <w:rPr>
      <w:rFonts w:ascii="Arial" w:hAnsi="Arial"/>
      <w:b/>
      <w:bCs/>
      <w:sz w:val="24"/>
      <w:szCs w:val="28"/>
    </w:rPr>
  </w:style>
  <w:style w:type="paragraph" w:styleId="5">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firstLineChars="200"/>
    </w:pPr>
  </w:style>
  <w:style w:type="paragraph" w:styleId="9">
    <w:name w:val="caption"/>
    <w:basedOn w:val="1"/>
    <w:next w:val="1"/>
    <w:qFormat/>
    <w:uiPriority w:val="0"/>
    <w:rPr>
      <w:b/>
      <w:sz w:val="28"/>
      <w:szCs w:val="20"/>
    </w:rPr>
  </w:style>
  <w:style w:type="paragraph" w:styleId="10">
    <w:name w:val="annotation text"/>
    <w:basedOn w:val="1"/>
    <w:qFormat/>
    <w:uiPriority w:val="99"/>
    <w:pPr>
      <w:jc w:val="left"/>
    </w:pPr>
  </w:style>
  <w:style w:type="paragraph" w:styleId="11">
    <w:name w:val="Body Text"/>
    <w:basedOn w:val="1"/>
    <w:next w:val="12"/>
    <w:qFormat/>
    <w:uiPriority w:val="0"/>
    <w:pPr>
      <w:autoSpaceDE w:val="0"/>
      <w:autoSpaceDN w:val="0"/>
      <w:spacing w:line="360" w:lineRule="auto"/>
    </w:pPr>
    <w:rPr>
      <w:rFonts w:ascii="宋体" w:hAnsi="Arial" w:cs="Arial"/>
      <w:snapToGrid w:val="0"/>
      <w:sz w:val="24"/>
      <w:szCs w:val="21"/>
      <w:lang w:val="zh-CN"/>
    </w:rPr>
  </w:style>
  <w:style w:type="paragraph" w:styleId="12">
    <w:name w:val="Body Text First Indent"/>
    <w:basedOn w:val="11"/>
    <w:next w:val="1"/>
    <w:qFormat/>
    <w:uiPriority w:val="0"/>
    <w:pPr>
      <w:ind w:firstLine="420"/>
    </w:pPr>
    <w:rPr>
      <w:rFonts w:hAnsi="Calibri" w:cs="Times New Roman"/>
      <w:snapToGrid/>
      <w:szCs w:val="20"/>
    </w:rPr>
  </w:style>
  <w:style w:type="paragraph" w:styleId="13">
    <w:name w:val="Body Text Indent"/>
    <w:basedOn w:val="1"/>
    <w:next w:val="14"/>
    <w:qFormat/>
    <w:uiPriority w:val="0"/>
    <w:pPr>
      <w:spacing w:line="480" w:lineRule="exact"/>
      <w:ind w:firstLine="480" w:firstLineChars="200"/>
    </w:pPr>
    <w:rPr>
      <w:rFonts w:ascii="宋体" w:hAnsi="宋体"/>
      <w:sz w:val="24"/>
    </w:rPr>
  </w:style>
  <w:style w:type="paragraph" w:styleId="14">
    <w:name w:val="Body Text First Indent 2"/>
    <w:basedOn w:val="13"/>
    <w:qFormat/>
    <w:uiPriority w:val="0"/>
    <w:pPr>
      <w:adjustRightInd/>
      <w:spacing w:after="120" w:line="240" w:lineRule="auto"/>
      <w:ind w:left="420" w:leftChars="200" w:firstLine="210"/>
    </w:pPr>
    <w:rPr>
      <w:sz w:val="21"/>
    </w:rPr>
  </w:style>
  <w:style w:type="paragraph" w:styleId="15">
    <w:name w:val="Plain Text"/>
    <w:basedOn w:val="1"/>
    <w:qFormat/>
    <w:uiPriority w:val="0"/>
    <w:rPr>
      <w:rFonts w:ascii="宋体" w:hAnsi="Courier New" w:cs="Arial"/>
      <w:snapToGrid w:val="0"/>
      <w:szCs w:val="21"/>
    </w:rPr>
  </w:style>
  <w:style w:type="paragraph" w:styleId="16">
    <w:name w:val="Balloon Text"/>
    <w:basedOn w:val="1"/>
    <w:link w:val="28"/>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6"/>
    <w:basedOn w:val="1"/>
    <w:next w:val="1"/>
    <w:qFormat/>
    <w:uiPriority w:val="0"/>
    <w:pPr>
      <w:ind w:left="2100" w:leftChars="1000"/>
    </w:pPr>
  </w:style>
  <w:style w:type="paragraph" w:styleId="20">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rPr>
      <w:rFonts w:ascii="Arial" w:hAnsi="Arial" w:eastAsia="黑体" w:cs="Arial"/>
      <w:snapToGrid w:val="0"/>
      <w:kern w:val="0"/>
      <w:szCs w:val="21"/>
    </w:rPr>
  </w:style>
  <w:style w:type="character" w:styleId="25">
    <w:name w:val="FollowedHyperlink"/>
    <w:qFormat/>
    <w:uiPriority w:val="99"/>
    <w:rPr>
      <w:rFonts w:ascii="Arial" w:hAnsi="Arial" w:eastAsia="黑体" w:cs="Arial"/>
      <w:snapToGrid w:val="0"/>
      <w:color w:val="000000"/>
      <w:kern w:val="0"/>
      <w:sz w:val="18"/>
      <w:szCs w:val="18"/>
      <w:u w:val="none"/>
    </w:rPr>
  </w:style>
  <w:style w:type="paragraph" w:customStyle="1" w:styleId="26">
    <w:name w:val="Default"/>
    <w:next w:val="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28">
    <w:name w:val="批注框文本 Char"/>
    <w:link w:val="16"/>
    <w:qFormat/>
    <w:uiPriority w:val="0"/>
    <w:rPr>
      <w:kern w:val="2"/>
      <w:sz w:val="18"/>
      <w:szCs w:val="18"/>
    </w:rPr>
  </w:style>
  <w:style w:type="paragraph" w:customStyle="1" w:styleId="2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正文缩进1"/>
    <w:basedOn w:val="1"/>
    <w:next w:val="1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6">
    <w:name w:val="正文段"/>
    <w:basedOn w:val="1"/>
    <w:qFormat/>
    <w:uiPriority w:val="0"/>
    <w:pPr>
      <w:widowControl/>
      <w:snapToGrid w:val="0"/>
      <w:spacing w:afterLines="50"/>
      <w:ind w:firstLine="200" w:firstLineChars="200"/>
    </w:pPr>
    <w:rPr>
      <w:kern w:val="0"/>
      <w:sz w:val="24"/>
      <w:szCs w:val="20"/>
    </w:rPr>
  </w:style>
  <w:style w:type="paragraph" w:customStyle="1" w:styleId="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40">
    <w:name w:val="正文00"/>
    <w:basedOn w:val="1"/>
    <w:qFormat/>
    <w:uiPriority w:val="0"/>
    <w:pPr>
      <w:topLinePunct/>
      <w:spacing w:line="360" w:lineRule="auto"/>
      <w:ind w:firstLine="200" w:firstLineChars="200"/>
    </w:pPr>
    <w:rPr>
      <w:sz w:val="24"/>
      <w:szCs w:val="21"/>
    </w:rPr>
  </w:style>
  <w:style w:type="paragraph" w:customStyle="1" w:styleId="41">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2">
    <w:name w:val="正文首行缩进 21"/>
    <w:basedOn w:val="1"/>
    <w:qFormat/>
    <w:uiPriority w:val="0"/>
    <w:pPr>
      <w:spacing w:after="120"/>
      <w:ind w:left="420" w:leftChars="200" w:firstLine="420"/>
    </w:pPr>
    <w:rPr>
      <w:rFonts w:cs="宋体"/>
      <w:color w:val="000000"/>
      <w:szCs w:val="21"/>
    </w:rPr>
  </w:style>
  <w:style w:type="paragraph" w:customStyle="1" w:styleId="43">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17629</Words>
  <Characters>19220</Characters>
  <Lines>200</Lines>
  <Paragraphs>56</Paragraphs>
  <TotalTime>80</TotalTime>
  <ScaleCrop>false</ScaleCrop>
  <LinksUpToDate>false</LinksUpToDate>
  <CharactersWithSpaces>19506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2024-10-07T00:15:00Z</dcterms:created>
  <dc:creator>adol</dc:creator>
  <cp:lastModifiedBy>WPS_1681343649</cp:lastModifiedBy>
  <cp:lastPrinted>2025-03-06T01:17:00Z</cp:lastPrinted>
  <dcterms:modified xsi:type="dcterms:W3CDTF">2025-03-14T00:31:33Z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57011B36E8A54D83B18BAFF623B00D8E_13</vt:lpwstr>
  </property>
  <property fmtid="{D5CDD505-2E9C-101B-9397-08002B2CF9AE}" pid="4" name="KSOTemplateDocerSaveRecord">
    <vt:lpwstr>eyJoZGlkIjoiYmMyZGE2MGMzMDg2MjhlNzhlNjNjMGI2OGVhMTk5ZmEiLCJ1c2VySWQiOiI1MjEyMDQwMTEifQ==</vt:lpwstr>
  </property>
</Properties>
</file>